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48A5AC">
      <w:pPr>
        <w:pStyle w:val="6"/>
        <w:keepNext w:val="0"/>
        <w:keepLines w:val="0"/>
        <w:pageBreakBefore w:val="0"/>
        <w:kinsoku/>
        <w:wordWrap/>
        <w:overflowPunct/>
        <w:topLinePunct w:val="0"/>
        <w:bidi w:val="0"/>
        <w:snapToGrid/>
        <w:spacing w:after="0" w:line="560" w:lineRule="exact"/>
        <w:ind w:left="0" w:leftChars="0" w:firstLine="0"/>
        <w:jc w:val="both"/>
        <w:rPr>
          <w:rFonts w:hint="eastAsia" w:ascii="黑体" w:hAnsi="黑体" w:eastAsia="黑体" w:cs="黑体"/>
          <w:sz w:val="32"/>
          <w:szCs w:val="32"/>
          <w:highlight w:val="yellow"/>
          <w:lang w:val="en-US" w:eastAsia="zh-CN"/>
        </w:rPr>
      </w:pPr>
      <w:r>
        <w:rPr>
          <w:rFonts w:hint="eastAsia" w:ascii="黑体" w:hAnsi="黑体" w:eastAsia="黑体" w:cs="黑体"/>
          <w:sz w:val="32"/>
          <w:szCs w:val="32"/>
        </w:rPr>
        <w:t>附件</w:t>
      </w:r>
      <w:r>
        <w:rPr>
          <w:rFonts w:hint="eastAsia" w:ascii="黑体" w:hAnsi="黑体" w:eastAsia="黑体" w:cs="黑体"/>
          <w:sz w:val="32"/>
          <w:szCs w:val="32"/>
          <w:lang w:eastAsia="zh-CN"/>
        </w:rPr>
        <w:t>：</w:t>
      </w:r>
    </w:p>
    <w:p w14:paraId="75271037">
      <w:pPr>
        <w:keepNext w:val="0"/>
        <w:keepLines w:val="0"/>
        <w:pageBreakBefore w:val="0"/>
        <w:kinsoku/>
        <w:wordWrap/>
        <w:overflowPunct/>
        <w:topLinePunct w:val="0"/>
        <w:bidi w:val="0"/>
        <w:snapToGrid/>
        <w:spacing w:line="560" w:lineRule="exact"/>
        <w:jc w:val="both"/>
        <w:rPr>
          <w:rFonts w:hint="eastAsia" w:ascii="方正小标宋简体" w:hAnsi="方正小标宋简体" w:eastAsia="方正小标宋简体" w:cs="方正小标宋简体"/>
          <w:bCs/>
          <w:kern w:val="0"/>
          <w:sz w:val="44"/>
          <w:szCs w:val="44"/>
          <w:shd w:val="clear" w:color="auto" w:fill="FFFFFF"/>
          <w:lang w:val="en-US" w:eastAsia="zh-CN"/>
        </w:rPr>
      </w:pPr>
    </w:p>
    <w:p w14:paraId="79C3BD3D">
      <w:pPr>
        <w:keepNext w:val="0"/>
        <w:keepLines w:val="0"/>
        <w:pageBreakBefore w:val="0"/>
        <w:kinsoku/>
        <w:wordWrap/>
        <w:overflowPunct/>
        <w:topLinePunct w:val="0"/>
        <w:bidi w:val="0"/>
        <w:snapToGrid/>
        <w:spacing w:line="560" w:lineRule="exact"/>
        <w:jc w:val="center"/>
        <w:rPr>
          <w:rFonts w:hint="eastAsia" w:ascii="方正小标宋简体" w:hAnsi="方正小标宋简体" w:eastAsia="方正小标宋简体" w:cs="方正小标宋简体"/>
          <w:bCs/>
          <w:kern w:val="0"/>
          <w:sz w:val="44"/>
          <w:szCs w:val="44"/>
          <w:shd w:val="clear" w:color="auto" w:fill="FFFFFF"/>
        </w:rPr>
      </w:pPr>
      <w:r>
        <w:rPr>
          <w:rFonts w:hint="eastAsia" w:ascii="方正小标宋简体" w:hAnsi="方正小标宋简体" w:eastAsia="方正小标宋简体" w:cs="方正小标宋简体"/>
          <w:bCs/>
          <w:kern w:val="0"/>
          <w:sz w:val="44"/>
          <w:szCs w:val="44"/>
          <w:shd w:val="clear" w:color="auto" w:fill="FFFFFF"/>
          <w:lang w:val="en-US" w:eastAsia="zh-CN"/>
        </w:rPr>
        <w:t>采购内容及</w:t>
      </w:r>
      <w:r>
        <w:rPr>
          <w:rFonts w:hint="eastAsia" w:ascii="方正小标宋简体" w:hAnsi="方正小标宋简体" w:eastAsia="方正小标宋简体" w:cs="方正小标宋简体"/>
          <w:bCs/>
          <w:kern w:val="0"/>
          <w:sz w:val="44"/>
          <w:szCs w:val="44"/>
          <w:shd w:val="clear" w:color="auto" w:fill="FFFFFF"/>
        </w:rPr>
        <w:t>要求</w:t>
      </w:r>
    </w:p>
    <w:p w14:paraId="3BDE4AAE">
      <w:pPr>
        <w:keepNext w:val="0"/>
        <w:keepLines w:val="0"/>
        <w:pageBreakBefore w:val="0"/>
        <w:kinsoku/>
        <w:wordWrap/>
        <w:overflowPunct/>
        <w:topLinePunct w:val="0"/>
        <w:bidi w:val="0"/>
        <w:snapToGrid/>
        <w:spacing w:line="560" w:lineRule="exact"/>
        <w:ind w:firstLine="624" w:firstLineChars="200"/>
        <w:jc w:val="both"/>
        <w:outlineLvl w:val="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本项目为省水利厅及信息中心已建的</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个三级系统、</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个</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级系统开展等保测评，</w:t>
      </w:r>
      <w:r>
        <w:rPr>
          <w:rFonts w:hint="eastAsia" w:ascii="仿宋_GB2312" w:hAnsi="仿宋_GB2312" w:eastAsia="仿宋_GB2312" w:cs="仿宋_GB2312"/>
          <w:sz w:val="32"/>
          <w:szCs w:val="32"/>
          <w:lang w:val="en-US" w:eastAsia="zh-CN"/>
        </w:rPr>
        <w:t>并</w:t>
      </w:r>
      <w:r>
        <w:rPr>
          <w:rFonts w:hint="eastAsia" w:ascii="仿宋_GB2312" w:hAnsi="仿宋_GB2312" w:eastAsia="仿宋_GB2312" w:cs="仿宋_GB2312"/>
          <w:sz w:val="32"/>
          <w:szCs w:val="32"/>
          <w:lang w:eastAsia="zh-CN"/>
        </w:rPr>
        <w:t>进行资产分析、备案更新、风险评估、差距分析、安全整改、管理制度辅助建设、等保辅助测评、等保测评现场辅助等服务工作，直至拿到合格、</w:t>
      </w:r>
      <w:r>
        <w:rPr>
          <w:rFonts w:hint="eastAsia" w:ascii="仿宋_GB2312" w:hAnsi="仿宋_GB2312" w:eastAsia="仿宋_GB2312" w:cs="仿宋_GB2312"/>
          <w:sz w:val="32"/>
          <w:szCs w:val="32"/>
          <w:lang w:val="en-US" w:eastAsia="zh-CN"/>
        </w:rPr>
        <w:t>通过的</w:t>
      </w:r>
      <w:r>
        <w:rPr>
          <w:rFonts w:hint="eastAsia" w:ascii="仿宋_GB2312" w:hAnsi="仿宋_GB2312" w:eastAsia="仿宋_GB2312" w:cs="仿宋_GB2312"/>
          <w:sz w:val="32"/>
          <w:szCs w:val="32"/>
          <w:lang w:eastAsia="zh-CN"/>
        </w:rPr>
        <w:t>测评报告。</w:t>
      </w:r>
    </w:p>
    <w:p w14:paraId="746ECDF5">
      <w:pPr>
        <w:keepNext w:val="0"/>
        <w:keepLines w:val="0"/>
        <w:pageBreakBefore w:val="0"/>
        <w:numPr>
          <w:ilvl w:val="0"/>
          <w:numId w:val="0"/>
        </w:numPr>
        <w:kinsoku/>
        <w:wordWrap/>
        <w:overflowPunct/>
        <w:topLinePunct w:val="0"/>
        <w:bidi w:val="0"/>
        <w:snapToGrid/>
        <w:spacing w:line="560" w:lineRule="exact"/>
        <w:ind w:firstLine="624" w:firstLineChars="200"/>
        <w:jc w:val="both"/>
        <w:outlineLvl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一、服务范围</w:t>
      </w:r>
    </w:p>
    <w:tbl>
      <w:tblPr>
        <w:tblStyle w:val="8"/>
        <w:tblpPr w:leftFromText="180" w:rightFromText="180" w:vertAnchor="text" w:horzAnchor="page" w:tblpX="1508" w:tblpY="300"/>
        <w:tblOverlap w:val="never"/>
        <w:tblW w:w="5147" w:type="pct"/>
        <w:jc w:val="center"/>
        <w:tblLayout w:type="autofit"/>
        <w:tblCellMar>
          <w:top w:w="0" w:type="dxa"/>
          <w:left w:w="108" w:type="dxa"/>
          <w:bottom w:w="0" w:type="dxa"/>
          <w:right w:w="108" w:type="dxa"/>
        </w:tblCellMar>
      </w:tblPr>
      <w:tblGrid>
        <w:gridCol w:w="4222"/>
        <w:gridCol w:w="1692"/>
        <w:gridCol w:w="3297"/>
      </w:tblGrid>
      <w:tr w14:paraId="66E82F2C">
        <w:tblPrEx>
          <w:tblCellMar>
            <w:top w:w="0" w:type="dxa"/>
            <w:left w:w="108" w:type="dxa"/>
            <w:bottom w:w="0" w:type="dxa"/>
            <w:right w:w="108" w:type="dxa"/>
          </w:tblCellMar>
        </w:tblPrEx>
        <w:trPr>
          <w:trHeight w:val="754" w:hRule="atLeast"/>
          <w:jc w:val="center"/>
        </w:trPr>
        <w:tc>
          <w:tcPr>
            <w:tcW w:w="2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6DD6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napToGrid w:val="0"/>
                <w:color w:val="000000"/>
                <w:sz w:val="28"/>
                <w:szCs w:val="28"/>
                <w:lang w:val="en-US" w:eastAsia="zh-CN" w:bidi="ar-SA"/>
              </w:rPr>
            </w:pPr>
            <w:r>
              <w:rPr>
                <w:rFonts w:hint="eastAsia" w:ascii="仿宋_GB2312" w:hAnsi="仿宋_GB2312" w:eastAsia="仿宋_GB2312" w:cs="仿宋_GB2312"/>
                <w:snapToGrid w:val="0"/>
                <w:color w:val="000000"/>
                <w:sz w:val="28"/>
                <w:szCs w:val="28"/>
                <w:lang w:val="en-US" w:eastAsia="zh-CN" w:bidi="ar-SA"/>
              </w:rPr>
              <w:t>系统名称</w:t>
            </w:r>
          </w:p>
        </w:tc>
        <w:tc>
          <w:tcPr>
            <w:tcW w:w="9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2A42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napToGrid w:val="0"/>
                <w:color w:val="000000"/>
                <w:sz w:val="28"/>
                <w:szCs w:val="28"/>
                <w:lang w:val="en-US" w:eastAsia="zh-CN" w:bidi="ar-SA"/>
              </w:rPr>
            </w:pPr>
            <w:r>
              <w:rPr>
                <w:rFonts w:hint="eastAsia" w:ascii="仿宋_GB2312" w:hAnsi="仿宋_GB2312" w:eastAsia="仿宋_GB2312" w:cs="仿宋_GB2312"/>
                <w:snapToGrid w:val="0"/>
                <w:color w:val="000000"/>
                <w:sz w:val="28"/>
                <w:szCs w:val="28"/>
                <w:lang w:val="en-US" w:eastAsia="zh-CN" w:bidi="ar-SA"/>
              </w:rPr>
              <w:t>级别</w:t>
            </w:r>
          </w:p>
        </w:tc>
        <w:tc>
          <w:tcPr>
            <w:tcW w:w="17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A3AA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napToGrid w:val="0"/>
                <w:color w:val="000000"/>
                <w:sz w:val="28"/>
                <w:szCs w:val="28"/>
                <w:lang w:val="en-US" w:eastAsia="zh-CN" w:bidi="ar-SA"/>
              </w:rPr>
            </w:pPr>
            <w:r>
              <w:rPr>
                <w:rFonts w:hint="eastAsia" w:ascii="仿宋_GB2312" w:hAnsi="仿宋_GB2312" w:eastAsia="仿宋_GB2312" w:cs="仿宋_GB2312"/>
                <w:snapToGrid w:val="0"/>
                <w:color w:val="000000"/>
                <w:sz w:val="28"/>
                <w:szCs w:val="28"/>
                <w:lang w:val="en-US" w:eastAsia="zh-CN" w:bidi="ar-SA"/>
              </w:rPr>
              <w:t>服务内容</w:t>
            </w:r>
          </w:p>
        </w:tc>
      </w:tr>
      <w:tr w14:paraId="59F4FE57">
        <w:tblPrEx>
          <w:tblCellMar>
            <w:top w:w="0" w:type="dxa"/>
            <w:left w:w="108" w:type="dxa"/>
            <w:bottom w:w="0" w:type="dxa"/>
            <w:right w:w="108" w:type="dxa"/>
          </w:tblCellMar>
        </w:tblPrEx>
        <w:trPr>
          <w:trHeight w:val="733" w:hRule="atLeast"/>
          <w:jc w:val="center"/>
        </w:trPr>
        <w:tc>
          <w:tcPr>
            <w:tcW w:w="2291" w:type="pct"/>
            <w:tcBorders>
              <w:top w:val="single" w:color="000000" w:sz="4" w:space="0"/>
              <w:left w:val="single" w:color="auto" w:sz="4" w:space="0"/>
              <w:bottom w:val="single" w:color="auto" w:sz="4" w:space="0"/>
              <w:right w:val="single" w:color="000000" w:sz="4" w:space="0"/>
            </w:tcBorders>
            <w:shd w:val="clear" w:color="auto" w:fill="auto"/>
            <w:vAlign w:val="center"/>
          </w:tcPr>
          <w:p w14:paraId="4A4C0CD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napToGrid w:val="0"/>
                <w:color w:val="000000"/>
                <w:sz w:val="28"/>
                <w:szCs w:val="28"/>
                <w:lang w:val="en-US" w:eastAsia="zh-CN" w:bidi="ar-SA"/>
              </w:rPr>
            </w:pPr>
            <w:r>
              <w:rPr>
                <w:rFonts w:hint="eastAsia" w:ascii="仿宋_GB2312" w:hAnsi="方正仿宋_GB2312" w:eastAsia="仿宋_GB2312" w:cs="方正仿宋_GB2312"/>
                <w:sz w:val="32"/>
                <w:szCs w:val="32"/>
                <w:lang w:val="en-US" w:eastAsia="zh-CN"/>
              </w:rPr>
              <w:t>省水资源系统</w:t>
            </w:r>
          </w:p>
        </w:tc>
        <w:tc>
          <w:tcPr>
            <w:tcW w:w="918" w:type="pct"/>
            <w:tcBorders>
              <w:top w:val="single" w:color="000000" w:sz="4" w:space="0"/>
              <w:left w:val="single" w:color="auto" w:sz="4" w:space="0"/>
              <w:bottom w:val="single" w:color="auto" w:sz="4" w:space="0"/>
              <w:right w:val="single" w:color="000000" w:sz="4" w:space="0"/>
            </w:tcBorders>
            <w:shd w:val="clear" w:color="auto" w:fill="auto"/>
            <w:vAlign w:val="center"/>
          </w:tcPr>
          <w:p w14:paraId="210C5DD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napToGrid w:val="0"/>
                <w:color w:val="000000"/>
                <w:sz w:val="28"/>
                <w:szCs w:val="28"/>
                <w:lang w:val="en-US" w:eastAsia="zh-CN" w:bidi="ar-SA"/>
              </w:rPr>
            </w:pPr>
            <w:r>
              <w:rPr>
                <w:rFonts w:hint="eastAsia" w:ascii="仿宋_GB2312" w:hAnsi="方正仿宋_GB2312" w:eastAsia="仿宋_GB2312" w:cs="方正仿宋_GB2312"/>
                <w:sz w:val="32"/>
                <w:szCs w:val="32"/>
                <w:lang w:val="en-US" w:eastAsia="zh-CN"/>
              </w:rPr>
              <w:t>三级</w:t>
            </w:r>
          </w:p>
        </w:tc>
        <w:tc>
          <w:tcPr>
            <w:tcW w:w="1789" w:type="pct"/>
            <w:vMerge w:val="restart"/>
            <w:tcBorders>
              <w:top w:val="single" w:color="000000" w:sz="4" w:space="0"/>
              <w:left w:val="single" w:color="auto" w:sz="4" w:space="0"/>
              <w:right w:val="single" w:color="000000" w:sz="4" w:space="0"/>
            </w:tcBorders>
            <w:shd w:val="clear" w:color="auto" w:fill="auto"/>
            <w:vAlign w:val="center"/>
          </w:tcPr>
          <w:p w14:paraId="10AA4CCA">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方正仿宋_GB2312" w:eastAsia="仿宋_GB2312" w:cs="方正仿宋_GB2312"/>
                <w:kern w:val="2"/>
                <w:sz w:val="32"/>
                <w:szCs w:val="32"/>
                <w:lang w:val="en-US" w:eastAsia="zh-CN" w:bidi="ar-SA"/>
                <w14:ligatures w14:val="none"/>
              </w:rPr>
            </w:pPr>
            <w:r>
              <w:rPr>
                <w:rFonts w:hint="eastAsia" w:ascii="仿宋_GB2312" w:hAnsi="方正仿宋_GB2312" w:eastAsia="仿宋_GB2312" w:cs="方正仿宋_GB2312"/>
                <w:kern w:val="2"/>
                <w:sz w:val="32"/>
                <w:szCs w:val="32"/>
                <w:lang w:val="en-US" w:eastAsia="zh-CN" w:bidi="ar-SA"/>
                <w14:ligatures w14:val="none"/>
              </w:rPr>
              <w:t>1.等级保护咨询服务</w:t>
            </w:r>
          </w:p>
          <w:p w14:paraId="1CA341F2">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lang w:val="en-US" w:eastAsia="zh-CN"/>
              </w:rPr>
            </w:pPr>
            <w:r>
              <w:rPr>
                <w:rFonts w:hint="eastAsia" w:ascii="仿宋_GB2312" w:hAnsi="方正仿宋_GB2312" w:eastAsia="仿宋_GB2312" w:cs="方正仿宋_GB2312"/>
                <w:kern w:val="2"/>
                <w:sz w:val="32"/>
                <w:szCs w:val="32"/>
                <w:lang w:val="en-US" w:eastAsia="zh-CN" w:bidi="ar-SA"/>
                <w14:ligatures w14:val="none"/>
              </w:rPr>
              <w:t>2.等级保护测评服务</w:t>
            </w:r>
          </w:p>
        </w:tc>
      </w:tr>
      <w:tr w14:paraId="0D36D669">
        <w:tblPrEx>
          <w:tblCellMar>
            <w:top w:w="0" w:type="dxa"/>
            <w:left w:w="108" w:type="dxa"/>
            <w:bottom w:w="0" w:type="dxa"/>
            <w:right w:w="108" w:type="dxa"/>
          </w:tblCellMar>
        </w:tblPrEx>
        <w:trPr>
          <w:trHeight w:val="991" w:hRule="atLeast"/>
          <w:jc w:val="center"/>
        </w:trPr>
        <w:tc>
          <w:tcPr>
            <w:tcW w:w="2291" w:type="pct"/>
            <w:tcBorders>
              <w:top w:val="single" w:color="000000" w:sz="4" w:space="0"/>
              <w:left w:val="single" w:color="auto" w:sz="4" w:space="0"/>
              <w:bottom w:val="single" w:color="auto" w:sz="4" w:space="0"/>
              <w:right w:val="single" w:color="000000" w:sz="4" w:space="0"/>
            </w:tcBorders>
            <w:shd w:val="clear" w:color="auto" w:fill="auto"/>
            <w:vAlign w:val="center"/>
          </w:tcPr>
          <w:p w14:paraId="1548F80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方正仿宋_GB2312" w:eastAsia="仿宋_GB2312" w:cs="方正仿宋_GB2312"/>
                <w:sz w:val="32"/>
                <w:szCs w:val="32"/>
                <w:lang w:val="en-US" w:eastAsia="zh-CN"/>
              </w:rPr>
            </w:pPr>
            <w:r>
              <w:rPr>
                <w:rFonts w:hint="eastAsia" w:ascii="仿宋_GB2312" w:hAnsi="方正仿宋_GB2312" w:eastAsia="仿宋_GB2312" w:cs="方正仿宋_GB2312"/>
                <w:sz w:val="32"/>
                <w:szCs w:val="32"/>
                <w:lang w:val="en-US" w:eastAsia="zh-CN"/>
              </w:rPr>
              <w:t>防汛决策支持系统</w:t>
            </w:r>
          </w:p>
        </w:tc>
        <w:tc>
          <w:tcPr>
            <w:tcW w:w="918" w:type="pct"/>
            <w:tcBorders>
              <w:top w:val="single" w:color="000000" w:sz="4" w:space="0"/>
              <w:left w:val="single" w:color="auto" w:sz="4" w:space="0"/>
              <w:bottom w:val="single" w:color="auto" w:sz="4" w:space="0"/>
              <w:right w:val="single" w:color="000000" w:sz="4" w:space="0"/>
            </w:tcBorders>
            <w:shd w:val="clear" w:color="auto" w:fill="auto"/>
            <w:vAlign w:val="center"/>
          </w:tcPr>
          <w:p w14:paraId="33F486A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napToGrid w:val="0"/>
                <w:color w:val="000000"/>
                <w:sz w:val="28"/>
                <w:szCs w:val="28"/>
                <w:lang w:val="en-US" w:eastAsia="zh-CN" w:bidi="ar-SA"/>
              </w:rPr>
            </w:pPr>
            <w:r>
              <w:rPr>
                <w:rFonts w:hint="eastAsia" w:ascii="仿宋_GB2312" w:hAnsi="方正仿宋_GB2312" w:eastAsia="仿宋_GB2312" w:cs="方正仿宋_GB2312"/>
                <w:sz w:val="32"/>
                <w:szCs w:val="32"/>
                <w:lang w:val="en-US" w:eastAsia="zh-CN"/>
              </w:rPr>
              <w:t>三级</w:t>
            </w:r>
          </w:p>
        </w:tc>
        <w:tc>
          <w:tcPr>
            <w:tcW w:w="1789" w:type="pct"/>
            <w:vMerge w:val="continue"/>
            <w:tcBorders>
              <w:left w:val="single" w:color="auto" w:sz="4" w:space="0"/>
              <w:right w:val="single" w:color="000000" w:sz="4" w:space="0"/>
            </w:tcBorders>
            <w:shd w:val="clear" w:color="auto" w:fill="auto"/>
            <w:vAlign w:val="center"/>
          </w:tcPr>
          <w:p w14:paraId="7A7F3F5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方正仿宋_GB2312" w:eastAsia="仿宋_GB2312" w:cs="方正仿宋_GB2312"/>
                <w:sz w:val="32"/>
                <w:szCs w:val="32"/>
                <w:lang w:val="en-US" w:eastAsia="zh-CN"/>
              </w:rPr>
            </w:pPr>
          </w:p>
        </w:tc>
      </w:tr>
      <w:tr w14:paraId="3B10727E">
        <w:tblPrEx>
          <w:tblCellMar>
            <w:top w:w="0" w:type="dxa"/>
            <w:left w:w="108" w:type="dxa"/>
            <w:bottom w:w="0" w:type="dxa"/>
            <w:right w:w="108" w:type="dxa"/>
          </w:tblCellMar>
        </w:tblPrEx>
        <w:trPr>
          <w:trHeight w:val="878" w:hRule="atLeast"/>
          <w:jc w:val="center"/>
        </w:trPr>
        <w:tc>
          <w:tcPr>
            <w:tcW w:w="2291" w:type="pct"/>
            <w:tcBorders>
              <w:top w:val="single" w:color="000000" w:sz="4" w:space="0"/>
              <w:left w:val="single" w:color="auto" w:sz="4" w:space="0"/>
              <w:bottom w:val="single" w:color="auto" w:sz="4" w:space="0"/>
              <w:right w:val="single" w:color="000000" w:sz="4" w:space="0"/>
            </w:tcBorders>
            <w:shd w:val="clear" w:color="auto" w:fill="auto"/>
            <w:vAlign w:val="center"/>
          </w:tcPr>
          <w:p w14:paraId="2E3C6FF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方正仿宋_GB2312" w:eastAsia="仿宋_GB2312" w:cs="方正仿宋_GB2312"/>
                <w:sz w:val="32"/>
                <w:szCs w:val="32"/>
                <w:lang w:val="en-US" w:eastAsia="zh-CN"/>
              </w:rPr>
            </w:pPr>
            <w:r>
              <w:rPr>
                <w:rFonts w:hint="eastAsia" w:ascii="仿宋_GB2312" w:hAnsi="方正仿宋_GB2312" w:eastAsia="仿宋_GB2312" w:cs="方正仿宋_GB2312"/>
                <w:sz w:val="32"/>
                <w:szCs w:val="32"/>
                <w:lang w:val="en-US" w:eastAsia="zh-CN"/>
              </w:rPr>
              <w:t>水土保持天地一体化系统</w:t>
            </w:r>
          </w:p>
        </w:tc>
        <w:tc>
          <w:tcPr>
            <w:tcW w:w="918" w:type="pct"/>
            <w:tcBorders>
              <w:top w:val="single" w:color="000000" w:sz="4" w:space="0"/>
              <w:left w:val="single" w:color="auto" w:sz="4" w:space="0"/>
              <w:bottom w:val="single" w:color="auto" w:sz="4" w:space="0"/>
              <w:right w:val="single" w:color="000000" w:sz="4" w:space="0"/>
            </w:tcBorders>
            <w:shd w:val="clear" w:color="auto" w:fill="auto"/>
            <w:vAlign w:val="center"/>
          </w:tcPr>
          <w:p w14:paraId="393A873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方正仿宋_GB2312" w:eastAsia="仿宋_GB2312" w:cs="方正仿宋_GB2312"/>
                <w:sz w:val="32"/>
                <w:szCs w:val="32"/>
                <w:lang w:val="en-US" w:eastAsia="zh-CN"/>
              </w:rPr>
            </w:pPr>
            <w:r>
              <w:rPr>
                <w:rFonts w:hint="eastAsia" w:ascii="仿宋_GB2312" w:hAnsi="方正仿宋_GB2312" w:eastAsia="仿宋_GB2312" w:cs="方正仿宋_GB2312"/>
                <w:sz w:val="32"/>
                <w:szCs w:val="32"/>
                <w:lang w:val="en-US" w:eastAsia="zh-CN"/>
              </w:rPr>
              <w:t>三级</w:t>
            </w:r>
          </w:p>
        </w:tc>
        <w:tc>
          <w:tcPr>
            <w:tcW w:w="1789" w:type="pct"/>
            <w:vMerge w:val="continue"/>
            <w:tcBorders>
              <w:left w:val="single" w:color="auto" w:sz="4" w:space="0"/>
              <w:right w:val="single" w:color="000000" w:sz="4" w:space="0"/>
            </w:tcBorders>
            <w:shd w:val="clear" w:color="auto" w:fill="auto"/>
            <w:vAlign w:val="center"/>
          </w:tcPr>
          <w:p w14:paraId="0A44306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方正仿宋_GB2312" w:eastAsia="仿宋_GB2312" w:cs="方正仿宋_GB2312"/>
                <w:sz w:val="32"/>
                <w:szCs w:val="32"/>
                <w:lang w:val="en-US" w:eastAsia="zh-CN"/>
              </w:rPr>
            </w:pPr>
          </w:p>
        </w:tc>
      </w:tr>
      <w:tr w14:paraId="2ABB0F3C">
        <w:tblPrEx>
          <w:tblCellMar>
            <w:top w:w="0" w:type="dxa"/>
            <w:left w:w="108" w:type="dxa"/>
            <w:bottom w:w="0" w:type="dxa"/>
            <w:right w:w="108" w:type="dxa"/>
          </w:tblCellMar>
        </w:tblPrEx>
        <w:trPr>
          <w:trHeight w:val="734" w:hRule="atLeast"/>
          <w:jc w:val="center"/>
        </w:trPr>
        <w:tc>
          <w:tcPr>
            <w:tcW w:w="2291" w:type="pct"/>
            <w:tcBorders>
              <w:top w:val="single" w:color="000000" w:sz="4" w:space="0"/>
              <w:left w:val="single" w:color="auto" w:sz="4" w:space="0"/>
              <w:bottom w:val="single" w:color="auto" w:sz="4" w:space="0"/>
              <w:right w:val="single" w:color="000000" w:sz="4" w:space="0"/>
            </w:tcBorders>
            <w:shd w:val="clear" w:color="auto" w:fill="auto"/>
            <w:vAlign w:val="center"/>
          </w:tcPr>
          <w:p w14:paraId="398B03B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方正仿宋_GB2312" w:eastAsia="仿宋_GB2312" w:cs="方正仿宋_GB2312"/>
                <w:sz w:val="32"/>
                <w:szCs w:val="32"/>
                <w:lang w:val="en-US" w:eastAsia="zh-CN"/>
              </w:rPr>
            </w:pPr>
            <w:r>
              <w:rPr>
                <w:rFonts w:hint="eastAsia" w:ascii="仿宋_GB2312" w:hAnsi="方正仿宋_GB2312" w:eastAsia="仿宋_GB2312" w:cs="方正仿宋_GB2312"/>
                <w:sz w:val="32"/>
                <w:szCs w:val="32"/>
                <w:lang w:val="en-US" w:eastAsia="zh-CN"/>
              </w:rPr>
              <w:t>水利数据中心</w:t>
            </w:r>
          </w:p>
        </w:tc>
        <w:tc>
          <w:tcPr>
            <w:tcW w:w="918" w:type="pct"/>
            <w:tcBorders>
              <w:top w:val="single" w:color="000000" w:sz="4" w:space="0"/>
              <w:left w:val="single" w:color="auto" w:sz="4" w:space="0"/>
              <w:bottom w:val="single" w:color="auto" w:sz="4" w:space="0"/>
              <w:right w:val="single" w:color="000000" w:sz="4" w:space="0"/>
            </w:tcBorders>
            <w:shd w:val="clear" w:color="auto" w:fill="auto"/>
            <w:vAlign w:val="center"/>
          </w:tcPr>
          <w:p w14:paraId="2F9740A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方正仿宋_GB2312" w:eastAsia="仿宋_GB2312" w:cs="方正仿宋_GB2312"/>
                <w:sz w:val="32"/>
                <w:szCs w:val="32"/>
                <w:lang w:val="en-US" w:eastAsia="zh-CN"/>
              </w:rPr>
            </w:pPr>
            <w:r>
              <w:rPr>
                <w:rFonts w:hint="eastAsia" w:ascii="仿宋_GB2312" w:hAnsi="方正仿宋_GB2312" w:eastAsia="仿宋_GB2312" w:cs="方正仿宋_GB2312"/>
                <w:sz w:val="32"/>
                <w:szCs w:val="32"/>
                <w:lang w:val="en-US" w:eastAsia="zh-CN"/>
              </w:rPr>
              <w:t>三级</w:t>
            </w:r>
          </w:p>
        </w:tc>
        <w:tc>
          <w:tcPr>
            <w:tcW w:w="1789" w:type="pct"/>
            <w:vMerge w:val="continue"/>
            <w:tcBorders>
              <w:left w:val="single" w:color="auto" w:sz="4" w:space="0"/>
              <w:right w:val="single" w:color="000000" w:sz="4" w:space="0"/>
            </w:tcBorders>
            <w:shd w:val="clear" w:color="auto" w:fill="auto"/>
            <w:vAlign w:val="center"/>
          </w:tcPr>
          <w:p w14:paraId="29BC202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方正仿宋_GB2312" w:eastAsia="仿宋_GB2312" w:cs="方正仿宋_GB2312"/>
                <w:sz w:val="32"/>
                <w:szCs w:val="32"/>
                <w:lang w:val="en-US" w:eastAsia="zh-CN"/>
              </w:rPr>
            </w:pPr>
          </w:p>
        </w:tc>
      </w:tr>
      <w:tr w14:paraId="5BAC7D3E">
        <w:tblPrEx>
          <w:tblCellMar>
            <w:top w:w="0" w:type="dxa"/>
            <w:left w:w="108" w:type="dxa"/>
            <w:bottom w:w="0" w:type="dxa"/>
            <w:right w:w="108" w:type="dxa"/>
          </w:tblCellMar>
        </w:tblPrEx>
        <w:trPr>
          <w:trHeight w:val="975" w:hRule="atLeast"/>
          <w:jc w:val="center"/>
        </w:trPr>
        <w:tc>
          <w:tcPr>
            <w:tcW w:w="2291" w:type="pct"/>
            <w:tcBorders>
              <w:top w:val="single" w:color="000000" w:sz="4" w:space="0"/>
              <w:left w:val="single" w:color="auto" w:sz="4" w:space="0"/>
              <w:bottom w:val="single" w:color="auto" w:sz="4" w:space="0"/>
              <w:right w:val="single" w:color="000000" w:sz="4" w:space="0"/>
            </w:tcBorders>
            <w:shd w:val="clear" w:color="auto" w:fill="auto"/>
            <w:vAlign w:val="center"/>
          </w:tcPr>
          <w:p w14:paraId="6786972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方正仿宋_GB2312" w:eastAsia="仿宋_GB2312" w:cs="方正仿宋_GB2312"/>
                <w:sz w:val="32"/>
                <w:szCs w:val="32"/>
                <w:lang w:val="en-US" w:eastAsia="zh-CN"/>
              </w:rPr>
            </w:pPr>
            <w:r>
              <w:rPr>
                <w:rFonts w:hint="eastAsia" w:ascii="仿宋_GB2312" w:hAnsi="方正仿宋_GB2312" w:eastAsia="仿宋_GB2312" w:cs="方正仿宋_GB2312"/>
                <w:sz w:val="32"/>
                <w:szCs w:val="32"/>
                <w:lang w:val="en-US" w:eastAsia="zh-CN"/>
              </w:rPr>
              <w:t>水利综合业务平台</w:t>
            </w:r>
          </w:p>
        </w:tc>
        <w:tc>
          <w:tcPr>
            <w:tcW w:w="918" w:type="pct"/>
            <w:tcBorders>
              <w:top w:val="single" w:color="000000" w:sz="4" w:space="0"/>
              <w:left w:val="single" w:color="auto" w:sz="4" w:space="0"/>
              <w:bottom w:val="single" w:color="auto" w:sz="4" w:space="0"/>
              <w:right w:val="single" w:color="000000" w:sz="4" w:space="0"/>
            </w:tcBorders>
            <w:shd w:val="clear" w:color="auto" w:fill="auto"/>
            <w:vAlign w:val="center"/>
          </w:tcPr>
          <w:p w14:paraId="2D2D659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方正仿宋_GB2312" w:eastAsia="仿宋_GB2312" w:cs="方正仿宋_GB2312"/>
                <w:sz w:val="32"/>
                <w:szCs w:val="32"/>
                <w:lang w:val="en-US" w:eastAsia="zh-CN"/>
              </w:rPr>
            </w:pPr>
            <w:r>
              <w:rPr>
                <w:rFonts w:hint="eastAsia" w:ascii="仿宋_GB2312" w:hAnsi="方正仿宋_GB2312" w:eastAsia="仿宋_GB2312" w:cs="方正仿宋_GB2312"/>
                <w:sz w:val="32"/>
                <w:szCs w:val="32"/>
                <w:lang w:val="en-US" w:eastAsia="zh-CN"/>
              </w:rPr>
              <w:t>三级</w:t>
            </w:r>
          </w:p>
        </w:tc>
        <w:tc>
          <w:tcPr>
            <w:tcW w:w="1789" w:type="pct"/>
            <w:vMerge w:val="continue"/>
            <w:tcBorders>
              <w:left w:val="single" w:color="auto" w:sz="4" w:space="0"/>
              <w:right w:val="single" w:color="000000" w:sz="4" w:space="0"/>
            </w:tcBorders>
            <w:shd w:val="clear" w:color="auto" w:fill="auto"/>
            <w:vAlign w:val="center"/>
          </w:tcPr>
          <w:p w14:paraId="6F76D92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方正仿宋_GB2312" w:eastAsia="仿宋_GB2312" w:cs="方正仿宋_GB2312"/>
                <w:sz w:val="32"/>
                <w:szCs w:val="32"/>
                <w:lang w:val="en-US" w:eastAsia="zh-CN"/>
              </w:rPr>
            </w:pPr>
          </w:p>
        </w:tc>
      </w:tr>
      <w:tr w14:paraId="58F1E54F">
        <w:tblPrEx>
          <w:tblCellMar>
            <w:top w:w="0" w:type="dxa"/>
            <w:left w:w="108" w:type="dxa"/>
            <w:bottom w:w="0" w:type="dxa"/>
            <w:right w:w="108" w:type="dxa"/>
          </w:tblCellMar>
        </w:tblPrEx>
        <w:trPr>
          <w:trHeight w:val="702" w:hRule="atLeast"/>
          <w:jc w:val="center"/>
        </w:trPr>
        <w:tc>
          <w:tcPr>
            <w:tcW w:w="2291" w:type="pct"/>
            <w:tcBorders>
              <w:top w:val="single" w:color="000000" w:sz="4" w:space="0"/>
              <w:left w:val="single" w:color="auto" w:sz="4" w:space="0"/>
              <w:bottom w:val="single" w:color="auto" w:sz="4" w:space="0"/>
              <w:right w:val="single" w:color="000000" w:sz="4" w:space="0"/>
            </w:tcBorders>
            <w:shd w:val="clear" w:color="auto" w:fill="auto"/>
            <w:vAlign w:val="center"/>
          </w:tcPr>
          <w:p w14:paraId="180F773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方正仿宋_GB2312" w:eastAsia="仿宋_GB2312" w:cs="方正仿宋_GB2312"/>
                <w:sz w:val="32"/>
                <w:szCs w:val="32"/>
                <w:lang w:val="en-US" w:eastAsia="zh-CN"/>
              </w:rPr>
            </w:pPr>
            <w:r>
              <w:rPr>
                <w:rFonts w:hint="eastAsia" w:ascii="仿宋_GB2312" w:hAnsi="方正仿宋_GB2312" w:eastAsia="仿宋_GB2312" w:cs="方正仿宋_GB2312"/>
                <w:sz w:val="32"/>
                <w:szCs w:val="32"/>
                <w:lang w:val="en-US" w:eastAsia="zh-CN"/>
              </w:rPr>
              <w:t>智慧水利平台</w:t>
            </w:r>
          </w:p>
        </w:tc>
        <w:tc>
          <w:tcPr>
            <w:tcW w:w="918" w:type="pct"/>
            <w:tcBorders>
              <w:top w:val="single" w:color="000000" w:sz="4" w:space="0"/>
              <w:left w:val="single" w:color="auto" w:sz="4" w:space="0"/>
              <w:bottom w:val="single" w:color="auto" w:sz="4" w:space="0"/>
              <w:right w:val="single" w:color="000000" w:sz="4" w:space="0"/>
            </w:tcBorders>
            <w:shd w:val="clear" w:color="auto" w:fill="auto"/>
            <w:vAlign w:val="center"/>
          </w:tcPr>
          <w:p w14:paraId="07C1900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方正仿宋_GB2312" w:eastAsia="仿宋_GB2312" w:cs="方正仿宋_GB2312"/>
                <w:sz w:val="32"/>
                <w:szCs w:val="32"/>
                <w:lang w:val="en-US" w:eastAsia="zh-CN"/>
              </w:rPr>
            </w:pPr>
            <w:r>
              <w:rPr>
                <w:rFonts w:hint="eastAsia" w:ascii="仿宋_GB2312" w:hAnsi="方正仿宋_GB2312" w:eastAsia="仿宋_GB2312" w:cs="方正仿宋_GB2312"/>
                <w:sz w:val="32"/>
                <w:szCs w:val="32"/>
                <w:lang w:val="en-US" w:eastAsia="zh-CN"/>
              </w:rPr>
              <w:t>三级</w:t>
            </w:r>
          </w:p>
        </w:tc>
        <w:tc>
          <w:tcPr>
            <w:tcW w:w="1789" w:type="pct"/>
            <w:vMerge w:val="continue"/>
            <w:tcBorders>
              <w:left w:val="single" w:color="auto" w:sz="4" w:space="0"/>
              <w:right w:val="single" w:color="000000" w:sz="4" w:space="0"/>
            </w:tcBorders>
            <w:shd w:val="clear" w:color="auto" w:fill="auto"/>
            <w:vAlign w:val="center"/>
          </w:tcPr>
          <w:p w14:paraId="7EB288E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方正仿宋_GB2312" w:eastAsia="仿宋_GB2312" w:cs="方正仿宋_GB2312"/>
                <w:sz w:val="32"/>
                <w:szCs w:val="32"/>
                <w:lang w:val="en-US" w:eastAsia="zh-CN"/>
              </w:rPr>
            </w:pPr>
          </w:p>
        </w:tc>
      </w:tr>
      <w:tr w14:paraId="54464C6B">
        <w:tblPrEx>
          <w:tblCellMar>
            <w:top w:w="0" w:type="dxa"/>
            <w:left w:w="108" w:type="dxa"/>
            <w:bottom w:w="0" w:type="dxa"/>
            <w:right w:w="108" w:type="dxa"/>
          </w:tblCellMar>
        </w:tblPrEx>
        <w:trPr>
          <w:trHeight w:val="992" w:hRule="atLeast"/>
          <w:jc w:val="center"/>
        </w:trPr>
        <w:tc>
          <w:tcPr>
            <w:tcW w:w="2291" w:type="pct"/>
            <w:tcBorders>
              <w:top w:val="single" w:color="000000" w:sz="4" w:space="0"/>
              <w:left w:val="single" w:color="auto" w:sz="4" w:space="0"/>
              <w:bottom w:val="single" w:color="auto" w:sz="4" w:space="0"/>
              <w:right w:val="single" w:color="000000" w:sz="4" w:space="0"/>
            </w:tcBorders>
            <w:shd w:val="clear" w:color="auto" w:fill="auto"/>
            <w:vAlign w:val="center"/>
          </w:tcPr>
          <w:p w14:paraId="5EDA275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方正仿宋_GB2312" w:eastAsia="仿宋_GB2312" w:cs="方正仿宋_GB2312"/>
                <w:sz w:val="32"/>
                <w:szCs w:val="32"/>
                <w:lang w:val="en-US" w:eastAsia="zh-CN"/>
              </w:rPr>
            </w:pPr>
            <w:r>
              <w:rPr>
                <w:rFonts w:hint="eastAsia" w:ascii="仿宋_GB2312" w:hAnsi="方正仿宋_GB2312" w:eastAsia="仿宋_GB2312" w:cs="方正仿宋_GB2312"/>
                <w:sz w:val="32"/>
                <w:szCs w:val="32"/>
                <w:lang w:val="en-US" w:eastAsia="zh-CN"/>
              </w:rPr>
              <w:t>国家防汛二期数据汇集平台</w:t>
            </w:r>
          </w:p>
        </w:tc>
        <w:tc>
          <w:tcPr>
            <w:tcW w:w="918" w:type="pct"/>
            <w:tcBorders>
              <w:top w:val="single" w:color="000000" w:sz="4" w:space="0"/>
              <w:left w:val="single" w:color="auto" w:sz="4" w:space="0"/>
              <w:bottom w:val="single" w:color="auto" w:sz="4" w:space="0"/>
              <w:right w:val="single" w:color="000000" w:sz="4" w:space="0"/>
            </w:tcBorders>
            <w:shd w:val="clear" w:color="auto" w:fill="auto"/>
            <w:vAlign w:val="center"/>
          </w:tcPr>
          <w:p w14:paraId="7E0B554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方正仿宋_GB2312" w:eastAsia="仿宋_GB2312" w:cs="方正仿宋_GB2312"/>
                <w:sz w:val="32"/>
                <w:szCs w:val="32"/>
                <w:lang w:val="en-US" w:eastAsia="zh-CN"/>
              </w:rPr>
            </w:pPr>
            <w:r>
              <w:rPr>
                <w:rFonts w:hint="eastAsia" w:ascii="仿宋_GB2312" w:hAnsi="方正仿宋_GB2312" w:eastAsia="仿宋_GB2312" w:cs="方正仿宋_GB2312"/>
                <w:sz w:val="32"/>
                <w:szCs w:val="32"/>
                <w:lang w:val="en-US" w:eastAsia="zh-CN"/>
              </w:rPr>
              <w:t>二级</w:t>
            </w:r>
          </w:p>
        </w:tc>
        <w:tc>
          <w:tcPr>
            <w:tcW w:w="1789" w:type="pct"/>
            <w:vMerge w:val="continue"/>
            <w:tcBorders>
              <w:left w:val="single" w:color="auto" w:sz="4" w:space="0"/>
              <w:bottom w:val="single" w:color="auto" w:sz="4" w:space="0"/>
              <w:right w:val="single" w:color="000000" w:sz="4" w:space="0"/>
            </w:tcBorders>
            <w:shd w:val="clear" w:color="auto" w:fill="auto"/>
            <w:vAlign w:val="center"/>
          </w:tcPr>
          <w:p w14:paraId="0A88082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方正仿宋_GB2312" w:eastAsia="仿宋_GB2312" w:cs="方正仿宋_GB2312"/>
                <w:sz w:val="32"/>
                <w:szCs w:val="32"/>
                <w:lang w:val="en-US" w:eastAsia="zh-CN"/>
              </w:rPr>
            </w:pPr>
          </w:p>
        </w:tc>
      </w:tr>
    </w:tbl>
    <w:p w14:paraId="1863575B">
      <w:pPr>
        <w:keepNext w:val="0"/>
        <w:keepLines w:val="0"/>
        <w:pageBreakBefore w:val="0"/>
        <w:numPr>
          <w:ilvl w:val="0"/>
          <w:numId w:val="0"/>
        </w:numPr>
        <w:kinsoku/>
        <w:wordWrap/>
        <w:overflowPunct/>
        <w:topLinePunct w:val="0"/>
        <w:bidi w:val="0"/>
        <w:snapToGrid/>
        <w:spacing w:line="560" w:lineRule="exact"/>
        <w:ind w:firstLine="624" w:firstLineChars="200"/>
        <w:jc w:val="both"/>
        <w:outlineLvl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二、技术要求</w:t>
      </w:r>
    </w:p>
    <w:p w14:paraId="57ED149E">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（一）等级保护咨询服务</w:t>
      </w:r>
    </w:p>
    <w:p w14:paraId="68C24E4C">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根据国家、地方、行业的等级保护相关政策和标准要求，分析等级保护对象的具体情况，协助完成等级保护对象风险分析、差距分析、整改加固、安全管理制度完善、测评现场辅助的工作。协助通过网络安全等级保护测评。</w:t>
      </w:r>
    </w:p>
    <w:p w14:paraId="70122FF0">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资产梳理服务</w:t>
      </w:r>
    </w:p>
    <w:p w14:paraId="7FC77909">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对服务范围内信息系统相关的物理环境、网络结构、安全环境、主机以及业务系统进行摸底调研，进行资产梳理，了解信息安全的状况。</w:t>
      </w:r>
    </w:p>
    <w:p w14:paraId="6B8F632D">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2</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定级备案更新服务</w:t>
      </w:r>
    </w:p>
    <w:p w14:paraId="37D608E0">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定级备案更新服务：依据《网络安全等级保护定级指南》及《关于进一步做好网络安全等级保护有关工作的函》等法规文件，在完成信息系统业务安全性深度分析的基础上，明确信息系统安全保护等级的确定步骤与方法，形成专业定级建议；同时，配合采购人对接所在地网安部门的具体监管要求，</w:t>
      </w:r>
      <w:r>
        <w:rPr>
          <w:rFonts w:hint="eastAsia" w:ascii="仿宋_GB2312" w:hAnsi="仿宋_GB2312" w:eastAsia="仿宋_GB2312" w:cs="仿宋_GB2312"/>
          <w:kern w:val="2"/>
          <w:sz w:val="32"/>
          <w:szCs w:val="32"/>
          <w:lang w:val="en-US" w:eastAsia="zh-CN" w:bidi="ar-SA"/>
        </w:rPr>
        <w:t>按</w:t>
      </w:r>
      <w:r>
        <w:rPr>
          <w:rFonts w:hint="default" w:ascii="仿宋_GB2312" w:hAnsi="仿宋_GB2312" w:eastAsia="仿宋_GB2312" w:cs="仿宋_GB2312"/>
          <w:kern w:val="2"/>
          <w:sz w:val="32"/>
          <w:szCs w:val="32"/>
          <w:lang w:val="en-US" w:eastAsia="zh-CN" w:bidi="ar-SA"/>
        </w:rPr>
        <w:t>网安要求全程协助用户开展系统定级评估与备案材料填报、提交等工作，确保定级合规、备案流程顺畅。</w:t>
      </w:r>
    </w:p>
    <w:p w14:paraId="26142F40">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3</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差距分析服务</w:t>
      </w:r>
    </w:p>
    <w:p w14:paraId="3AD38793">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根据《GB/T 22239-2019信息安全技术网络安全等级保护基本要求》将定级信息系统等级保护的各项基本要求与信息安全现状进行比较分析，从管理和技术两个层面找出存在的问题并进行差距分析。差距分析内容主要包括：等保测评前对我厅信息系统进行漏洞扫描、渗透分析等自检自查工作，评估系统的脆弱性。</w:t>
      </w:r>
    </w:p>
    <w:p w14:paraId="79B4D95A">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4</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规划整改</w:t>
      </w:r>
    </w:p>
    <w:p w14:paraId="55BCE3BC">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根据差距分析成果，结合信息系统的具体情况，从两个方面进行规划整改，并提出整改方案：①从安全物理环境、安全通信网络、安全区域边界、安全计算环境以及安全管理中心五个层面进行安全技术加固工作；②从安全管理制度、安全管理机构、安全管理人员、安全建设管理以及安全运维管五个层面做好安全管理整改工作。</w:t>
      </w:r>
    </w:p>
    <w:p w14:paraId="320B1532">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5</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整改实施服务</w:t>
      </w:r>
    </w:p>
    <w:p w14:paraId="03905F4E">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根据等级保护基本要求以及风险分析结果，派遣专业工程师到现场提供专业的系统安全加固建议和整改服务：从安全物理环境、安全通信网络、安全区域边界、安全计算环境以及安全管理中心五个层面进行安全技术加固整改工作</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从安全管理制度、安全管理机构、安全管理人员、安全建设管理以及安全运维管五个层面做好安全管理整改工作；针对风险分析与差距评估的结果，实施安全策略优化辅导，提供网络、主机、数据库、应用等安全加固建议、整改服务和备机服务等；加固完成后，派遣专业工程师到现场针对加固前后的系统脆弱性进行复查，复查手段包括但不限于协议分析、漏洞扫描、漏洞验证以及配置核查等方法。</w:t>
      </w:r>
    </w:p>
    <w:p w14:paraId="050E0A5D">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6</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辅助测评服务</w:t>
      </w:r>
    </w:p>
    <w:p w14:paraId="2636E3F5">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在测评阶段协助准备测评材料，指导配合测评机构开展等级测评工作，组织测评整改，并辅助客户顺利通过等保测评获得测评报告。测评完成后，协助获得等保测评报告。</w:t>
      </w:r>
    </w:p>
    <w:p w14:paraId="77775E40">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（二）等级保护测评服务</w:t>
      </w:r>
    </w:p>
    <w:p w14:paraId="1F9E1640">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w:t>
      </w:r>
      <w:r>
        <w:rPr>
          <w:rFonts w:hint="default" w:ascii="仿宋_GB2312" w:hAnsi="仿宋_GB2312" w:eastAsia="仿宋_GB2312" w:cs="仿宋_GB2312"/>
          <w:kern w:val="2"/>
          <w:sz w:val="32"/>
          <w:szCs w:val="32"/>
          <w:lang w:val="en-US" w:eastAsia="zh-CN" w:bidi="ar-SA"/>
        </w:rPr>
        <w:t>供应商须依据国家《中华人民共和国计算机信息系统安全保护条例》（国务院147号令）、《信息安全等级保护管理办法》（公通字〔2007〕43号）、《信息安全技术 网络安全等级保护基本要求GBT22239-2019 》、《信息安全技术 网络安全等级保护测评要求GBT28448-2019》等法规要求进行信息系统安全等保测评。测评通过后提供的最终版报告需加盖本测评机构印章。</w:t>
      </w:r>
    </w:p>
    <w:p w14:paraId="2F3BA9F4">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w:t>
      </w:r>
      <w:r>
        <w:rPr>
          <w:rFonts w:hint="default" w:ascii="仿宋_GB2312" w:hAnsi="仿宋_GB2312" w:eastAsia="仿宋_GB2312" w:cs="仿宋_GB2312"/>
          <w:kern w:val="2"/>
          <w:sz w:val="32"/>
          <w:szCs w:val="32"/>
          <w:lang w:val="en-US" w:eastAsia="zh-CN" w:bidi="ar-SA"/>
        </w:rPr>
        <w:t>安全物理环境测评：须针对物理位置选择、物理访问控制、防盗窃和防破坏、防雷击、防火、防水和防潮、防静电、温湿度控制、电力供应、电磁防护等内容进行测评。</w:t>
      </w:r>
    </w:p>
    <w:p w14:paraId="03F7CC93">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w:t>
      </w:r>
      <w:r>
        <w:rPr>
          <w:rFonts w:hint="default" w:ascii="仿宋_GB2312" w:hAnsi="仿宋_GB2312" w:eastAsia="仿宋_GB2312" w:cs="仿宋_GB2312"/>
          <w:kern w:val="2"/>
          <w:sz w:val="32"/>
          <w:szCs w:val="32"/>
          <w:lang w:val="en-US" w:eastAsia="zh-CN" w:bidi="ar-SA"/>
        </w:rPr>
        <w:t>安全通信网络测评：须针对网络架构、通信传输、可信验证等内容进行测评。</w:t>
      </w:r>
    </w:p>
    <w:p w14:paraId="0F64EF00">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w:t>
      </w:r>
      <w:r>
        <w:rPr>
          <w:rFonts w:hint="default" w:ascii="仿宋_GB2312" w:hAnsi="仿宋_GB2312" w:eastAsia="仿宋_GB2312" w:cs="仿宋_GB2312"/>
          <w:kern w:val="2"/>
          <w:sz w:val="32"/>
          <w:szCs w:val="32"/>
          <w:lang w:val="en-US" w:eastAsia="zh-CN" w:bidi="ar-SA"/>
        </w:rPr>
        <w:t>安全区域边界测评：须针对边界防护、访问控制、入侵防范、恶意代码和垃圾邮件防范、安全审计、可信验证等内容进行测评。</w:t>
      </w:r>
    </w:p>
    <w:p w14:paraId="1F73A52E">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5.</w:t>
      </w:r>
      <w:r>
        <w:rPr>
          <w:rFonts w:hint="default" w:ascii="仿宋_GB2312" w:hAnsi="仿宋_GB2312" w:eastAsia="仿宋_GB2312" w:cs="仿宋_GB2312"/>
          <w:kern w:val="2"/>
          <w:sz w:val="32"/>
          <w:szCs w:val="32"/>
          <w:lang w:val="en-US" w:eastAsia="zh-CN" w:bidi="ar-SA"/>
        </w:rPr>
        <w:t>安全计算环境测评：须针对身份鉴别、访问控制、安全审计、入侵防范、可信验证、数据完整性、数据保密性、数据备份恢复等内容进行测评。</w:t>
      </w:r>
    </w:p>
    <w:p w14:paraId="30862583">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6.</w:t>
      </w:r>
      <w:r>
        <w:rPr>
          <w:rFonts w:hint="default" w:ascii="仿宋_GB2312" w:hAnsi="仿宋_GB2312" w:eastAsia="仿宋_GB2312" w:cs="仿宋_GB2312"/>
          <w:kern w:val="2"/>
          <w:sz w:val="32"/>
          <w:szCs w:val="32"/>
          <w:lang w:val="en-US" w:eastAsia="zh-CN" w:bidi="ar-SA"/>
        </w:rPr>
        <w:t>安全管理中心测评：须针对系统管理、审计管理、安全管理、集中管控等内容进行测评。</w:t>
      </w:r>
    </w:p>
    <w:p w14:paraId="221093DD">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7.</w:t>
      </w:r>
      <w:r>
        <w:rPr>
          <w:rFonts w:hint="default" w:ascii="仿宋_GB2312" w:hAnsi="仿宋_GB2312" w:eastAsia="仿宋_GB2312" w:cs="仿宋_GB2312"/>
          <w:kern w:val="2"/>
          <w:sz w:val="32"/>
          <w:szCs w:val="32"/>
          <w:lang w:val="en-US" w:eastAsia="zh-CN" w:bidi="ar-SA"/>
        </w:rPr>
        <w:t>安全管理制度测评：须针对管理制度、制定和发布、评审和修订等情况进行核查。</w:t>
      </w:r>
    </w:p>
    <w:p w14:paraId="35836D0C">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8.</w:t>
      </w:r>
      <w:r>
        <w:rPr>
          <w:rFonts w:hint="default" w:ascii="仿宋_GB2312" w:hAnsi="仿宋_GB2312" w:eastAsia="仿宋_GB2312" w:cs="仿宋_GB2312"/>
          <w:kern w:val="2"/>
          <w:sz w:val="32"/>
          <w:szCs w:val="32"/>
          <w:lang w:val="en-US" w:eastAsia="zh-CN" w:bidi="ar-SA"/>
        </w:rPr>
        <w:t>安全管理机构测评：须针对安全管理机构的岗位设置、人员配备、授权和审批、沟通和协作、审核和检查等。</w:t>
      </w:r>
    </w:p>
    <w:p w14:paraId="35E5B84B">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9.</w:t>
      </w:r>
      <w:r>
        <w:rPr>
          <w:rFonts w:hint="default" w:ascii="仿宋_GB2312" w:hAnsi="仿宋_GB2312" w:eastAsia="仿宋_GB2312" w:cs="仿宋_GB2312"/>
          <w:kern w:val="2"/>
          <w:sz w:val="32"/>
          <w:szCs w:val="32"/>
          <w:lang w:val="en-US" w:eastAsia="zh-CN" w:bidi="ar-SA"/>
        </w:rPr>
        <w:t>安全管理人员测评：安全管理人员的录用、离岗、考核、安全意识教育和培训、外部人员访问管理等进行核查。</w:t>
      </w:r>
    </w:p>
    <w:p w14:paraId="6517456B">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kern w:val="2"/>
          <w:sz w:val="32"/>
          <w:szCs w:val="32"/>
          <w:lang w:val="en-US" w:eastAsia="zh-CN" w:bidi="ar-SA"/>
        </w:rPr>
        <w:t>0.</w:t>
      </w:r>
      <w:r>
        <w:rPr>
          <w:rFonts w:hint="default" w:ascii="仿宋_GB2312" w:hAnsi="仿宋_GB2312" w:eastAsia="仿宋_GB2312" w:cs="仿宋_GB2312"/>
          <w:kern w:val="2"/>
          <w:sz w:val="32"/>
          <w:szCs w:val="32"/>
          <w:lang w:val="en-US" w:eastAsia="zh-CN" w:bidi="ar-SA"/>
        </w:rPr>
        <w:t>安全建设管理测评：须针对系统建设的全过程，系统定级、安全方案设计、产品采购和使用、自行软件开发、外包软件开发等进行核查。</w:t>
      </w:r>
    </w:p>
    <w:p w14:paraId="5BC60236">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kern w:val="2"/>
          <w:sz w:val="32"/>
          <w:szCs w:val="32"/>
          <w:lang w:val="en-US" w:eastAsia="zh-CN" w:bidi="ar-SA"/>
        </w:rPr>
        <w:t>1.</w:t>
      </w:r>
      <w:r>
        <w:rPr>
          <w:rFonts w:hint="default" w:ascii="仿宋_GB2312" w:hAnsi="仿宋_GB2312" w:eastAsia="仿宋_GB2312" w:cs="仿宋_GB2312"/>
          <w:kern w:val="2"/>
          <w:sz w:val="32"/>
          <w:szCs w:val="32"/>
          <w:lang w:val="en-US" w:eastAsia="zh-CN" w:bidi="ar-SA"/>
        </w:rPr>
        <w:t>安全运维管理测评：须针对资产管理、介质管理、设备管理、监控管理、系统安全管理、恶意代码防范管理、密码管理、变更管理、备份与恢复管理、安全事件处置、应急预案管理进行核查。</w:t>
      </w:r>
    </w:p>
    <w:p w14:paraId="2FC53608">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kern w:val="2"/>
          <w:sz w:val="32"/>
          <w:szCs w:val="32"/>
          <w:lang w:val="en-US" w:eastAsia="zh-CN" w:bidi="ar-SA"/>
        </w:rPr>
        <w:t>2.</w:t>
      </w:r>
      <w:r>
        <w:rPr>
          <w:rFonts w:hint="default" w:ascii="仿宋_GB2312" w:hAnsi="仿宋_GB2312" w:eastAsia="仿宋_GB2312" w:cs="仿宋_GB2312"/>
          <w:kern w:val="2"/>
          <w:sz w:val="32"/>
          <w:szCs w:val="32"/>
          <w:lang w:val="en-US" w:eastAsia="zh-CN" w:bidi="ar-SA"/>
        </w:rPr>
        <w:t>安全验证测试：验证测试包括漏洞扫描、渗透测试等，将验证测试发现的安全问题对应到相应的测评项的结果记录中。针对漏洞扫描和渗透测试发现的安全问题进行汇总描述，内容至少包括漏洞问题、涉及系统或者IP、风险级别等，记录验证测试过程。</w:t>
      </w:r>
    </w:p>
    <w:p w14:paraId="6DB3F467">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kern w:val="2"/>
          <w:sz w:val="32"/>
          <w:szCs w:val="32"/>
          <w:lang w:val="en-US" w:eastAsia="zh-CN" w:bidi="ar-SA"/>
        </w:rPr>
        <w:t>3.</w:t>
      </w:r>
      <w:r>
        <w:rPr>
          <w:rFonts w:hint="default" w:ascii="仿宋_GB2312" w:hAnsi="仿宋_GB2312" w:eastAsia="仿宋_GB2312" w:cs="仿宋_GB2312"/>
          <w:kern w:val="2"/>
          <w:sz w:val="32"/>
          <w:szCs w:val="32"/>
          <w:lang w:val="en-US" w:eastAsia="zh-CN" w:bidi="ar-SA"/>
        </w:rPr>
        <w:t>整体要求测评：具体内容围绕GB/T 28448-2019《信息安全技术 网络安全等级保护测评要求》，从安全控制点间、区域间/层面间和验证测试等方面对单项测评的结果进行验证、分析和整体评价。</w:t>
      </w:r>
    </w:p>
    <w:p w14:paraId="38958A78">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三</w:t>
      </w:r>
      <w:r>
        <w:rPr>
          <w:rFonts w:hint="default" w:ascii="仿宋_GB2312" w:hAnsi="仿宋_GB2312" w:eastAsia="仿宋_GB2312" w:cs="仿宋_GB2312"/>
          <w:kern w:val="2"/>
          <w:sz w:val="32"/>
          <w:szCs w:val="32"/>
          <w:lang w:val="en-US" w:eastAsia="zh-CN" w:bidi="ar-SA"/>
        </w:rPr>
        <w:t>）其他要求</w:t>
      </w:r>
    </w:p>
    <w:p w14:paraId="574EBF34">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eastAsia" w:ascii="仿宋_GB2312" w:hAnsi="仿宋_GB2312" w:eastAsia="仿宋_GB2312" w:cs="仿宋_GB2312"/>
          <w:strike/>
          <w:dstrike w:val="0"/>
          <w:kern w:val="2"/>
          <w:sz w:val="32"/>
          <w:szCs w:val="32"/>
          <w:highlight w:val="yellow"/>
          <w:lang w:val="en-US" w:eastAsia="zh-CN" w:bidi="ar-SA"/>
        </w:rPr>
      </w:pPr>
      <w:r>
        <w:rPr>
          <w:rFonts w:hint="eastAsia" w:ascii="仿宋_GB2312" w:hAnsi="仿宋_GB2312" w:eastAsia="仿宋_GB2312" w:cs="仿宋_GB2312"/>
          <w:kern w:val="2"/>
          <w:sz w:val="32"/>
          <w:szCs w:val="32"/>
          <w:lang w:val="en-US" w:eastAsia="zh-CN" w:bidi="ar-SA"/>
        </w:rPr>
        <w:t>1.</w:t>
      </w:r>
      <w:r>
        <w:rPr>
          <w:rFonts w:hint="default" w:ascii="仿宋_GB2312" w:hAnsi="仿宋_GB2312" w:eastAsia="仿宋_GB2312" w:cs="仿宋_GB2312"/>
          <w:kern w:val="2"/>
          <w:sz w:val="32"/>
          <w:szCs w:val="32"/>
          <w:lang w:val="en-US" w:eastAsia="zh-CN" w:bidi="ar-SA"/>
        </w:rPr>
        <w:t>供应商须在签订合同之日起10日内完成等保差距评估、等保安全评估、安全整改加固和本项目支撑服务工具的部署、调试等测评准备工作；20日内等保测评人员开展测评。</w:t>
      </w:r>
    </w:p>
    <w:p w14:paraId="0643E3FC">
      <w:pPr>
        <w:pStyle w:val="6"/>
        <w:keepNext w:val="0"/>
        <w:keepLines w:val="0"/>
        <w:pageBreakBefore w:val="0"/>
        <w:numPr>
          <w:ilvl w:val="0"/>
          <w:numId w:val="0"/>
        </w:numPr>
        <w:kinsoku/>
        <w:wordWrap/>
        <w:overflowPunct/>
        <w:topLinePunct w:val="0"/>
        <w:bidi w:val="0"/>
        <w:snapToGrid/>
        <w:spacing w:line="560" w:lineRule="exact"/>
        <w:ind w:firstLine="624" w:firstLineChars="200"/>
        <w:jc w:val="both"/>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w:t>
      </w:r>
      <w:r>
        <w:rPr>
          <w:rFonts w:hint="default" w:ascii="仿宋_GB2312" w:hAnsi="仿宋_GB2312" w:eastAsia="仿宋_GB2312" w:cs="仿宋_GB2312"/>
          <w:kern w:val="2"/>
          <w:sz w:val="32"/>
          <w:szCs w:val="32"/>
          <w:lang w:val="en-US" w:eastAsia="zh-CN" w:bidi="ar-SA"/>
        </w:rPr>
        <w:t>为保证服务质量，供应商投入的测评团队人员不少于5人（含），需至少配备1名高级测评师作为技术负责人，1名中级测评师，3名初级测评师按照要求开展测评工作，以上人员</w:t>
      </w:r>
      <w:r>
        <w:rPr>
          <w:rFonts w:hint="eastAsia" w:ascii="仿宋_GB2312" w:hAnsi="仿宋_GB2312" w:eastAsia="仿宋_GB2312" w:cs="仿宋_GB2312"/>
          <w:kern w:val="2"/>
          <w:sz w:val="32"/>
          <w:szCs w:val="32"/>
          <w:lang w:val="en-US" w:eastAsia="zh-CN" w:bidi="ar-SA"/>
        </w:rPr>
        <w:t>在服务期间</w:t>
      </w:r>
      <w:r>
        <w:rPr>
          <w:rFonts w:hint="default" w:ascii="仿宋_GB2312" w:hAnsi="仿宋_GB2312" w:eastAsia="仿宋_GB2312" w:cs="仿宋_GB2312"/>
          <w:kern w:val="2"/>
          <w:sz w:val="32"/>
          <w:szCs w:val="32"/>
          <w:lang w:val="en-US" w:eastAsia="zh-CN" w:bidi="ar-SA"/>
        </w:rPr>
        <w:t>需</w:t>
      </w:r>
      <w:r>
        <w:rPr>
          <w:rFonts w:hint="eastAsia" w:ascii="仿宋_GB2312" w:hAnsi="仿宋_GB2312" w:eastAsia="仿宋_GB2312" w:cs="仿宋_GB2312"/>
          <w:kern w:val="2"/>
          <w:sz w:val="32"/>
          <w:szCs w:val="32"/>
          <w:lang w:val="en-US" w:eastAsia="zh-CN" w:bidi="ar-SA"/>
        </w:rPr>
        <w:t>在业主指定地点实施项目服务，直至测评工作完成，并</w:t>
      </w:r>
      <w:r>
        <w:rPr>
          <w:rFonts w:hint="default" w:ascii="仿宋_GB2312" w:hAnsi="仿宋_GB2312" w:eastAsia="仿宋_GB2312" w:cs="仿宋_GB2312"/>
          <w:kern w:val="2"/>
          <w:sz w:val="32"/>
          <w:szCs w:val="32"/>
          <w:lang w:val="en-US" w:eastAsia="zh-CN" w:bidi="ar-SA"/>
        </w:rPr>
        <w:t>提供</w:t>
      </w:r>
      <w:r>
        <w:rPr>
          <w:rFonts w:hint="eastAsia" w:ascii="仿宋_GB2312" w:hAnsi="仿宋_GB2312" w:eastAsia="仿宋_GB2312" w:cs="仿宋_GB2312"/>
          <w:kern w:val="2"/>
          <w:sz w:val="32"/>
          <w:szCs w:val="32"/>
          <w:lang w:val="en-US" w:eastAsia="zh-CN" w:bidi="ar-SA"/>
        </w:rPr>
        <w:t>相关人员</w:t>
      </w:r>
      <w:r>
        <w:rPr>
          <w:rFonts w:hint="default" w:ascii="仿宋_GB2312" w:hAnsi="仿宋_GB2312" w:eastAsia="仿宋_GB2312" w:cs="仿宋_GB2312"/>
          <w:kern w:val="2"/>
          <w:sz w:val="32"/>
          <w:szCs w:val="32"/>
          <w:lang w:val="en-US" w:eastAsia="zh-CN" w:bidi="ar-SA"/>
        </w:rPr>
        <w:t>网络安全等级测评师证书复印件及投标截止时间前六个月</w:t>
      </w:r>
      <w:r>
        <w:rPr>
          <w:rFonts w:hint="eastAsia" w:ascii="仿宋_GB2312" w:hAnsi="仿宋_GB2312" w:eastAsia="仿宋_GB2312" w:cs="仿宋_GB2312"/>
          <w:kern w:val="2"/>
          <w:sz w:val="32"/>
          <w:szCs w:val="32"/>
          <w:lang w:val="en-US" w:eastAsia="zh-CN" w:bidi="ar-SA"/>
        </w:rPr>
        <w:t>任一个月</w:t>
      </w:r>
      <w:r>
        <w:rPr>
          <w:rFonts w:hint="default" w:ascii="仿宋_GB2312" w:hAnsi="仿宋_GB2312" w:eastAsia="仿宋_GB2312" w:cs="仿宋_GB2312"/>
          <w:kern w:val="2"/>
          <w:sz w:val="32"/>
          <w:szCs w:val="32"/>
          <w:lang w:val="en-US" w:eastAsia="zh-CN" w:bidi="ar-SA"/>
        </w:rPr>
        <w:t>（不含投标截止时间当月）的社会保险证明材料复印件。</w:t>
      </w:r>
    </w:p>
    <w:p w14:paraId="54A9730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24" w:firstLineChars="200"/>
        <w:jc w:val="both"/>
        <w:textAlignment w:val="auto"/>
        <w:rPr>
          <w:rFonts w:hint="eastAsia" w:ascii="仿宋_GB2312" w:hAnsi="仿宋_GB2312" w:eastAsia="仿宋_GB2312" w:cs="Times New Roman"/>
          <w:kern w:val="2"/>
          <w:sz w:val="32"/>
          <w:szCs w:val="32"/>
          <w:highlight w:val="none"/>
          <w:lang w:val="en-US" w:eastAsia="zh-CN" w:bidi="ar-SA"/>
        </w:rPr>
      </w:pPr>
      <w:r>
        <w:rPr>
          <w:rFonts w:hint="eastAsia" w:ascii="仿宋_GB2312" w:hAnsi="仿宋_GB2312" w:eastAsia="仿宋_GB2312" w:cs="Times New Roman"/>
          <w:kern w:val="2"/>
          <w:sz w:val="32"/>
          <w:szCs w:val="32"/>
          <w:highlight w:val="none"/>
          <w:lang w:val="en-US" w:eastAsia="zh-CN" w:bidi="ar-SA"/>
        </w:rPr>
        <w:t>3</w:t>
      </w:r>
      <w:r>
        <w:rPr>
          <w:rFonts w:hint="default" w:ascii="仿宋_GB2312" w:hAnsi="仿宋_GB2312" w:eastAsia="仿宋_GB2312" w:cs="Times New Roman"/>
          <w:kern w:val="2"/>
          <w:sz w:val="32"/>
          <w:szCs w:val="32"/>
          <w:highlight w:val="none"/>
          <w:lang w:val="en-US" w:eastAsia="zh-CN" w:bidi="ar-SA"/>
        </w:rPr>
        <w:t>、为实现测评过程全流程可控，供应商需具备以下工具</w:t>
      </w:r>
      <w:r>
        <w:rPr>
          <w:rFonts w:hint="eastAsia" w:ascii="仿宋_GB2312" w:hAnsi="仿宋_GB2312" w:eastAsia="仿宋_GB2312" w:cs="Times New Roman"/>
          <w:kern w:val="2"/>
          <w:sz w:val="32"/>
          <w:szCs w:val="32"/>
          <w:highlight w:val="none"/>
          <w:lang w:val="en-US" w:eastAsia="zh-CN" w:bidi="ar-SA"/>
        </w:rPr>
        <w:t>：</w:t>
      </w:r>
    </w:p>
    <w:p w14:paraId="3965ED7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24" w:firstLineChars="200"/>
        <w:jc w:val="both"/>
        <w:textAlignment w:val="auto"/>
        <w:rPr>
          <w:rFonts w:hint="default" w:ascii="仿宋_GB2312" w:hAnsi="仿宋_GB2312" w:eastAsia="仿宋_GB2312" w:cs="Times New Roman"/>
          <w:kern w:val="2"/>
          <w:sz w:val="32"/>
          <w:szCs w:val="32"/>
          <w:highlight w:val="none"/>
          <w:lang w:val="en-US" w:eastAsia="zh-CN" w:bidi="ar-SA"/>
        </w:rPr>
      </w:pPr>
      <w:r>
        <w:rPr>
          <w:rFonts w:hint="eastAsia" w:ascii="仿宋_GB2312" w:hAnsi="仿宋_GB2312" w:eastAsia="仿宋_GB2312" w:cs="Times New Roman"/>
          <w:kern w:val="2"/>
          <w:sz w:val="32"/>
          <w:szCs w:val="32"/>
          <w:highlight w:val="none"/>
          <w:lang w:val="en-US" w:eastAsia="zh-CN" w:bidi="ar-SA"/>
        </w:rPr>
        <w:t>（1）等保辅助</w:t>
      </w:r>
      <w:r>
        <w:rPr>
          <w:rFonts w:hint="default" w:ascii="仿宋_GB2312" w:hAnsi="仿宋_GB2312" w:eastAsia="仿宋_GB2312" w:cs="Times New Roman"/>
          <w:kern w:val="2"/>
          <w:sz w:val="32"/>
          <w:szCs w:val="32"/>
          <w:highlight w:val="none"/>
          <w:lang w:val="en-US" w:eastAsia="zh-CN" w:bidi="ar-SA"/>
        </w:rPr>
        <w:t>工具</w:t>
      </w:r>
      <w:r>
        <w:rPr>
          <w:rFonts w:hint="eastAsia" w:ascii="仿宋_GB2312" w:hAnsi="仿宋_GB2312" w:eastAsia="仿宋_GB2312" w:cs="Times New Roman"/>
          <w:kern w:val="2"/>
          <w:sz w:val="32"/>
          <w:szCs w:val="32"/>
          <w:highlight w:val="none"/>
          <w:lang w:val="en-US" w:eastAsia="zh-CN" w:bidi="ar-SA"/>
        </w:rPr>
        <w:t>：</w:t>
      </w:r>
      <w:r>
        <w:rPr>
          <w:rFonts w:hint="default" w:ascii="仿宋_GB2312" w:hAnsi="仿宋_GB2312" w:eastAsia="仿宋_GB2312" w:cs="Times New Roman"/>
          <w:kern w:val="2"/>
          <w:sz w:val="32"/>
          <w:szCs w:val="32"/>
          <w:highlight w:val="none"/>
          <w:lang w:val="en-US" w:eastAsia="zh-CN" w:bidi="ar-SA"/>
        </w:rPr>
        <w:t>①支持预录入测评单位、测评组、被测单位和被测对象；②支持已归档测评任务、测评组已完成系统、测评组进行中测评任务分布。</w:t>
      </w:r>
      <w:r>
        <w:rPr>
          <w:rFonts w:hint="eastAsia" w:ascii="仿宋_GB2312" w:hAnsi="仿宋_GB2312" w:eastAsia="仿宋_GB2312" w:cs="Times New Roman"/>
          <w:kern w:val="2"/>
          <w:sz w:val="32"/>
          <w:szCs w:val="32"/>
          <w:highlight w:val="none"/>
          <w:lang w:val="en-US" w:eastAsia="zh-CN" w:bidi="ar-SA"/>
        </w:rPr>
        <w:t>【</w:t>
      </w:r>
      <w:r>
        <w:rPr>
          <w:rFonts w:hint="default" w:ascii="仿宋_GB2312" w:hAnsi="仿宋_GB2312" w:eastAsia="仿宋_GB2312" w:cs="Times New Roman"/>
          <w:kern w:val="2"/>
          <w:sz w:val="32"/>
          <w:szCs w:val="32"/>
          <w:highlight w:val="none"/>
          <w:lang w:val="en-US" w:eastAsia="zh-CN" w:bidi="ar-SA"/>
        </w:rPr>
        <w:t>需提供第三方检测机构出具的带有CMA标识（所佐证参数应在第三方检测机构取得的CMA检验检测能力范围内）的检测报告</w:t>
      </w:r>
      <w:r>
        <w:rPr>
          <w:rFonts w:hint="eastAsia" w:ascii="仿宋_GB2312" w:hAnsi="仿宋_GB2312" w:eastAsia="仿宋_GB2312" w:cs="Times New Roman"/>
          <w:kern w:val="2"/>
          <w:sz w:val="32"/>
          <w:szCs w:val="32"/>
          <w:highlight w:val="none"/>
          <w:lang w:val="en-US" w:eastAsia="zh-CN" w:bidi="ar-SA"/>
        </w:rPr>
        <w:t>】</w:t>
      </w:r>
      <w:r>
        <w:rPr>
          <w:rFonts w:hint="default" w:ascii="仿宋_GB2312" w:hAnsi="仿宋_GB2312" w:eastAsia="仿宋_GB2312" w:cs="Times New Roman"/>
          <w:kern w:val="2"/>
          <w:sz w:val="32"/>
          <w:szCs w:val="32"/>
          <w:highlight w:val="none"/>
          <w:lang w:val="en-US" w:eastAsia="zh-CN" w:bidi="ar-SA"/>
        </w:rPr>
        <w:t>。</w:t>
      </w:r>
    </w:p>
    <w:p w14:paraId="6AFDBCC6">
      <w:pPr>
        <w:pStyle w:val="6"/>
        <w:keepNext w:val="0"/>
        <w:keepLines w:val="0"/>
        <w:pageBreakBefore w:val="0"/>
        <w:numPr>
          <w:ilvl w:val="0"/>
          <w:numId w:val="0"/>
        </w:numPr>
        <w:kinsoku/>
        <w:wordWrap/>
        <w:overflowPunct/>
        <w:topLinePunct w:val="0"/>
        <w:autoSpaceDE/>
        <w:autoSpaceDN/>
        <w:bidi w:val="0"/>
        <w:adjustRightInd/>
        <w:snapToGrid/>
        <w:spacing w:beforeAutospacing="0" w:after="0" w:afterAutospacing="0" w:line="560" w:lineRule="exact"/>
        <w:ind w:left="0" w:leftChars="0" w:firstLine="624" w:firstLineChars="200"/>
        <w:jc w:val="both"/>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应急响应工具：支持应急响应信息高效采集，采集的内容含有：①进程列表、②计划任务、③系统服务、④路由表、⑤已装软件、⑥防火墙、⑦系统日志、⑧剪贴板、⑨网卡信息、⑩敏感目录等。（须提供产品功能截图并加盖供应商公章）</w:t>
      </w:r>
    </w:p>
    <w:p w14:paraId="6995DDC3">
      <w:pPr>
        <w:pStyle w:val="6"/>
        <w:keepNext w:val="0"/>
        <w:keepLines w:val="0"/>
        <w:pageBreakBefore w:val="0"/>
        <w:numPr>
          <w:ilvl w:val="0"/>
          <w:numId w:val="0"/>
        </w:numPr>
        <w:kinsoku/>
        <w:wordWrap/>
        <w:overflowPunct/>
        <w:topLinePunct w:val="0"/>
        <w:autoSpaceDE/>
        <w:autoSpaceDN/>
        <w:bidi w:val="0"/>
        <w:adjustRightInd/>
        <w:snapToGrid/>
        <w:spacing w:beforeAutospacing="0" w:after="0" w:afterAutospacing="0" w:line="560" w:lineRule="exact"/>
        <w:ind w:left="0" w:leftChars="0" w:firstLine="624" w:firstLineChars="200"/>
        <w:jc w:val="both"/>
        <w:rPr>
          <w:rFonts w:hint="eastAsia" w:ascii="仿宋_GB2312" w:hAnsi="仿宋_GB2312" w:eastAsia="仿宋_GB2312" w:cs="仿宋_GB2312"/>
          <w:b w:val="0"/>
          <w:bCs w:val="0"/>
          <w:kern w:val="2"/>
          <w:sz w:val="32"/>
          <w:szCs w:val="32"/>
          <w:highlight w:val="none"/>
          <w:lang w:val="en-US" w:eastAsia="zh-CN" w:bidi="ar-SA"/>
        </w:rPr>
      </w:pPr>
      <w:r>
        <w:rPr>
          <w:rFonts w:hint="eastAsia" w:ascii="仿宋_GB2312" w:hAnsi="仿宋_GB2312" w:eastAsia="仿宋_GB2312" w:cs="仿宋_GB2312"/>
          <w:b w:val="0"/>
          <w:bCs w:val="0"/>
          <w:kern w:val="2"/>
          <w:sz w:val="32"/>
          <w:szCs w:val="32"/>
          <w:highlight w:val="none"/>
          <w:lang w:val="en-US" w:eastAsia="zh-CN" w:bidi="ar-SA"/>
        </w:rPr>
        <w:t>（3）等保测评支撑工具：支持等保测评全流程管理，包括①系统基本信息管理；②资产管理；③现场核查记录管理；④风险分析管理；⑤测评文档归档等功能。</w:t>
      </w:r>
      <w:r>
        <w:rPr>
          <w:rFonts w:hint="eastAsia" w:ascii="仿宋_GB2312" w:hAnsi="仿宋_GB2312" w:eastAsia="仿宋_GB2312" w:cs="仿宋_GB2312"/>
          <w:kern w:val="2"/>
          <w:sz w:val="32"/>
          <w:szCs w:val="32"/>
          <w:highlight w:val="none"/>
          <w:lang w:val="en-US" w:eastAsia="zh-CN" w:bidi="ar-SA"/>
        </w:rPr>
        <w:t>（须提供产品功能截图并加盖供应商公章）</w:t>
      </w:r>
    </w:p>
    <w:p w14:paraId="5A1797DE">
      <w:pPr>
        <w:pStyle w:val="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24" w:firstLineChars="200"/>
        <w:jc w:val="both"/>
        <w:textAlignment w:val="auto"/>
        <w:rPr>
          <w:rFonts w:hint="eastAsia" w:ascii="仿宋_GB2312" w:hAnsi="仿宋_GB2312" w:eastAsia="仿宋_GB2312" w:cs="仿宋_GB2312"/>
          <w:b w:val="0"/>
          <w:bCs w:val="0"/>
          <w:kern w:val="2"/>
          <w:sz w:val="32"/>
          <w:szCs w:val="32"/>
          <w:highlight w:val="none"/>
          <w:lang w:val="en-US" w:eastAsia="zh-CN" w:bidi="ar-SA"/>
        </w:rPr>
      </w:pPr>
      <w:r>
        <w:rPr>
          <w:rFonts w:hint="eastAsia" w:ascii="仿宋_GB2312" w:hAnsi="仿宋_GB2312" w:eastAsia="仿宋_GB2312" w:cs="仿宋_GB2312"/>
          <w:b w:val="0"/>
          <w:bCs w:val="0"/>
          <w:kern w:val="2"/>
          <w:sz w:val="32"/>
          <w:szCs w:val="32"/>
          <w:highlight w:val="none"/>
          <w:lang w:val="en-US" w:eastAsia="zh-CN" w:bidi="ar-SA"/>
        </w:rPr>
        <w:t>（4）漏洞扫描工具：①支持漏洞库实时更新预警功能；②支持将漏洞/预警风险以紧急、高危、中危、低危、信息进行分类；③支持智能弱口令检测。（须提供产品功能截图并加盖供应商公章）</w:t>
      </w:r>
    </w:p>
    <w:p w14:paraId="1F3E0AB1">
      <w:pPr>
        <w:keepNext w:val="0"/>
        <w:keepLines w:val="0"/>
        <w:pageBreakBefore w:val="0"/>
        <w:numPr>
          <w:ilvl w:val="0"/>
          <w:numId w:val="0"/>
        </w:numPr>
        <w:kinsoku/>
        <w:wordWrap/>
        <w:overflowPunct/>
        <w:topLinePunct w:val="0"/>
        <w:bidi w:val="0"/>
        <w:snapToGrid/>
        <w:spacing w:line="560" w:lineRule="exact"/>
        <w:ind w:firstLine="624" w:firstLineChars="200"/>
        <w:jc w:val="both"/>
        <w:outlineLvl w:val="0"/>
        <w:rPr>
          <w:rFonts w:hint="eastAsia" w:ascii="黑体" w:hAnsi="黑体" w:eastAsia="黑体" w:cs="黑体"/>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网络安全及数据安全</w:t>
      </w:r>
    </w:p>
    <w:p w14:paraId="02B600D8">
      <w:pPr>
        <w:pStyle w:val="4"/>
        <w:keepNext w:val="0"/>
        <w:keepLines w:val="0"/>
        <w:pageBreakBefore w:val="0"/>
        <w:kinsoku/>
        <w:wordWrap/>
        <w:overflowPunct/>
        <w:topLinePunct w:val="0"/>
        <w:bidi w:val="0"/>
        <w:snapToGrid/>
        <w:spacing w:line="560" w:lineRule="exact"/>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甲乙双方应严格遵守《中华人民共和国网络安全法》、《中华人民共和国数据安全法》、《中华人民共和国个人信息保护法》、《关键信息基础设施安全保护条例》、《中华人民共和国计算机信息系统安全保护条例》和《信息安全等级保护管理办法》及有关法律、法规和行政规章制度、文件规定。</w:t>
      </w:r>
    </w:p>
    <w:p w14:paraId="54DA8287">
      <w:pPr>
        <w:pStyle w:val="4"/>
        <w:keepNext w:val="0"/>
        <w:keepLines w:val="0"/>
        <w:pageBreakBefore w:val="0"/>
        <w:kinsoku/>
        <w:wordWrap/>
        <w:overflowPunct/>
        <w:topLinePunct w:val="0"/>
        <w:bidi w:val="0"/>
        <w:snapToGrid/>
        <w:spacing w:line="560" w:lineRule="exact"/>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2.乙方在本项目服务期间严格遵守</w:t>
      </w:r>
      <w:r>
        <w:rPr>
          <w:rFonts w:hint="eastAsia" w:ascii="仿宋_GB2312" w:hAnsi="仿宋_GB2312" w:eastAsia="仿宋_GB2312" w:cs="仿宋_GB2312"/>
          <w:kern w:val="2"/>
          <w:sz w:val="32"/>
          <w:szCs w:val="32"/>
          <w:highlight w:val="none"/>
          <w:lang w:val="en-US" w:eastAsia="zh-CN" w:bidi="ar-SA"/>
        </w:rPr>
        <w:t>国家法律法规</w:t>
      </w:r>
      <w:r>
        <w:rPr>
          <w:rFonts w:hint="eastAsia" w:ascii="仿宋_GB2312" w:hAnsi="仿宋_GB2312" w:eastAsia="仿宋_GB2312" w:cs="仿宋_GB2312"/>
          <w:kern w:val="2"/>
          <w:sz w:val="32"/>
          <w:szCs w:val="32"/>
          <w:lang w:val="en-US" w:eastAsia="zh-CN" w:bidi="ar-SA"/>
        </w:rPr>
        <w:t>及福建省水利厅网络安全、数据安全有关规定的各项要求，遵循诚实守信原则，开展相关工作。</w:t>
      </w:r>
    </w:p>
    <w:p w14:paraId="441A1A02">
      <w:pPr>
        <w:keepNext w:val="0"/>
        <w:keepLines w:val="0"/>
        <w:pageBreakBefore w:val="0"/>
        <w:numPr>
          <w:ilvl w:val="0"/>
          <w:numId w:val="0"/>
        </w:numPr>
        <w:kinsoku/>
        <w:wordWrap/>
        <w:overflowPunct/>
        <w:topLinePunct w:val="0"/>
        <w:bidi w:val="0"/>
        <w:snapToGrid/>
        <w:spacing w:line="560" w:lineRule="exact"/>
        <w:ind w:firstLine="624" w:firstLineChars="200"/>
        <w:jc w:val="both"/>
        <w:outlineLvl w:val="0"/>
        <w:rPr>
          <w:rFonts w:hint="eastAsia" w:ascii="黑体" w:hAnsi="黑体" w:eastAsia="黑体" w:cs="黑体"/>
          <w:sz w:val="32"/>
          <w:szCs w:val="32"/>
        </w:rPr>
      </w:pPr>
      <w:r>
        <w:rPr>
          <w:rFonts w:hint="eastAsia" w:ascii="黑体" w:hAnsi="黑体" w:eastAsia="黑体" w:cs="黑体"/>
          <w:sz w:val="32"/>
          <w:szCs w:val="32"/>
          <w:lang w:val="en-US" w:eastAsia="zh-CN"/>
        </w:rPr>
        <w:t>四、保密要求</w:t>
      </w:r>
    </w:p>
    <w:p w14:paraId="73594526">
      <w:pPr>
        <w:keepNext w:val="0"/>
        <w:keepLines w:val="0"/>
        <w:pageBreakBefore w:val="0"/>
        <w:kinsoku/>
        <w:wordWrap/>
        <w:overflowPunct/>
        <w:topLinePunct w:val="0"/>
        <w:bidi w:val="0"/>
        <w:snapToGrid/>
        <w:spacing w:line="560" w:lineRule="exact"/>
        <w:ind w:firstLine="624"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本项目中所涉及的保密信息为所有采购人提供的信息资料，以及中标人在为采购人提供技术服务过程中知悉的各类信息，包括但不限于如下信息：采购人通讯录、人员信息、办公文件、会议材料、技术信息、工作信息等。</w:t>
      </w:r>
    </w:p>
    <w:p w14:paraId="10004227">
      <w:pPr>
        <w:keepNext w:val="0"/>
        <w:keepLines w:val="0"/>
        <w:pageBreakBefore w:val="0"/>
        <w:kinsoku/>
        <w:wordWrap/>
        <w:overflowPunct/>
        <w:topLinePunct w:val="0"/>
        <w:bidi w:val="0"/>
        <w:snapToGrid/>
        <w:spacing w:line="560" w:lineRule="exact"/>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    2.中标人要遵守国家保密法及有关规定。</w:t>
      </w:r>
    </w:p>
    <w:p w14:paraId="641297B9">
      <w:pPr>
        <w:keepNext w:val="0"/>
        <w:keepLines w:val="0"/>
        <w:pageBreakBefore w:val="0"/>
        <w:kinsoku/>
        <w:wordWrap/>
        <w:overflowPunct/>
        <w:topLinePunct w:val="0"/>
        <w:bidi w:val="0"/>
        <w:snapToGrid/>
        <w:spacing w:line="560" w:lineRule="exact"/>
        <w:ind w:firstLine="624"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3.中标人应采取周密的措施对所有来自采购人的信息严格保密，包括执行有效的安全措施和操作规程。</w:t>
      </w:r>
    </w:p>
    <w:p w14:paraId="516C5F06">
      <w:pPr>
        <w:keepNext w:val="0"/>
        <w:keepLines w:val="0"/>
        <w:pageBreakBefore w:val="0"/>
        <w:kinsoku/>
        <w:wordWrap/>
        <w:overflowPunct/>
        <w:topLinePunct w:val="0"/>
        <w:bidi w:val="0"/>
        <w:snapToGrid/>
        <w:spacing w:line="560" w:lineRule="exact"/>
        <w:ind w:firstLine="624"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4.中标人应负责做好技术服务人员的教育、管理工作：建立健全的工作制度，加强对技术服务人员的管理，不可把私自把秘密泄露给第三方。</w:t>
      </w:r>
    </w:p>
    <w:p w14:paraId="1251F140">
      <w:pPr>
        <w:keepNext w:val="0"/>
        <w:keepLines w:val="0"/>
        <w:pageBreakBefore w:val="0"/>
        <w:kinsoku/>
        <w:wordWrap/>
        <w:overflowPunct/>
        <w:topLinePunct w:val="0"/>
        <w:bidi w:val="0"/>
        <w:snapToGrid/>
        <w:spacing w:line="560" w:lineRule="exact"/>
        <w:ind w:firstLine="624" w:firstLineChars="200"/>
        <w:jc w:val="both"/>
        <w:rPr>
          <w:rFonts w:hint="eastAsia"/>
          <w:lang w:val="en-US" w:eastAsia="zh-CN"/>
        </w:rPr>
      </w:pPr>
      <w:r>
        <w:rPr>
          <w:rFonts w:hint="eastAsia" w:ascii="仿宋_GB2312" w:hAnsi="仿宋_GB2312" w:eastAsia="仿宋_GB2312" w:cs="仿宋_GB2312"/>
          <w:kern w:val="2"/>
          <w:sz w:val="32"/>
          <w:szCs w:val="32"/>
          <w:lang w:val="en-US" w:eastAsia="zh-CN" w:bidi="ar-SA"/>
        </w:rPr>
        <w:t>5.保密期限将不受本项目期限限制，项目完成或终止之后仍需永久履行。</w:t>
      </w:r>
    </w:p>
    <w:p w14:paraId="344EDE15">
      <w:pPr>
        <w:pStyle w:val="11"/>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225" w:line="560" w:lineRule="exact"/>
        <w:ind w:leftChars="0" w:firstLine="624" w:firstLineChars="200"/>
        <w:jc w:val="both"/>
        <w:textAlignment w:val="auto"/>
        <w:rPr>
          <w:rFonts w:hint="eastAsia" w:ascii="黑体" w:hAnsi="黑体" w:eastAsia="黑体" w:cs="黑体"/>
          <w:color w:val="333333"/>
          <w:kern w:val="0"/>
          <w:sz w:val="32"/>
          <w:szCs w:val="32"/>
        </w:rPr>
      </w:pPr>
      <w:r>
        <w:rPr>
          <w:rFonts w:hint="eastAsia" w:ascii="黑体" w:hAnsi="黑体" w:eastAsia="黑体" w:cs="黑体"/>
          <w:color w:val="333333"/>
          <w:kern w:val="0"/>
          <w:sz w:val="32"/>
          <w:szCs w:val="32"/>
          <w:lang w:val="en-US" w:eastAsia="zh-CN"/>
        </w:rPr>
        <w:t>五、</w:t>
      </w:r>
      <w:r>
        <w:rPr>
          <w:rFonts w:hint="eastAsia" w:ascii="黑体" w:hAnsi="黑体" w:eastAsia="黑体" w:cs="黑体"/>
          <w:color w:val="333333"/>
          <w:kern w:val="0"/>
          <w:sz w:val="32"/>
          <w:szCs w:val="32"/>
        </w:rPr>
        <w:t>服务期限</w:t>
      </w:r>
    </w:p>
    <w:p w14:paraId="44A4E6E5">
      <w:pPr>
        <w:keepNext w:val="0"/>
        <w:keepLines w:val="0"/>
        <w:pageBreakBefore w:val="0"/>
        <w:widowControl/>
        <w:shd w:val="clear" w:color="auto" w:fill="FFFFFF"/>
        <w:kinsoku/>
        <w:wordWrap/>
        <w:overflowPunct/>
        <w:topLinePunct w:val="0"/>
        <w:autoSpaceDE/>
        <w:autoSpaceDN/>
        <w:bidi w:val="0"/>
        <w:adjustRightInd/>
        <w:snapToGrid/>
        <w:spacing w:before="225" w:line="560" w:lineRule="exact"/>
        <w:ind w:firstLine="624" w:firstLineChars="200"/>
        <w:jc w:val="both"/>
        <w:textAlignment w:val="auto"/>
        <w:rPr>
          <w:rFonts w:hint="eastAsia"/>
          <w:highlight w:val="yellow"/>
        </w:rPr>
      </w:pPr>
      <w:r>
        <w:rPr>
          <w:rFonts w:hint="eastAsia" w:ascii="仿宋_GB2312" w:hAnsi="仿宋_GB2312" w:eastAsia="仿宋_GB2312" w:cs="仿宋_GB2312"/>
          <w:color w:val="auto"/>
          <w:kern w:val="0"/>
          <w:sz w:val="32"/>
          <w:szCs w:val="32"/>
          <w:highlight w:val="none"/>
          <w:lang w:val="en-US" w:eastAsia="zh-CN"/>
        </w:rPr>
        <w:t>合同签订后至采购方获得合格的测评报告</w:t>
      </w:r>
      <w:r>
        <w:rPr>
          <w:rFonts w:hint="eastAsia" w:ascii="仿宋_GB2312" w:hAnsi="仿宋_GB2312" w:eastAsia="仿宋_GB2312" w:cs="仿宋_GB2312"/>
          <w:color w:val="auto"/>
          <w:kern w:val="0"/>
          <w:sz w:val="32"/>
          <w:szCs w:val="32"/>
          <w:highlight w:val="none"/>
        </w:rPr>
        <w:t>。</w:t>
      </w:r>
    </w:p>
    <w:p w14:paraId="00F6E8F9">
      <w:pPr>
        <w:pStyle w:val="11"/>
        <w:keepNext w:val="0"/>
        <w:keepLines w:val="0"/>
        <w:pageBreakBefore w:val="0"/>
        <w:numPr>
          <w:ilvl w:val="0"/>
          <w:numId w:val="0"/>
        </w:numPr>
        <w:kinsoku/>
        <w:wordWrap/>
        <w:overflowPunct/>
        <w:topLinePunct w:val="0"/>
        <w:bidi w:val="0"/>
        <w:snapToGrid/>
        <w:spacing w:line="560" w:lineRule="exact"/>
        <w:ind w:firstLine="624" w:firstLineChars="200"/>
        <w:jc w:val="both"/>
        <w:rPr>
          <w:rFonts w:hint="eastAsia" w:ascii="黑体" w:hAnsi="黑体" w:eastAsia="黑体" w:cs="黑体"/>
          <w:color w:val="333333"/>
          <w:kern w:val="0"/>
          <w:sz w:val="32"/>
          <w:szCs w:val="32"/>
          <w:lang w:val="en-US" w:eastAsia="zh-CN"/>
        </w:rPr>
      </w:pPr>
      <w:r>
        <w:rPr>
          <w:rFonts w:hint="eastAsia" w:ascii="黑体" w:hAnsi="黑体" w:eastAsia="黑体" w:cs="黑体"/>
          <w:color w:val="333333"/>
          <w:kern w:val="0"/>
          <w:sz w:val="32"/>
          <w:szCs w:val="32"/>
          <w:lang w:val="en-US" w:eastAsia="zh-CN"/>
        </w:rPr>
        <w:t>六、付款条件</w:t>
      </w:r>
    </w:p>
    <w:p w14:paraId="74BFB407">
      <w:pPr>
        <w:pStyle w:val="11"/>
        <w:keepNext w:val="0"/>
        <w:keepLines w:val="0"/>
        <w:pageBreakBefore w:val="0"/>
        <w:numPr>
          <w:ilvl w:val="0"/>
          <w:numId w:val="0"/>
        </w:numPr>
        <w:kinsoku/>
        <w:wordWrap/>
        <w:overflowPunct/>
        <w:topLinePunct w:val="0"/>
        <w:bidi w:val="0"/>
        <w:snapToGrid/>
        <w:spacing w:line="560" w:lineRule="exact"/>
        <w:ind w:firstLine="624" w:firstLineChars="200"/>
        <w:jc w:val="both"/>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1.合同签订并生效后甲方收到乙方符合规定的增值税发票15个工作日内，甲方向乙方支付总费用的</w:t>
      </w: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rPr>
        <w:t>0%。</w:t>
      </w:r>
    </w:p>
    <w:p w14:paraId="37792C43">
      <w:pPr>
        <w:pStyle w:val="11"/>
        <w:keepNext w:val="0"/>
        <w:keepLines w:val="0"/>
        <w:pageBreakBefore w:val="0"/>
        <w:numPr>
          <w:ilvl w:val="0"/>
          <w:numId w:val="0"/>
        </w:numPr>
        <w:kinsoku/>
        <w:wordWrap/>
        <w:overflowPunct/>
        <w:topLinePunct w:val="0"/>
        <w:bidi w:val="0"/>
        <w:snapToGrid/>
        <w:spacing w:line="560" w:lineRule="exact"/>
        <w:ind w:firstLine="624" w:firstLineChars="200"/>
        <w:jc w:val="both"/>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2.完成测评服务，乙方提交测评报告后，乙方提供符合规定合法有效的增值税发票15个工作日内，甲方</w:t>
      </w:r>
      <w:r>
        <w:rPr>
          <w:rFonts w:hint="eastAsia" w:ascii="仿宋_GB2312" w:hAnsi="仿宋_GB2312" w:eastAsia="仿宋_GB2312" w:cs="仿宋_GB2312"/>
          <w:color w:val="auto"/>
          <w:kern w:val="0"/>
          <w:sz w:val="32"/>
          <w:szCs w:val="32"/>
          <w:lang w:val="en-US" w:eastAsia="zh-CN"/>
        </w:rPr>
        <w:t>根据服务考核表</w:t>
      </w:r>
      <w:bookmarkStart w:id="0" w:name="_GoBack"/>
      <w:bookmarkEnd w:id="0"/>
      <w:r>
        <w:rPr>
          <w:rFonts w:hint="eastAsia" w:ascii="仿宋_GB2312" w:hAnsi="仿宋_GB2312" w:eastAsia="仿宋_GB2312" w:cs="仿宋_GB2312"/>
          <w:color w:val="auto"/>
          <w:kern w:val="0"/>
          <w:sz w:val="32"/>
          <w:szCs w:val="32"/>
        </w:rPr>
        <w:t>向乙方支付合同</w:t>
      </w:r>
      <w:r>
        <w:rPr>
          <w:rFonts w:hint="eastAsia" w:ascii="仿宋_GB2312" w:hAnsi="仿宋_GB2312" w:eastAsia="仿宋_GB2312" w:cs="仿宋_GB2312"/>
          <w:color w:val="auto"/>
          <w:kern w:val="0"/>
          <w:sz w:val="32"/>
          <w:szCs w:val="32"/>
          <w:lang w:val="en-US" w:eastAsia="zh-CN"/>
        </w:rPr>
        <w:t>剩余</w:t>
      </w:r>
      <w:r>
        <w:rPr>
          <w:rFonts w:hint="eastAsia" w:ascii="仿宋_GB2312" w:hAnsi="仿宋_GB2312" w:eastAsia="仿宋_GB2312" w:cs="仿宋_GB2312"/>
          <w:color w:val="auto"/>
          <w:kern w:val="0"/>
          <w:sz w:val="32"/>
          <w:szCs w:val="32"/>
        </w:rPr>
        <w:t>费用。</w:t>
      </w:r>
    </w:p>
    <w:p w14:paraId="631D5033">
      <w:pPr>
        <w:pStyle w:val="11"/>
        <w:keepNext w:val="0"/>
        <w:keepLines w:val="0"/>
        <w:pageBreakBefore w:val="0"/>
        <w:numPr>
          <w:ilvl w:val="0"/>
          <w:numId w:val="0"/>
        </w:numPr>
        <w:kinsoku/>
        <w:wordWrap/>
        <w:overflowPunct/>
        <w:topLinePunct w:val="0"/>
        <w:bidi w:val="0"/>
        <w:snapToGrid/>
        <w:spacing w:line="560" w:lineRule="exact"/>
        <w:ind w:firstLine="624" w:firstLineChars="200"/>
        <w:jc w:val="both"/>
        <w:rPr>
          <w:rFonts w:hint="eastAsia" w:ascii="黑体" w:hAnsi="黑体" w:eastAsia="黑体" w:cs="黑体"/>
          <w:b w:val="0"/>
          <w:bCs w:val="0"/>
          <w:color w:val="333333"/>
          <w:kern w:val="0"/>
          <w:sz w:val="32"/>
          <w:szCs w:val="32"/>
        </w:rPr>
      </w:pPr>
      <w:r>
        <w:rPr>
          <w:rFonts w:hint="eastAsia" w:ascii="黑体" w:hAnsi="黑体" w:eastAsia="黑体" w:cs="黑体"/>
          <w:b w:val="0"/>
          <w:bCs w:val="0"/>
          <w:color w:val="333333"/>
          <w:kern w:val="0"/>
          <w:sz w:val="32"/>
          <w:szCs w:val="32"/>
          <w:lang w:val="en-US" w:eastAsia="zh-CN"/>
        </w:rPr>
        <w:t>七</w:t>
      </w:r>
      <w:r>
        <w:rPr>
          <w:rFonts w:hint="eastAsia" w:ascii="黑体" w:hAnsi="黑体" w:eastAsia="黑体" w:cs="黑体"/>
          <w:b w:val="0"/>
          <w:bCs w:val="0"/>
          <w:color w:val="333333"/>
          <w:kern w:val="0"/>
          <w:sz w:val="32"/>
          <w:szCs w:val="32"/>
          <w:lang w:eastAsia="zh-CN"/>
        </w:rPr>
        <w:t>、</w:t>
      </w:r>
      <w:r>
        <w:rPr>
          <w:rFonts w:hint="eastAsia" w:ascii="黑体" w:hAnsi="黑体" w:eastAsia="黑体" w:cs="黑体"/>
          <w:b w:val="0"/>
          <w:bCs w:val="0"/>
          <w:color w:val="333333"/>
          <w:kern w:val="0"/>
          <w:sz w:val="32"/>
          <w:szCs w:val="32"/>
        </w:rPr>
        <w:t>运维工作考核</w:t>
      </w:r>
    </w:p>
    <w:p w14:paraId="46CC00F1">
      <w:pPr>
        <w:keepNext w:val="0"/>
        <w:keepLines w:val="0"/>
        <w:pageBreakBefore w:val="0"/>
        <w:kinsoku/>
        <w:wordWrap/>
        <w:overflowPunct/>
        <w:topLinePunct w:val="0"/>
        <w:autoSpaceDE/>
        <w:autoSpaceDN/>
        <w:bidi w:val="0"/>
        <w:adjustRightInd/>
        <w:snapToGrid/>
        <w:spacing w:beforeAutospacing="0" w:afterAutospacing="0" w:line="560" w:lineRule="exact"/>
        <w:ind w:firstLine="624" w:firstLineChars="200"/>
        <w:jc w:val="both"/>
        <w:rPr>
          <w:rFonts w:hint="eastAsia" w:ascii="仿宋_GB2312" w:hAnsi="仿宋_GB2312" w:eastAsia="仿宋_GB2312" w:cs="仿宋_GB2312"/>
          <w:b w:val="0"/>
          <w:color w:val="auto"/>
          <w:kern w:val="0"/>
          <w:sz w:val="32"/>
          <w:szCs w:val="32"/>
        </w:rPr>
      </w:pPr>
      <w:r>
        <w:rPr>
          <w:rFonts w:hint="eastAsia" w:ascii="仿宋_GB2312" w:hAnsi="仿宋_GB2312" w:eastAsia="仿宋_GB2312" w:cs="仿宋_GB2312"/>
          <w:color w:val="auto"/>
          <w:kern w:val="0"/>
          <w:sz w:val="32"/>
          <w:szCs w:val="32"/>
        </w:rPr>
        <w:t>考核办法满分为100分，由采购人结合工作实际，</w:t>
      </w:r>
      <w:r>
        <w:rPr>
          <w:rFonts w:hint="eastAsia" w:ascii="仿宋_GB2312" w:hAnsi="仿宋_GB2312" w:eastAsia="仿宋_GB2312" w:cs="仿宋_GB2312"/>
          <w:color w:val="auto"/>
          <w:kern w:val="0"/>
          <w:sz w:val="32"/>
          <w:szCs w:val="32"/>
          <w:lang w:val="en-US" w:eastAsia="zh-CN"/>
        </w:rPr>
        <w:t>于服务结束后</w:t>
      </w:r>
      <w:r>
        <w:rPr>
          <w:rFonts w:hint="eastAsia" w:ascii="仿宋_GB2312" w:hAnsi="仿宋_GB2312" w:eastAsia="仿宋_GB2312" w:cs="仿宋_GB2312"/>
          <w:color w:val="auto"/>
          <w:kern w:val="0"/>
          <w:sz w:val="32"/>
          <w:szCs w:val="32"/>
        </w:rPr>
        <w:t>评定技术服务考核。该分数将作为合同</w:t>
      </w:r>
      <w:r>
        <w:rPr>
          <w:rFonts w:hint="eastAsia" w:ascii="仿宋_GB2312" w:hAnsi="仿宋_GB2312" w:eastAsia="仿宋_GB2312" w:cs="仿宋_GB2312"/>
          <w:color w:val="auto"/>
          <w:kern w:val="0"/>
          <w:sz w:val="32"/>
          <w:szCs w:val="32"/>
          <w:lang w:val="en-US" w:eastAsia="zh-CN"/>
        </w:rPr>
        <w:t>尾</w:t>
      </w:r>
      <w:r>
        <w:rPr>
          <w:rFonts w:hint="eastAsia" w:ascii="仿宋_GB2312" w:hAnsi="仿宋_GB2312" w:eastAsia="仿宋_GB2312" w:cs="仿宋_GB2312"/>
          <w:color w:val="auto"/>
          <w:kern w:val="0"/>
          <w:sz w:val="32"/>
          <w:szCs w:val="32"/>
        </w:rPr>
        <w:t>款支付的依据。考核分数90-100分（含90分），支付100%合同款；考核分数80-89分（含80分），支付8</w:t>
      </w:r>
      <w:r>
        <w:rPr>
          <w:rFonts w:hint="eastAsia" w:ascii="仿宋_GB2312" w:hAnsi="仿宋_GB2312" w:eastAsia="仿宋_GB2312" w:cs="仿宋_GB2312"/>
          <w:color w:val="auto"/>
          <w:kern w:val="0"/>
          <w:sz w:val="32"/>
          <w:szCs w:val="32"/>
          <w:lang w:val="en-US" w:eastAsia="zh-CN"/>
        </w:rPr>
        <w:t>5</w:t>
      </w:r>
      <w:r>
        <w:rPr>
          <w:rFonts w:hint="eastAsia" w:ascii="仿宋_GB2312" w:hAnsi="仿宋_GB2312" w:eastAsia="仿宋_GB2312" w:cs="仿宋_GB2312"/>
          <w:color w:val="auto"/>
          <w:kern w:val="0"/>
          <w:sz w:val="32"/>
          <w:szCs w:val="32"/>
        </w:rPr>
        <w:t>%合同款；考核分数70-79分（含70分），支付</w:t>
      </w:r>
      <w:r>
        <w:rPr>
          <w:rFonts w:hint="eastAsia" w:ascii="仿宋_GB2312" w:hAnsi="仿宋_GB2312" w:eastAsia="仿宋_GB2312" w:cs="仿宋_GB2312"/>
          <w:color w:val="auto"/>
          <w:kern w:val="0"/>
          <w:sz w:val="32"/>
          <w:szCs w:val="32"/>
          <w:lang w:val="en-US" w:eastAsia="zh-CN"/>
        </w:rPr>
        <w:t>7</w:t>
      </w:r>
      <w:r>
        <w:rPr>
          <w:rFonts w:hint="eastAsia" w:ascii="仿宋_GB2312" w:hAnsi="仿宋_GB2312" w:eastAsia="仿宋_GB2312" w:cs="仿宋_GB2312"/>
          <w:color w:val="auto"/>
          <w:kern w:val="0"/>
          <w:sz w:val="32"/>
          <w:szCs w:val="32"/>
        </w:rPr>
        <w:t>0%合同款；考核分数低于70分的视为验收不合格，乙方赔付甲方30%合同款的违约金</w:t>
      </w:r>
      <w:r>
        <w:rPr>
          <w:rFonts w:hint="eastAsia" w:ascii="仿宋_GB2312" w:hAnsi="仿宋_GB2312" w:eastAsia="仿宋_GB2312" w:cs="仿宋_GB2312"/>
          <w:color w:val="auto"/>
          <w:kern w:val="0"/>
          <w:sz w:val="32"/>
          <w:szCs w:val="32"/>
          <w:lang w:val="en-US" w:eastAsia="zh-CN"/>
        </w:rPr>
        <w:t>并返还甲方已支付的全部金额</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b w:val="0"/>
          <w:color w:val="auto"/>
          <w:kern w:val="0"/>
          <w:sz w:val="32"/>
          <w:szCs w:val="32"/>
        </w:rPr>
        <w:t>具体事项及不详尽之处以最终签订的政府采购合同约定为准。</w:t>
      </w:r>
    </w:p>
    <w:p w14:paraId="5563CD04">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rPr>
          <w:rStyle w:val="10"/>
          <w:rFonts w:hint="eastAsia" w:ascii="黑体" w:hAnsi="黑体" w:eastAsia="黑体" w:cs="黑体"/>
          <w:b w:val="0"/>
          <w:bCs w:val="0"/>
          <w:sz w:val="32"/>
          <w:szCs w:val="32"/>
          <w:lang w:eastAsia="zh-CN"/>
        </w:rPr>
      </w:pPr>
      <w:r>
        <w:rPr>
          <w:rFonts w:hint="eastAsia" w:ascii="黑体" w:hAnsi="黑体" w:eastAsia="黑体" w:cs="黑体"/>
          <w:b w:val="0"/>
          <w:bCs w:val="0"/>
          <w:color w:val="333333"/>
          <w:kern w:val="0"/>
          <w:sz w:val="32"/>
          <w:szCs w:val="32"/>
          <w:lang w:val="en-US" w:eastAsia="zh-CN"/>
        </w:rPr>
        <w:t>服务</w:t>
      </w:r>
      <w:r>
        <w:rPr>
          <w:rFonts w:hint="eastAsia" w:ascii="黑体" w:hAnsi="黑体" w:eastAsia="黑体" w:cs="黑体"/>
          <w:b w:val="0"/>
          <w:bCs w:val="0"/>
          <w:color w:val="333333"/>
          <w:kern w:val="0"/>
          <w:sz w:val="32"/>
          <w:szCs w:val="32"/>
        </w:rPr>
        <w:t>考核</w:t>
      </w:r>
      <w:r>
        <w:rPr>
          <w:rFonts w:hint="eastAsia" w:ascii="黑体" w:hAnsi="黑体" w:eastAsia="黑体" w:cs="黑体"/>
          <w:b w:val="0"/>
          <w:bCs w:val="0"/>
          <w:color w:val="333333"/>
          <w:kern w:val="0"/>
          <w:sz w:val="32"/>
          <w:szCs w:val="32"/>
          <w:lang w:eastAsia="zh-CN"/>
        </w:rPr>
        <w:t>表</w:t>
      </w:r>
    </w:p>
    <w:tbl>
      <w:tblPr>
        <w:tblStyle w:val="8"/>
        <w:tblW w:w="9450" w:type="dxa"/>
        <w:tblInd w:w="-370" w:type="dxa"/>
        <w:tblBorders>
          <w:top w:val="single" w:color="000000" w:sz="4" w:space="0"/>
          <w:left w:val="single" w:color="000000" w:sz="4" w:space="0"/>
          <w:bottom w:val="single" w:color="000000" w:sz="4" w:space="0"/>
          <w:right w:val="single" w:color="000000" w:sz="4" w:space="0"/>
          <w:insideH w:val="single" w:color="auto" w:sz="0" w:space="0"/>
          <w:insideV w:val="single" w:color="auto" w:sz="0" w:space="0"/>
        </w:tblBorders>
        <w:tblLayout w:type="autofit"/>
        <w:tblCellMar>
          <w:top w:w="0" w:type="dxa"/>
          <w:left w:w="108" w:type="dxa"/>
          <w:bottom w:w="0" w:type="dxa"/>
          <w:right w:w="108" w:type="dxa"/>
        </w:tblCellMar>
      </w:tblPr>
      <w:tblGrid>
        <w:gridCol w:w="765"/>
        <w:gridCol w:w="1005"/>
        <w:gridCol w:w="750"/>
        <w:gridCol w:w="2079"/>
        <w:gridCol w:w="3201"/>
        <w:gridCol w:w="855"/>
        <w:gridCol w:w="795"/>
      </w:tblGrid>
      <w:tr w14:paraId="630E5921">
        <w:tblPrEx>
          <w:tblBorders>
            <w:top w:val="single" w:color="000000" w:sz="4" w:space="0"/>
            <w:left w:val="single" w:color="000000" w:sz="4" w:space="0"/>
            <w:bottom w:val="single" w:color="000000" w:sz="4" w:space="0"/>
            <w:right w:val="single" w:color="000000" w:sz="4" w:space="0"/>
            <w:insideH w:val="single" w:color="auto" w:sz="0" w:space="0"/>
            <w:insideV w:val="single" w:color="auto" w:sz="0" w:space="0"/>
          </w:tblBorders>
          <w:tblCellMar>
            <w:top w:w="0" w:type="dxa"/>
            <w:left w:w="108" w:type="dxa"/>
            <w:bottom w:w="0" w:type="dxa"/>
            <w:right w:w="108" w:type="dxa"/>
          </w:tblCellMar>
        </w:tblPrEx>
        <w:tc>
          <w:tcPr>
            <w:tcW w:w="76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13E1EDAD">
            <w:pPr>
              <w:pStyle w:val="12"/>
              <w:jc w:val="center"/>
              <w:rPr>
                <w:rFonts w:hint="eastAsia" w:ascii="仿宋_GB2312" w:hAnsi="仿宋_GB2312" w:eastAsia="仿宋_GB2312" w:cs="仿宋_GB2312"/>
                <w:sz w:val="24"/>
                <w:szCs w:val="24"/>
              </w:rPr>
            </w:pPr>
            <w:r>
              <w:rPr>
                <w:rFonts w:hint="eastAsia" w:ascii="仿宋_GB2312" w:hAnsi="仿宋_GB2312" w:eastAsia="仿宋_GB2312" w:cs="仿宋_GB2312"/>
                <w:b/>
                <w:sz w:val="24"/>
                <w:szCs w:val="24"/>
              </w:rPr>
              <w:t>序号</w:t>
            </w:r>
          </w:p>
        </w:tc>
        <w:tc>
          <w:tcPr>
            <w:tcW w:w="100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1A8BAC66">
            <w:pPr>
              <w:pStyle w:val="12"/>
              <w:jc w:val="center"/>
              <w:rPr>
                <w:rFonts w:hint="eastAsia" w:ascii="仿宋_GB2312" w:hAnsi="仿宋_GB2312" w:eastAsia="仿宋_GB2312" w:cs="仿宋_GB2312"/>
                <w:sz w:val="24"/>
                <w:szCs w:val="24"/>
              </w:rPr>
            </w:pPr>
            <w:r>
              <w:rPr>
                <w:rFonts w:hint="eastAsia" w:ascii="仿宋_GB2312" w:hAnsi="仿宋_GB2312" w:eastAsia="仿宋_GB2312" w:cs="仿宋_GB2312"/>
                <w:b/>
                <w:sz w:val="24"/>
                <w:szCs w:val="24"/>
              </w:rPr>
              <w:t>指标名称</w:t>
            </w:r>
          </w:p>
        </w:tc>
        <w:tc>
          <w:tcPr>
            <w:tcW w:w="75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5F700533">
            <w:pPr>
              <w:pStyle w:val="12"/>
              <w:jc w:val="center"/>
              <w:rPr>
                <w:rFonts w:hint="eastAsia" w:ascii="仿宋_GB2312" w:hAnsi="仿宋_GB2312" w:eastAsia="仿宋_GB2312" w:cs="仿宋_GB2312"/>
                <w:sz w:val="24"/>
                <w:szCs w:val="24"/>
              </w:rPr>
            </w:pPr>
            <w:r>
              <w:rPr>
                <w:rFonts w:hint="eastAsia" w:ascii="仿宋_GB2312" w:hAnsi="仿宋_GB2312" w:eastAsia="仿宋_GB2312" w:cs="仿宋_GB2312"/>
                <w:b/>
                <w:sz w:val="24"/>
                <w:szCs w:val="24"/>
              </w:rPr>
              <w:t>分值</w:t>
            </w:r>
          </w:p>
        </w:tc>
        <w:tc>
          <w:tcPr>
            <w:tcW w:w="528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79D7F97D">
            <w:pPr>
              <w:pStyle w:val="12"/>
              <w:jc w:val="center"/>
              <w:rPr>
                <w:rFonts w:hint="eastAsia" w:ascii="仿宋_GB2312" w:hAnsi="仿宋_GB2312" w:eastAsia="仿宋_GB2312" w:cs="仿宋_GB2312"/>
                <w:sz w:val="24"/>
                <w:szCs w:val="24"/>
              </w:rPr>
            </w:pPr>
            <w:r>
              <w:rPr>
                <w:rFonts w:hint="eastAsia" w:ascii="仿宋_GB2312" w:hAnsi="仿宋_GB2312" w:eastAsia="仿宋_GB2312" w:cs="仿宋_GB2312"/>
                <w:b/>
                <w:sz w:val="24"/>
                <w:szCs w:val="24"/>
              </w:rPr>
              <w:t>考核内容及标准</w:t>
            </w:r>
          </w:p>
        </w:tc>
        <w:tc>
          <w:tcPr>
            <w:tcW w:w="85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304244F3">
            <w:pPr>
              <w:pStyle w:val="12"/>
              <w:jc w:val="center"/>
              <w:rPr>
                <w:rFonts w:hint="eastAsia" w:ascii="仿宋_GB2312" w:hAnsi="仿宋_GB2312" w:eastAsia="仿宋_GB2312" w:cs="仿宋_GB2312"/>
                <w:sz w:val="24"/>
                <w:szCs w:val="24"/>
              </w:rPr>
            </w:pPr>
            <w:r>
              <w:rPr>
                <w:rFonts w:hint="eastAsia" w:ascii="仿宋_GB2312" w:hAnsi="仿宋_GB2312" w:eastAsia="仿宋_GB2312" w:cs="仿宋_GB2312"/>
                <w:b/>
                <w:sz w:val="24"/>
                <w:szCs w:val="24"/>
              </w:rPr>
              <w:t>评分</w:t>
            </w:r>
          </w:p>
        </w:tc>
        <w:tc>
          <w:tcPr>
            <w:tcW w:w="79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66B3F275">
            <w:pPr>
              <w:pStyle w:val="12"/>
              <w:jc w:val="center"/>
              <w:rPr>
                <w:rFonts w:hint="eastAsia" w:ascii="仿宋_GB2312" w:hAnsi="仿宋_GB2312" w:eastAsia="仿宋_GB2312" w:cs="仿宋_GB2312"/>
                <w:sz w:val="24"/>
                <w:szCs w:val="24"/>
              </w:rPr>
            </w:pPr>
            <w:r>
              <w:rPr>
                <w:rFonts w:hint="eastAsia" w:ascii="仿宋_GB2312" w:hAnsi="仿宋_GB2312" w:eastAsia="仿宋_GB2312" w:cs="仿宋_GB2312"/>
                <w:b/>
                <w:sz w:val="24"/>
                <w:szCs w:val="24"/>
              </w:rPr>
              <w:t>备注</w:t>
            </w:r>
          </w:p>
        </w:tc>
      </w:tr>
      <w:tr w14:paraId="798D2AD9">
        <w:tblPrEx>
          <w:tblBorders>
            <w:top w:val="single" w:color="000000" w:sz="4" w:space="0"/>
            <w:left w:val="single" w:color="000000" w:sz="4" w:space="0"/>
            <w:bottom w:val="single" w:color="000000" w:sz="4" w:space="0"/>
            <w:right w:val="single" w:color="000000" w:sz="4" w:space="0"/>
            <w:insideH w:val="single" w:color="auto" w:sz="0" w:space="0"/>
            <w:insideV w:val="single" w:color="auto" w:sz="0" w:space="0"/>
          </w:tblBorders>
          <w:tblCellMar>
            <w:top w:w="0" w:type="dxa"/>
            <w:left w:w="108" w:type="dxa"/>
            <w:bottom w:w="0" w:type="dxa"/>
            <w:right w:w="108" w:type="dxa"/>
          </w:tblCellMar>
        </w:tblPrEx>
        <w:tc>
          <w:tcPr>
            <w:tcW w:w="765"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267AC9F">
            <w:pPr>
              <w:pStyle w:val="12"/>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005"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E5C2743">
            <w:pPr>
              <w:pStyle w:val="12"/>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人员考核</w:t>
            </w:r>
          </w:p>
        </w:tc>
        <w:tc>
          <w:tcPr>
            <w:tcW w:w="750"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5BEE084">
            <w:pPr>
              <w:pStyle w:val="12"/>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25</w:t>
            </w:r>
          </w:p>
        </w:tc>
        <w:tc>
          <w:tcPr>
            <w:tcW w:w="528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top"/>
          </w:tcPr>
          <w:p w14:paraId="5919A706">
            <w:pPr>
              <w:pStyle w:val="1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1.合同签订后5个工作日内未提供服务团队人员姓名、联系方式、岗位职责、社保缴交证明等清单的扣2分；</w:t>
            </w:r>
          </w:p>
          <w:p w14:paraId="50F688D4">
            <w:pPr>
              <w:pStyle w:val="1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2.未确保项目负责人、服务人员稳定性，未提前5个工作日书面告知业主人员变更情况的扣1分；服务期内人员变动大于2次的扣2分。（满分5分）</w:t>
            </w:r>
          </w:p>
        </w:tc>
        <w:tc>
          <w:tcPr>
            <w:tcW w:w="85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44E044FC">
            <w:pPr>
              <w:pStyle w:val="12"/>
              <w:jc w:val="both"/>
              <w:rPr>
                <w:rFonts w:hint="eastAsia" w:ascii="仿宋_GB2312" w:hAnsi="仿宋_GB2312" w:eastAsia="仿宋_GB2312" w:cs="仿宋_GB2312"/>
                <w:sz w:val="24"/>
                <w:szCs w:val="24"/>
              </w:rPr>
            </w:pPr>
          </w:p>
        </w:tc>
        <w:tc>
          <w:tcPr>
            <w:tcW w:w="795"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09EFBFDB">
            <w:pPr>
              <w:pStyle w:val="12"/>
              <w:jc w:val="both"/>
              <w:rPr>
                <w:rFonts w:hint="eastAsia" w:ascii="仿宋_GB2312" w:hAnsi="仿宋_GB2312" w:eastAsia="仿宋_GB2312" w:cs="仿宋_GB2312"/>
                <w:sz w:val="24"/>
                <w:szCs w:val="24"/>
              </w:rPr>
            </w:pPr>
          </w:p>
        </w:tc>
      </w:tr>
      <w:tr w14:paraId="7FB185BE">
        <w:tblPrEx>
          <w:tblBorders>
            <w:top w:val="single" w:color="000000" w:sz="4" w:space="0"/>
            <w:left w:val="single" w:color="000000" w:sz="4" w:space="0"/>
            <w:bottom w:val="single" w:color="000000" w:sz="4" w:space="0"/>
            <w:right w:val="single" w:color="000000" w:sz="4" w:space="0"/>
            <w:insideH w:val="single" w:color="auto" w:sz="0" w:space="0"/>
            <w:insideV w:val="single" w:color="auto" w:sz="0" w:space="0"/>
          </w:tblBorders>
          <w:tblCellMar>
            <w:top w:w="0" w:type="dxa"/>
            <w:left w:w="108" w:type="dxa"/>
            <w:bottom w:w="0" w:type="dxa"/>
            <w:right w:w="108" w:type="dxa"/>
          </w:tblCellMar>
        </w:tblPrEx>
        <w:tc>
          <w:tcPr>
            <w:tcW w:w="765" w:type="dxa"/>
            <w:vMerge w:val="continue"/>
            <w:tcBorders>
              <w:left w:val="single" w:color="000000" w:sz="4" w:space="0"/>
              <w:right w:val="single" w:color="000000" w:sz="4" w:space="0"/>
            </w:tcBorders>
            <w:tcMar>
              <w:top w:w="15" w:type="dxa"/>
              <w:left w:w="15" w:type="dxa"/>
              <w:bottom w:w="15" w:type="dxa"/>
              <w:right w:w="15" w:type="dxa"/>
            </w:tcMar>
            <w:vAlign w:val="center"/>
          </w:tcPr>
          <w:p w14:paraId="0549B4B1">
            <w:pPr>
              <w:pStyle w:val="12"/>
              <w:jc w:val="center"/>
              <w:rPr>
                <w:rFonts w:hint="eastAsia" w:ascii="仿宋_GB2312" w:hAnsi="仿宋_GB2312" w:eastAsia="仿宋_GB2312" w:cs="仿宋_GB2312"/>
                <w:sz w:val="24"/>
                <w:szCs w:val="24"/>
              </w:rPr>
            </w:pPr>
          </w:p>
        </w:tc>
        <w:tc>
          <w:tcPr>
            <w:tcW w:w="1005" w:type="dxa"/>
            <w:vMerge w:val="continue"/>
            <w:tcBorders>
              <w:left w:val="single" w:color="000000" w:sz="4" w:space="0"/>
              <w:right w:val="single" w:color="000000" w:sz="4" w:space="0"/>
            </w:tcBorders>
            <w:tcMar>
              <w:top w:w="15" w:type="dxa"/>
              <w:left w:w="15" w:type="dxa"/>
              <w:bottom w:w="15" w:type="dxa"/>
              <w:right w:w="15" w:type="dxa"/>
            </w:tcMar>
            <w:vAlign w:val="center"/>
          </w:tcPr>
          <w:p w14:paraId="15332BE3">
            <w:pPr>
              <w:pStyle w:val="12"/>
              <w:jc w:val="center"/>
              <w:rPr>
                <w:rFonts w:hint="eastAsia" w:ascii="仿宋_GB2312" w:hAnsi="仿宋_GB2312" w:eastAsia="仿宋_GB2312" w:cs="仿宋_GB2312"/>
                <w:sz w:val="24"/>
                <w:szCs w:val="24"/>
              </w:rPr>
            </w:pPr>
          </w:p>
        </w:tc>
        <w:tc>
          <w:tcPr>
            <w:tcW w:w="750" w:type="dxa"/>
            <w:vMerge w:val="continue"/>
            <w:tcBorders>
              <w:left w:val="single" w:color="000000" w:sz="4" w:space="0"/>
              <w:right w:val="single" w:color="000000" w:sz="4" w:space="0"/>
            </w:tcBorders>
            <w:tcMar>
              <w:top w:w="15" w:type="dxa"/>
              <w:left w:w="15" w:type="dxa"/>
              <w:bottom w:w="15" w:type="dxa"/>
              <w:right w:w="15" w:type="dxa"/>
            </w:tcMar>
          </w:tcPr>
          <w:p w14:paraId="41478485">
            <w:pPr>
              <w:pStyle w:val="12"/>
              <w:jc w:val="both"/>
              <w:rPr>
                <w:rFonts w:hint="eastAsia" w:ascii="仿宋_GB2312" w:hAnsi="仿宋_GB2312" w:eastAsia="仿宋_GB2312" w:cs="仿宋_GB2312"/>
                <w:sz w:val="24"/>
                <w:szCs w:val="24"/>
              </w:rPr>
            </w:pPr>
          </w:p>
        </w:tc>
        <w:tc>
          <w:tcPr>
            <w:tcW w:w="528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top"/>
          </w:tcPr>
          <w:p w14:paraId="5A7D7D2B">
            <w:pPr>
              <w:pStyle w:val="1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在测评准备和测评期间安排的驻点服务人员到场情况，缺席一</w:t>
            </w:r>
            <w:r>
              <w:rPr>
                <w:rFonts w:hint="eastAsia" w:ascii="仿宋_GB2312" w:hAnsi="仿宋_GB2312" w:eastAsia="仿宋_GB2312" w:cs="仿宋_GB2312"/>
                <w:sz w:val="24"/>
                <w:szCs w:val="24"/>
                <w:lang w:eastAsia="zh-CN"/>
              </w:rPr>
              <w:t>人</w:t>
            </w:r>
            <w:r>
              <w:rPr>
                <w:rFonts w:hint="eastAsia" w:ascii="仿宋_GB2312" w:hAnsi="仿宋_GB2312" w:eastAsia="仿宋_GB2312" w:cs="仿宋_GB2312"/>
                <w:sz w:val="24"/>
                <w:szCs w:val="24"/>
              </w:rPr>
              <w:t>次扣2分，扣完为止。（满分10分）</w:t>
            </w:r>
          </w:p>
        </w:tc>
        <w:tc>
          <w:tcPr>
            <w:tcW w:w="85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7B7FABC9">
            <w:pPr>
              <w:pStyle w:val="12"/>
              <w:jc w:val="both"/>
              <w:rPr>
                <w:rFonts w:hint="eastAsia" w:ascii="仿宋_GB2312" w:hAnsi="仿宋_GB2312" w:eastAsia="仿宋_GB2312" w:cs="仿宋_GB2312"/>
                <w:sz w:val="24"/>
                <w:szCs w:val="24"/>
              </w:rPr>
            </w:pPr>
          </w:p>
        </w:tc>
        <w:tc>
          <w:tcPr>
            <w:tcW w:w="795" w:type="dxa"/>
            <w:vMerge w:val="continue"/>
            <w:tcBorders>
              <w:left w:val="single" w:color="000000" w:sz="4" w:space="0"/>
              <w:right w:val="single" w:color="000000" w:sz="4" w:space="0"/>
            </w:tcBorders>
            <w:tcMar>
              <w:top w:w="15" w:type="dxa"/>
              <w:left w:w="15" w:type="dxa"/>
              <w:bottom w:w="15" w:type="dxa"/>
              <w:right w:w="15" w:type="dxa"/>
            </w:tcMar>
          </w:tcPr>
          <w:p w14:paraId="34B21BF6">
            <w:pPr>
              <w:pStyle w:val="12"/>
              <w:jc w:val="both"/>
              <w:rPr>
                <w:rFonts w:hint="eastAsia" w:ascii="仿宋_GB2312" w:hAnsi="仿宋_GB2312" w:eastAsia="仿宋_GB2312" w:cs="仿宋_GB2312"/>
                <w:sz w:val="24"/>
                <w:szCs w:val="24"/>
              </w:rPr>
            </w:pPr>
          </w:p>
        </w:tc>
      </w:tr>
      <w:tr w14:paraId="17F8B4DE">
        <w:tblPrEx>
          <w:tblBorders>
            <w:top w:val="single" w:color="000000" w:sz="4" w:space="0"/>
            <w:left w:val="single" w:color="000000" w:sz="4" w:space="0"/>
            <w:bottom w:val="single" w:color="000000" w:sz="4" w:space="0"/>
            <w:right w:val="single" w:color="000000" w:sz="4" w:space="0"/>
            <w:insideH w:val="single" w:color="auto" w:sz="0" w:space="0"/>
            <w:insideV w:val="single" w:color="auto" w:sz="0" w:space="0"/>
          </w:tblBorders>
          <w:tblCellMar>
            <w:top w:w="0" w:type="dxa"/>
            <w:left w:w="108" w:type="dxa"/>
            <w:bottom w:w="0" w:type="dxa"/>
            <w:right w:w="108" w:type="dxa"/>
          </w:tblCellMar>
        </w:tblPrEx>
        <w:tc>
          <w:tcPr>
            <w:tcW w:w="765" w:type="dxa"/>
            <w:vMerge w:val="continue"/>
            <w:tcBorders>
              <w:left w:val="single" w:color="000000" w:sz="4" w:space="0"/>
              <w:bottom w:val="single" w:color="auto" w:sz="4" w:space="0"/>
              <w:right w:val="single" w:color="000000" w:sz="4" w:space="0"/>
            </w:tcBorders>
            <w:tcMar>
              <w:top w:w="15" w:type="dxa"/>
              <w:left w:w="15" w:type="dxa"/>
              <w:bottom w:w="15" w:type="dxa"/>
              <w:right w:w="15" w:type="dxa"/>
            </w:tcMar>
            <w:vAlign w:val="center"/>
          </w:tcPr>
          <w:p w14:paraId="75651F49">
            <w:pPr>
              <w:pStyle w:val="12"/>
              <w:jc w:val="center"/>
              <w:rPr>
                <w:rFonts w:hint="eastAsia" w:ascii="仿宋_GB2312" w:hAnsi="仿宋_GB2312" w:eastAsia="仿宋_GB2312" w:cs="仿宋_GB2312"/>
                <w:sz w:val="24"/>
                <w:szCs w:val="24"/>
              </w:rPr>
            </w:pPr>
          </w:p>
        </w:tc>
        <w:tc>
          <w:tcPr>
            <w:tcW w:w="1005" w:type="dxa"/>
            <w:vMerge w:val="continue"/>
            <w:tcBorders>
              <w:left w:val="single" w:color="000000" w:sz="4" w:space="0"/>
              <w:bottom w:val="single" w:color="auto" w:sz="4" w:space="0"/>
              <w:right w:val="single" w:color="000000" w:sz="4" w:space="0"/>
            </w:tcBorders>
            <w:tcMar>
              <w:top w:w="15" w:type="dxa"/>
              <w:left w:w="15" w:type="dxa"/>
              <w:bottom w:w="15" w:type="dxa"/>
              <w:right w:w="15" w:type="dxa"/>
            </w:tcMar>
            <w:vAlign w:val="center"/>
          </w:tcPr>
          <w:p w14:paraId="58C93482">
            <w:pPr>
              <w:pStyle w:val="12"/>
              <w:jc w:val="center"/>
              <w:rPr>
                <w:rFonts w:hint="eastAsia" w:ascii="仿宋_GB2312" w:hAnsi="仿宋_GB2312" w:eastAsia="仿宋_GB2312" w:cs="仿宋_GB2312"/>
                <w:sz w:val="24"/>
                <w:szCs w:val="24"/>
              </w:rPr>
            </w:pPr>
          </w:p>
        </w:tc>
        <w:tc>
          <w:tcPr>
            <w:tcW w:w="750" w:type="dxa"/>
            <w:vMerge w:val="continue"/>
            <w:tcBorders>
              <w:left w:val="single" w:color="000000" w:sz="4" w:space="0"/>
              <w:bottom w:val="single" w:color="auto" w:sz="4" w:space="0"/>
              <w:right w:val="single" w:color="000000" w:sz="4" w:space="0"/>
            </w:tcBorders>
            <w:tcMar>
              <w:top w:w="15" w:type="dxa"/>
              <w:left w:w="15" w:type="dxa"/>
              <w:bottom w:w="15" w:type="dxa"/>
              <w:right w:w="15" w:type="dxa"/>
            </w:tcMar>
          </w:tcPr>
          <w:p w14:paraId="28FB2D92">
            <w:pPr>
              <w:pStyle w:val="12"/>
              <w:jc w:val="both"/>
              <w:rPr>
                <w:rFonts w:hint="eastAsia" w:ascii="仿宋_GB2312" w:hAnsi="仿宋_GB2312" w:eastAsia="仿宋_GB2312" w:cs="仿宋_GB2312"/>
                <w:sz w:val="24"/>
                <w:szCs w:val="24"/>
              </w:rPr>
            </w:pPr>
          </w:p>
        </w:tc>
        <w:tc>
          <w:tcPr>
            <w:tcW w:w="528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top"/>
          </w:tcPr>
          <w:p w14:paraId="2B1A8271">
            <w:pPr>
              <w:pStyle w:val="1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甲方对服务人员工作情况和工作满意度打分，每投诉1次扣1分，扣完为止。(满分10分）</w:t>
            </w:r>
          </w:p>
        </w:tc>
        <w:tc>
          <w:tcPr>
            <w:tcW w:w="85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35C5F06C">
            <w:pPr>
              <w:pStyle w:val="12"/>
              <w:jc w:val="both"/>
              <w:rPr>
                <w:rFonts w:hint="eastAsia" w:ascii="仿宋_GB2312" w:hAnsi="仿宋_GB2312" w:eastAsia="仿宋_GB2312" w:cs="仿宋_GB2312"/>
                <w:sz w:val="24"/>
                <w:szCs w:val="24"/>
              </w:rPr>
            </w:pPr>
          </w:p>
        </w:tc>
        <w:tc>
          <w:tcPr>
            <w:tcW w:w="795" w:type="dxa"/>
            <w:vMerge w:val="continue"/>
            <w:tcBorders>
              <w:left w:val="single" w:color="000000" w:sz="4" w:space="0"/>
              <w:right w:val="single" w:color="000000" w:sz="4" w:space="0"/>
            </w:tcBorders>
            <w:tcMar>
              <w:top w:w="15" w:type="dxa"/>
              <w:left w:w="15" w:type="dxa"/>
              <w:bottom w:w="15" w:type="dxa"/>
              <w:right w:w="15" w:type="dxa"/>
            </w:tcMar>
          </w:tcPr>
          <w:p w14:paraId="562C3FFA">
            <w:pPr>
              <w:pStyle w:val="12"/>
              <w:jc w:val="both"/>
              <w:rPr>
                <w:rFonts w:hint="eastAsia" w:ascii="仿宋_GB2312" w:hAnsi="仿宋_GB2312" w:eastAsia="仿宋_GB2312" w:cs="仿宋_GB2312"/>
                <w:sz w:val="24"/>
                <w:szCs w:val="24"/>
              </w:rPr>
            </w:pPr>
          </w:p>
        </w:tc>
      </w:tr>
      <w:tr w14:paraId="012E7485">
        <w:tblPrEx>
          <w:tblBorders>
            <w:top w:val="single" w:color="000000" w:sz="4" w:space="0"/>
            <w:left w:val="single" w:color="000000" w:sz="4" w:space="0"/>
            <w:bottom w:val="single" w:color="000000" w:sz="4" w:space="0"/>
            <w:right w:val="single" w:color="000000" w:sz="4" w:space="0"/>
            <w:insideH w:val="single" w:color="auto" w:sz="0" w:space="0"/>
            <w:insideV w:val="single" w:color="auto" w:sz="0" w:space="0"/>
          </w:tblBorders>
          <w:tblCellMar>
            <w:top w:w="0" w:type="dxa"/>
            <w:left w:w="108" w:type="dxa"/>
            <w:bottom w:w="0" w:type="dxa"/>
            <w:right w:w="108" w:type="dxa"/>
          </w:tblCellMar>
        </w:tblPrEx>
        <w:tc>
          <w:tcPr>
            <w:tcW w:w="765" w:type="dxa"/>
            <w:vMerge w:val="restart"/>
            <w:tcBorders>
              <w:top w:val="single" w:color="auto" w:sz="4" w:space="0"/>
              <w:left w:val="single" w:color="000000" w:sz="4" w:space="0"/>
              <w:right w:val="single" w:color="000000" w:sz="4" w:space="0"/>
            </w:tcBorders>
            <w:shd w:val="clear" w:color="auto" w:fill="auto"/>
            <w:tcMar>
              <w:top w:w="15" w:type="dxa"/>
              <w:left w:w="15" w:type="dxa"/>
              <w:bottom w:w="15" w:type="dxa"/>
              <w:right w:w="15" w:type="dxa"/>
            </w:tcMar>
            <w:vAlign w:val="center"/>
          </w:tcPr>
          <w:p w14:paraId="0C23645F">
            <w:pPr>
              <w:pStyle w:val="12"/>
              <w:jc w:val="center"/>
              <w:rPr>
                <w:rFonts w:hint="eastAsia" w:ascii="仿宋_GB2312" w:hAnsi="仿宋_GB2312" w:eastAsia="仿宋_GB2312" w:cs="仿宋_GB2312"/>
                <w:sz w:val="24"/>
                <w:szCs w:val="24"/>
                <w:lang w:val="en-US" w:eastAsia="zh-Hans"/>
              </w:rPr>
            </w:pPr>
            <w:r>
              <w:rPr>
                <w:rFonts w:hint="eastAsia" w:ascii="仿宋_GB2312" w:hAnsi="仿宋_GB2312" w:eastAsia="仿宋_GB2312" w:cs="仿宋_GB2312"/>
                <w:sz w:val="24"/>
                <w:szCs w:val="24"/>
              </w:rPr>
              <w:t>2</w:t>
            </w:r>
          </w:p>
        </w:tc>
        <w:tc>
          <w:tcPr>
            <w:tcW w:w="1005" w:type="dxa"/>
            <w:vMerge w:val="restart"/>
            <w:tcBorders>
              <w:top w:val="single" w:color="auto" w:sz="4" w:space="0"/>
              <w:left w:val="single" w:color="000000" w:sz="4" w:space="0"/>
              <w:right w:val="single" w:color="000000" w:sz="4" w:space="0"/>
            </w:tcBorders>
            <w:shd w:val="clear" w:color="auto" w:fill="auto"/>
            <w:tcMar>
              <w:top w:w="15" w:type="dxa"/>
              <w:left w:w="15" w:type="dxa"/>
              <w:bottom w:w="15" w:type="dxa"/>
              <w:right w:w="15" w:type="dxa"/>
            </w:tcMar>
            <w:vAlign w:val="center"/>
          </w:tcPr>
          <w:p w14:paraId="34625DDD">
            <w:pPr>
              <w:pStyle w:val="12"/>
              <w:jc w:val="center"/>
              <w:rPr>
                <w:rFonts w:hint="eastAsia" w:ascii="仿宋_GB2312" w:hAnsi="仿宋_GB2312" w:eastAsia="仿宋_GB2312" w:cs="仿宋_GB2312"/>
                <w:sz w:val="24"/>
                <w:szCs w:val="24"/>
                <w:lang w:val="en-US" w:eastAsia="zh-Hans"/>
              </w:rPr>
            </w:pPr>
            <w:r>
              <w:rPr>
                <w:rFonts w:hint="eastAsia" w:ascii="仿宋_GB2312" w:hAnsi="仿宋_GB2312" w:eastAsia="仿宋_GB2312" w:cs="仿宋_GB2312"/>
                <w:sz w:val="24"/>
                <w:szCs w:val="24"/>
              </w:rPr>
              <w:t>测试、测评工作考核</w:t>
            </w:r>
          </w:p>
        </w:tc>
        <w:tc>
          <w:tcPr>
            <w:tcW w:w="750" w:type="dxa"/>
            <w:vMerge w:val="restart"/>
            <w:tcBorders>
              <w:top w:val="single" w:color="auto" w:sz="4" w:space="0"/>
              <w:left w:val="single" w:color="000000" w:sz="4" w:space="0"/>
              <w:right w:val="single" w:color="000000" w:sz="4" w:space="0"/>
            </w:tcBorders>
            <w:shd w:val="clear" w:color="auto" w:fill="auto"/>
            <w:tcMar>
              <w:top w:w="15" w:type="dxa"/>
              <w:left w:w="15" w:type="dxa"/>
              <w:bottom w:w="15" w:type="dxa"/>
              <w:right w:w="15" w:type="dxa"/>
            </w:tcMar>
            <w:vAlign w:val="center"/>
          </w:tcPr>
          <w:p w14:paraId="0F4E48AC">
            <w:pPr>
              <w:pStyle w:val="12"/>
              <w:jc w:val="center"/>
              <w:rPr>
                <w:rFonts w:hint="eastAsia" w:ascii="仿宋_GB2312" w:hAnsi="仿宋_GB2312" w:eastAsia="仿宋_GB2312" w:cs="仿宋_GB2312"/>
                <w:sz w:val="24"/>
                <w:szCs w:val="24"/>
                <w:lang w:val="en-US" w:eastAsia="zh-Hans"/>
              </w:rPr>
            </w:pPr>
            <w:r>
              <w:rPr>
                <w:rFonts w:hint="eastAsia" w:ascii="仿宋_GB2312" w:hAnsi="仿宋_GB2312" w:eastAsia="仿宋_GB2312" w:cs="仿宋_GB2312"/>
                <w:sz w:val="24"/>
                <w:szCs w:val="24"/>
              </w:rPr>
              <w:t>75</w:t>
            </w:r>
          </w:p>
        </w:tc>
        <w:tc>
          <w:tcPr>
            <w:tcW w:w="52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top"/>
          </w:tcPr>
          <w:p w14:paraId="57C10E67">
            <w:pPr>
              <w:pStyle w:val="1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sz w:val="24"/>
                <w:szCs w:val="24"/>
                <w:lang w:val="en-US" w:eastAsia="zh-Hans"/>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资产梳理服务情况评价。（共5分）</w:t>
            </w:r>
          </w:p>
        </w:tc>
        <w:tc>
          <w:tcPr>
            <w:tcW w:w="85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0F87B7E8">
            <w:pPr>
              <w:pStyle w:val="12"/>
              <w:jc w:val="both"/>
              <w:rPr>
                <w:rFonts w:hint="eastAsia" w:ascii="仿宋_GB2312" w:hAnsi="仿宋_GB2312" w:eastAsia="仿宋_GB2312" w:cs="仿宋_GB2312"/>
                <w:sz w:val="24"/>
                <w:szCs w:val="24"/>
              </w:rPr>
            </w:pPr>
          </w:p>
        </w:tc>
        <w:tc>
          <w:tcPr>
            <w:tcW w:w="795" w:type="dxa"/>
            <w:vMerge w:val="continue"/>
            <w:tcBorders>
              <w:left w:val="single" w:color="000000" w:sz="4" w:space="0"/>
              <w:right w:val="single" w:color="000000" w:sz="4" w:space="0"/>
            </w:tcBorders>
            <w:tcMar>
              <w:top w:w="15" w:type="dxa"/>
              <w:left w:w="15" w:type="dxa"/>
              <w:bottom w:w="15" w:type="dxa"/>
              <w:right w:w="15" w:type="dxa"/>
            </w:tcMar>
          </w:tcPr>
          <w:p w14:paraId="1A2ECE31">
            <w:pPr>
              <w:pStyle w:val="12"/>
              <w:jc w:val="both"/>
              <w:rPr>
                <w:rFonts w:hint="eastAsia" w:ascii="仿宋_GB2312" w:hAnsi="仿宋_GB2312" w:eastAsia="仿宋_GB2312" w:cs="仿宋_GB2312"/>
                <w:sz w:val="24"/>
                <w:szCs w:val="24"/>
              </w:rPr>
            </w:pPr>
          </w:p>
        </w:tc>
      </w:tr>
      <w:tr w14:paraId="1AE81F00">
        <w:tblPrEx>
          <w:tblBorders>
            <w:top w:val="single" w:color="000000" w:sz="4" w:space="0"/>
            <w:left w:val="single" w:color="000000" w:sz="4" w:space="0"/>
            <w:bottom w:val="single" w:color="000000" w:sz="4" w:space="0"/>
            <w:right w:val="single" w:color="000000" w:sz="4" w:space="0"/>
            <w:insideH w:val="single" w:color="auto" w:sz="0" w:space="0"/>
            <w:insideV w:val="single" w:color="auto" w:sz="0" w:space="0"/>
          </w:tblBorders>
          <w:tblCellMar>
            <w:top w:w="0" w:type="dxa"/>
            <w:left w:w="108" w:type="dxa"/>
            <w:bottom w:w="0" w:type="dxa"/>
            <w:right w:w="108" w:type="dxa"/>
          </w:tblCellMar>
        </w:tblPrEx>
        <w:tc>
          <w:tcPr>
            <w:tcW w:w="765" w:type="dxa"/>
            <w:vMerge w:val="continue"/>
            <w:tcBorders>
              <w:left w:val="single" w:color="000000" w:sz="4" w:space="0"/>
              <w:right w:val="single" w:color="000000" w:sz="4" w:space="0"/>
            </w:tcBorders>
            <w:tcMar>
              <w:top w:w="15" w:type="dxa"/>
              <w:left w:w="15" w:type="dxa"/>
              <w:bottom w:w="15" w:type="dxa"/>
              <w:right w:w="15" w:type="dxa"/>
            </w:tcMar>
          </w:tcPr>
          <w:p w14:paraId="4ECF04BC">
            <w:pPr>
              <w:pStyle w:val="12"/>
              <w:jc w:val="both"/>
              <w:rPr>
                <w:rFonts w:hint="eastAsia" w:ascii="仿宋_GB2312" w:hAnsi="仿宋_GB2312" w:eastAsia="仿宋_GB2312" w:cs="仿宋_GB2312"/>
                <w:sz w:val="24"/>
                <w:szCs w:val="24"/>
              </w:rPr>
            </w:pPr>
          </w:p>
        </w:tc>
        <w:tc>
          <w:tcPr>
            <w:tcW w:w="1005" w:type="dxa"/>
            <w:vMerge w:val="continue"/>
            <w:tcBorders>
              <w:left w:val="single" w:color="000000" w:sz="4" w:space="0"/>
              <w:right w:val="single" w:color="000000" w:sz="4" w:space="0"/>
            </w:tcBorders>
            <w:tcMar>
              <w:top w:w="15" w:type="dxa"/>
              <w:left w:w="15" w:type="dxa"/>
              <w:bottom w:w="15" w:type="dxa"/>
              <w:right w:w="15" w:type="dxa"/>
            </w:tcMar>
          </w:tcPr>
          <w:p w14:paraId="4BD27FC5">
            <w:pPr>
              <w:pStyle w:val="12"/>
              <w:jc w:val="both"/>
              <w:rPr>
                <w:rFonts w:hint="eastAsia" w:ascii="仿宋_GB2312" w:hAnsi="仿宋_GB2312" w:eastAsia="仿宋_GB2312" w:cs="仿宋_GB2312"/>
                <w:sz w:val="24"/>
                <w:szCs w:val="24"/>
              </w:rPr>
            </w:pPr>
          </w:p>
        </w:tc>
        <w:tc>
          <w:tcPr>
            <w:tcW w:w="750" w:type="dxa"/>
            <w:vMerge w:val="continue"/>
            <w:tcBorders>
              <w:left w:val="single" w:color="000000" w:sz="4" w:space="0"/>
              <w:right w:val="single" w:color="000000" w:sz="4" w:space="0"/>
            </w:tcBorders>
            <w:tcMar>
              <w:top w:w="15" w:type="dxa"/>
              <w:left w:w="15" w:type="dxa"/>
              <w:bottom w:w="15" w:type="dxa"/>
              <w:right w:w="15" w:type="dxa"/>
            </w:tcMar>
          </w:tcPr>
          <w:p w14:paraId="0EB5ABE1">
            <w:pPr>
              <w:pStyle w:val="12"/>
              <w:jc w:val="both"/>
              <w:rPr>
                <w:rFonts w:hint="eastAsia" w:ascii="仿宋_GB2312" w:hAnsi="仿宋_GB2312" w:eastAsia="仿宋_GB2312" w:cs="仿宋_GB2312"/>
                <w:sz w:val="24"/>
                <w:szCs w:val="24"/>
              </w:rPr>
            </w:pPr>
          </w:p>
        </w:tc>
        <w:tc>
          <w:tcPr>
            <w:tcW w:w="52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top"/>
          </w:tcPr>
          <w:p w14:paraId="74F7760A">
            <w:pPr>
              <w:pStyle w:val="1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sz w:val="24"/>
                <w:szCs w:val="24"/>
                <w:lang w:val="en-US" w:eastAsia="zh-Hans"/>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差距分析服务情况评价（共10分）</w:t>
            </w:r>
          </w:p>
        </w:tc>
        <w:tc>
          <w:tcPr>
            <w:tcW w:w="85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4F87E945">
            <w:pPr>
              <w:pStyle w:val="12"/>
              <w:jc w:val="both"/>
              <w:rPr>
                <w:rFonts w:hint="eastAsia" w:ascii="仿宋_GB2312" w:hAnsi="仿宋_GB2312" w:eastAsia="仿宋_GB2312" w:cs="仿宋_GB2312"/>
                <w:sz w:val="24"/>
                <w:szCs w:val="24"/>
              </w:rPr>
            </w:pPr>
          </w:p>
        </w:tc>
        <w:tc>
          <w:tcPr>
            <w:tcW w:w="795" w:type="dxa"/>
            <w:vMerge w:val="continue"/>
            <w:tcBorders>
              <w:left w:val="single" w:color="000000" w:sz="4" w:space="0"/>
              <w:right w:val="single" w:color="000000" w:sz="4" w:space="0"/>
            </w:tcBorders>
            <w:tcMar>
              <w:top w:w="15" w:type="dxa"/>
              <w:left w:w="15" w:type="dxa"/>
              <w:bottom w:w="15" w:type="dxa"/>
              <w:right w:w="15" w:type="dxa"/>
            </w:tcMar>
          </w:tcPr>
          <w:p w14:paraId="69AEF37A">
            <w:pPr>
              <w:pStyle w:val="12"/>
              <w:jc w:val="both"/>
              <w:rPr>
                <w:rFonts w:hint="eastAsia" w:ascii="仿宋_GB2312" w:hAnsi="仿宋_GB2312" w:eastAsia="仿宋_GB2312" w:cs="仿宋_GB2312"/>
                <w:sz w:val="24"/>
                <w:szCs w:val="24"/>
              </w:rPr>
            </w:pPr>
          </w:p>
        </w:tc>
      </w:tr>
      <w:tr w14:paraId="11D1A9FB">
        <w:tblPrEx>
          <w:tblBorders>
            <w:top w:val="single" w:color="000000" w:sz="4" w:space="0"/>
            <w:left w:val="single" w:color="000000" w:sz="4" w:space="0"/>
            <w:bottom w:val="single" w:color="000000" w:sz="4" w:space="0"/>
            <w:right w:val="single" w:color="000000" w:sz="4" w:space="0"/>
            <w:insideH w:val="single" w:color="auto" w:sz="0" w:space="0"/>
            <w:insideV w:val="single" w:color="auto" w:sz="0" w:space="0"/>
          </w:tblBorders>
          <w:tblCellMar>
            <w:top w:w="0" w:type="dxa"/>
            <w:left w:w="108" w:type="dxa"/>
            <w:bottom w:w="0" w:type="dxa"/>
            <w:right w:w="108" w:type="dxa"/>
          </w:tblCellMar>
        </w:tblPrEx>
        <w:tc>
          <w:tcPr>
            <w:tcW w:w="765" w:type="dxa"/>
            <w:vMerge w:val="continue"/>
            <w:tcBorders>
              <w:left w:val="single" w:color="000000" w:sz="4" w:space="0"/>
              <w:right w:val="single" w:color="000000" w:sz="4" w:space="0"/>
            </w:tcBorders>
            <w:tcMar>
              <w:top w:w="15" w:type="dxa"/>
              <w:left w:w="15" w:type="dxa"/>
              <w:bottom w:w="15" w:type="dxa"/>
              <w:right w:w="15" w:type="dxa"/>
            </w:tcMar>
          </w:tcPr>
          <w:p w14:paraId="0A839E31">
            <w:pPr>
              <w:pStyle w:val="12"/>
              <w:jc w:val="both"/>
              <w:rPr>
                <w:rFonts w:hint="eastAsia" w:ascii="仿宋_GB2312" w:hAnsi="仿宋_GB2312" w:eastAsia="仿宋_GB2312" w:cs="仿宋_GB2312"/>
                <w:sz w:val="24"/>
                <w:szCs w:val="24"/>
              </w:rPr>
            </w:pPr>
          </w:p>
        </w:tc>
        <w:tc>
          <w:tcPr>
            <w:tcW w:w="1005" w:type="dxa"/>
            <w:vMerge w:val="continue"/>
            <w:tcBorders>
              <w:left w:val="single" w:color="000000" w:sz="4" w:space="0"/>
              <w:right w:val="single" w:color="000000" w:sz="4" w:space="0"/>
            </w:tcBorders>
            <w:tcMar>
              <w:top w:w="15" w:type="dxa"/>
              <w:left w:w="15" w:type="dxa"/>
              <w:bottom w:w="15" w:type="dxa"/>
              <w:right w:w="15" w:type="dxa"/>
            </w:tcMar>
          </w:tcPr>
          <w:p w14:paraId="4B8F6318">
            <w:pPr>
              <w:pStyle w:val="12"/>
              <w:jc w:val="both"/>
              <w:rPr>
                <w:rFonts w:hint="eastAsia" w:ascii="仿宋_GB2312" w:hAnsi="仿宋_GB2312" w:eastAsia="仿宋_GB2312" w:cs="仿宋_GB2312"/>
                <w:sz w:val="24"/>
                <w:szCs w:val="24"/>
              </w:rPr>
            </w:pPr>
          </w:p>
        </w:tc>
        <w:tc>
          <w:tcPr>
            <w:tcW w:w="750" w:type="dxa"/>
            <w:vMerge w:val="continue"/>
            <w:tcBorders>
              <w:left w:val="single" w:color="000000" w:sz="4" w:space="0"/>
              <w:right w:val="single" w:color="000000" w:sz="4" w:space="0"/>
            </w:tcBorders>
            <w:tcMar>
              <w:top w:w="15" w:type="dxa"/>
              <w:left w:w="15" w:type="dxa"/>
              <w:bottom w:w="15" w:type="dxa"/>
              <w:right w:w="15" w:type="dxa"/>
            </w:tcMar>
          </w:tcPr>
          <w:p w14:paraId="4841CDE0">
            <w:pPr>
              <w:pStyle w:val="12"/>
              <w:jc w:val="both"/>
              <w:rPr>
                <w:rFonts w:hint="eastAsia" w:ascii="仿宋_GB2312" w:hAnsi="仿宋_GB2312" w:eastAsia="仿宋_GB2312" w:cs="仿宋_GB2312"/>
                <w:sz w:val="24"/>
                <w:szCs w:val="24"/>
              </w:rPr>
            </w:pPr>
          </w:p>
        </w:tc>
        <w:tc>
          <w:tcPr>
            <w:tcW w:w="52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top"/>
          </w:tcPr>
          <w:p w14:paraId="7D7CB86C">
            <w:pPr>
              <w:pStyle w:val="1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sz w:val="24"/>
                <w:szCs w:val="24"/>
                <w:lang w:val="en-US" w:eastAsia="zh-Hans"/>
              </w:rPr>
            </w:pPr>
            <w:r>
              <w:rPr>
                <w:rFonts w:hint="eastAsia" w:ascii="仿宋_GB2312" w:hAnsi="仿宋_GB2312" w:eastAsia="仿宋_GB2312" w:cs="仿宋_GB2312"/>
                <w:sz w:val="24"/>
                <w:szCs w:val="24"/>
              </w:rPr>
              <w:t>3</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规划整改服务情况评价。（共5分）</w:t>
            </w:r>
          </w:p>
        </w:tc>
        <w:tc>
          <w:tcPr>
            <w:tcW w:w="85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41EC3703">
            <w:pPr>
              <w:pStyle w:val="12"/>
              <w:jc w:val="both"/>
              <w:rPr>
                <w:rFonts w:hint="eastAsia" w:ascii="仿宋_GB2312" w:hAnsi="仿宋_GB2312" w:eastAsia="仿宋_GB2312" w:cs="仿宋_GB2312"/>
                <w:sz w:val="24"/>
                <w:szCs w:val="24"/>
              </w:rPr>
            </w:pPr>
          </w:p>
        </w:tc>
        <w:tc>
          <w:tcPr>
            <w:tcW w:w="795" w:type="dxa"/>
            <w:vMerge w:val="continue"/>
            <w:tcBorders>
              <w:left w:val="single" w:color="000000" w:sz="4" w:space="0"/>
              <w:right w:val="single" w:color="000000" w:sz="4" w:space="0"/>
            </w:tcBorders>
            <w:tcMar>
              <w:top w:w="15" w:type="dxa"/>
              <w:left w:w="15" w:type="dxa"/>
              <w:bottom w:w="15" w:type="dxa"/>
              <w:right w:w="15" w:type="dxa"/>
            </w:tcMar>
          </w:tcPr>
          <w:p w14:paraId="183C074F">
            <w:pPr>
              <w:pStyle w:val="12"/>
              <w:jc w:val="both"/>
              <w:rPr>
                <w:rFonts w:hint="eastAsia" w:ascii="仿宋_GB2312" w:hAnsi="仿宋_GB2312" w:eastAsia="仿宋_GB2312" w:cs="仿宋_GB2312"/>
                <w:sz w:val="24"/>
                <w:szCs w:val="24"/>
              </w:rPr>
            </w:pPr>
          </w:p>
        </w:tc>
      </w:tr>
      <w:tr w14:paraId="6074FD40">
        <w:tblPrEx>
          <w:tblBorders>
            <w:top w:val="single" w:color="000000" w:sz="4" w:space="0"/>
            <w:left w:val="single" w:color="000000" w:sz="4" w:space="0"/>
            <w:bottom w:val="single" w:color="000000" w:sz="4" w:space="0"/>
            <w:right w:val="single" w:color="000000" w:sz="4" w:space="0"/>
            <w:insideH w:val="single" w:color="auto" w:sz="0" w:space="0"/>
            <w:insideV w:val="single" w:color="auto" w:sz="0" w:space="0"/>
          </w:tblBorders>
          <w:tblCellMar>
            <w:top w:w="0" w:type="dxa"/>
            <w:left w:w="108" w:type="dxa"/>
            <w:bottom w:w="0" w:type="dxa"/>
            <w:right w:w="108" w:type="dxa"/>
          </w:tblCellMar>
        </w:tblPrEx>
        <w:tc>
          <w:tcPr>
            <w:tcW w:w="765" w:type="dxa"/>
            <w:vMerge w:val="continue"/>
            <w:tcBorders>
              <w:left w:val="single" w:color="000000" w:sz="4" w:space="0"/>
              <w:right w:val="single" w:color="000000" w:sz="4" w:space="0"/>
            </w:tcBorders>
            <w:tcMar>
              <w:top w:w="15" w:type="dxa"/>
              <w:left w:w="15" w:type="dxa"/>
              <w:bottom w:w="15" w:type="dxa"/>
              <w:right w:w="15" w:type="dxa"/>
            </w:tcMar>
          </w:tcPr>
          <w:p w14:paraId="60B00C88">
            <w:pPr>
              <w:pStyle w:val="12"/>
              <w:jc w:val="both"/>
              <w:rPr>
                <w:rFonts w:hint="eastAsia" w:ascii="仿宋_GB2312" w:hAnsi="仿宋_GB2312" w:eastAsia="仿宋_GB2312" w:cs="仿宋_GB2312"/>
                <w:sz w:val="24"/>
                <w:szCs w:val="24"/>
              </w:rPr>
            </w:pPr>
          </w:p>
        </w:tc>
        <w:tc>
          <w:tcPr>
            <w:tcW w:w="1005" w:type="dxa"/>
            <w:vMerge w:val="continue"/>
            <w:tcBorders>
              <w:left w:val="single" w:color="000000" w:sz="4" w:space="0"/>
              <w:right w:val="single" w:color="000000" w:sz="4" w:space="0"/>
            </w:tcBorders>
            <w:tcMar>
              <w:top w:w="15" w:type="dxa"/>
              <w:left w:w="15" w:type="dxa"/>
              <w:bottom w:w="15" w:type="dxa"/>
              <w:right w:w="15" w:type="dxa"/>
            </w:tcMar>
          </w:tcPr>
          <w:p w14:paraId="034579AB">
            <w:pPr>
              <w:pStyle w:val="12"/>
              <w:jc w:val="both"/>
              <w:rPr>
                <w:rFonts w:hint="eastAsia" w:ascii="仿宋_GB2312" w:hAnsi="仿宋_GB2312" w:eastAsia="仿宋_GB2312" w:cs="仿宋_GB2312"/>
                <w:sz w:val="24"/>
                <w:szCs w:val="24"/>
              </w:rPr>
            </w:pPr>
          </w:p>
        </w:tc>
        <w:tc>
          <w:tcPr>
            <w:tcW w:w="750" w:type="dxa"/>
            <w:vMerge w:val="continue"/>
            <w:tcBorders>
              <w:left w:val="single" w:color="000000" w:sz="4" w:space="0"/>
              <w:right w:val="single" w:color="000000" w:sz="4" w:space="0"/>
            </w:tcBorders>
            <w:tcMar>
              <w:top w:w="15" w:type="dxa"/>
              <w:left w:w="15" w:type="dxa"/>
              <w:bottom w:w="15" w:type="dxa"/>
              <w:right w:w="15" w:type="dxa"/>
            </w:tcMar>
          </w:tcPr>
          <w:p w14:paraId="01FDA887">
            <w:pPr>
              <w:pStyle w:val="12"/>
              <w:jc w:val="both"/>
              <w:rPr>
                <w:rFonts w:hint="eastAsia" w:ascii="仿宋_GB2312" w:hAnsi="仿宋_GB2312" w:eastAsia="仿宋_GB2312" w:cs="仿宋_GB2312"/>
                <w:sz w:val="24"/>
                <w:szCs w:val="24"/>
              </w:rPr>
            </w:pPr>
          </w:p>
        </w:tc>
        <w:tc>
          <w:tcPr>
            <w:tcW w:w="52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top"/>
          </w:tcPr>
          <w:p w14:paraId="5401B4DE">
            <w:pPr>
              <w:pStyle w:val="1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sz w:val="24"/>
                <w:szCs w:val="24"/>
                <w:lang w:val="en-US" w:eastAsia="zh-Hans"/>
              </w:rPr>
            </w:pPr>
            <w:r>
              <w:rPr>
                <w:rFonts w:hint="eastAsia" w:ascii="仿宋_GB2312" w:hAnsi="仿宋_GB2312" w:eastAsia="仿宋_GB2312" w:cs="仿宋_GB2312"/>
                <w:sz w:val="24"/>
                <w:szCs w:val="24"/>
              </w:rPr>
              <w:t>4</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安全整改加固服务情况评价。（共1</w:t>
            </w:r>
            <w:r>
              <w:rPr>
                <w:rFonts w:hint="eastAsia" w:ascii="仿宋_GB2312" w:hAnsi="仿宋_GB2312" w:eastAsia="仿宋_GB2312" w:cs="仿宋_GB2312"/>
                <w:sz w:val="24"/>
                <w:szCs w:val="24"/>
                <w:lang w:val="en-US" w:eastAsia="zh-CN"/>
              </w:rPr>
              <w:t>0</w:t>
            </w:r>
            <w:r>
              <w:rPr>
                <w:rFonts w:hint="eastAsia" w:ascii="仿宋_GB2312" w:hAnsi="仿宋_GB2312" w:eastAsia="仿宋_GB2312" w:cs="仿宋_GB2312"/>
                <w:sz w:val="24"/>
                <w:szCs w:val="24"/>
              </w:rPr>
              <w:t>分）</w:t>
            </w:r>
          </w:p>
        </w:tc>
        <w:tc>
          <w:tcPr>
            <w:tcW w:w="85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042A8C44">
            <w:pPr>
              <w:pStyle w:val="12"/>
              <w:jc w:val="both"/>
              <w:rPr>
                <w:rFonts w:hint="eastAsia" w:ascii="仿宋_GB2312" w:hAnsi="仿宋_GB2312" w:eastAsia="仿宋_GB2312" w:cs="仿宋_GB2312"/>
                <w:sz w:val="24"/>
                <w:szCs w:val="24"/>
              </w:rPr>
            </w:pPr>
          </w:p>
        </w:tc>
        <w:tc>
          <w:tcPr>
            <w:tcW w:w="795" w:type="dxa"/>
            <w:vMerge w:val="continue"/>
            <w:tcBorders>
              <w:left w:val="single" w:color="000000" w:sz="4" w:space="0"/>
              <w:right w:val="single" w:color="000000" w:sz="4" w:space="0"/>
            </w:tcBorders>
            <w:tcMar>
              <w:top w:w="15" w:type="dxa"/>
              <w:left w:w="15" w:type="dxa"/>
              <w:bottom w:w="15" w:type="dxa"/>
              <w:right w:w="15" w:type="dxa"/>
            </w:tcMar>
          </w:tcPr>
          <w:p w14:paraId="1E89511A">
            <w:pPr>
              <w:pStyle w:val="12"/>
              <w:jc w:val="both"/>
              <w:rPr>
                <w:rFonts w:hint="eastAsia" w:ascii="仿宋_GB2312" w:hAnsi="仿宋_GB2312" w:eastAsia="仿宋_GB2312" w:cs="仿宋_GB2312"/>
                <w:sz w:val="24"/>
                <w:szCs w:val="24"/>
              </w:rPr>
            </w:pPr>
          </w:p>
        </w:tc>
      </w:tr>
      <w:tr w14:paraId="3377321E">
        <w:tblPrEx>
          <w:tblBorders>
            <w:top w:val="single" w:color="000000" w:sz="4" w:space="0"/>
            <w:left w:val="single" w:color="000000" w:sz="4" w:space="0"/>
            <w:bottom w:val="single" w:color="000000" w:sz="4" w:space="0"/>
            <w:right w:val="single" w:color="000000" w:sz="4" w:space="0"/>
            <w:insideH w:val="single" w:color="auto" w:sz="0" w:space="0"/>
            <w:insideV w:val="single" w:color="auto" w:sz="0" w:space="0"/>
          </w:tblBorders>
          <w:tblCellMar>
            <w:top w:w="0" w:type="dxa"/>
            <w:left w:w="108" w:type="dxa"/>
            <w:bottom w:w="0" w:type="dxa"/>
            <w:right w:w="108" w:type="dxa"/>
          </w:tblCellMar>
        </w:tblPrEx>
        <w:tc>
          <w:tcPr>
            <w:tcW w:w="765" w:type="dxa"/>
            <w:vMerge w:val="continue"/>
            <w:tcBorders>
              <w:left w:val="single" w:color="000000" w:sz="4" w:space="0"/>
              <w:right w:val="single" w:color="000000" w:sz="4" w:space="0"/>
            </w:tcBorders>
            <w:tcMar>
              <w:top w:w="15" w:type="dxa"/>
              <w:left w:w="15" w:type="dxa"/>
              <w:bottom w:w="15" w:type="dxa"/>
              <w:right w:w="15" w:type="dxa"/>
            </w:tcMar>
          </w:tcPr>
          <w:p w14:paraId="7EA763C9">
            <w:pPr>
              <w:pStyle w:val="12"/>
              <w:jc w:val="both"/>
              <w:rPr>
                <w:rFonts w:hint="eastAsia" w:ascii="仿宋_GB2312" w:hAnsi="仿宋_GB2312" w:eastAsia="仿宋_GB2312" w:cs="仿宋_GB2312"/>
                <w:sz w:val="24"/>
                <w:szCs w:val="24"/>
              </w:rPr>
            </w:pPr>
          </w:p>
        </w:tc>
        <w:tc>
          <w:tcPr>
            <w:tcW w:w="1005" w:type="dxa"/>
            <w:vMerge w:val="continue"/>
            <w:tcBorders>
              <w:left w:val="single" w:color="000000" w:sz="4" w:space="0"/>
              <w:right w:val="single" w:color="000000" w:sz="4" w:space="0"/>
            </w:tcBorders>
            <w:tcMar>
              <w:top w:w="15" w:type="dxa"/>
              <w:left w:w="15" w:type="dxa"/>
              <w:bottom w:w="15" w:type="dxa"/>
              <w:right w:w="15" w:type="dxa"/>
            </w:tcMar>
          </w:tcPr>
          <w:p w14:paraId="4E89C82A">
            <w:pPr>
              <w:pStyle w:val="12"/>
              <w:jc w:val="both"/>
              <w:rPr>
                <w:rFonts w:hint="eastAsia" w:ascii="仿宋_GB2312" w:hAnsi="仿宋_GB2312" w:eastAsia="仿宋_GB2312" w:cs="仿宋_GB2312"/>
                <w:sz w:val="24"/>
                <w:szCs w:val="24"/>
              </w:rPr>
            </w:pPr>
          </w:p>
        </w:tc>
        <w:tc>
          <w:tcPr>
            <w:tcW w:w="750" w:type="dxa"/>
            <w:vMerge w:val="continue"/>
            <w:tcBorders>
              <w:left w:val="single" w:color="000000" w:sz="4" w:space="0"/>
              <w:right w:val="single" w:color="000000" w:sz="4" w:space="0"/>
            </w:tcBorders>
            <w:tcMar>
              <w:top w:w="15" w:type="dxa"/>
              <w:left w:w="15" w:type="dxa"/>
              <w:bottom w:w="15" w:type="dxa"/>
              <w:right w:w="15" w:type="dxa"/>
            </w:tcMar>
          </w:tcPr>
          <w:p w14:paraId="1AFCBFAA">
            <w:pPr>
              <w:pStyle w:val="12"/>
              <w:jc w:val="both"/>
              <w:rPr>
                <w:rFonts w:hint="eastAsia" w:ascii="仿宋_GB2312" w:hAnsi="仿宋_GB2312" w:eastAsia="仿宋_GB2312" w:cs="仿宋_GB2312"/>
                <w:sz w:val="24"/>
                <w:szCs w:val="24"/>
              </w:rPr>
            </w:pPr>
          </w:p>
        </w:tc>
        <w:tc>
          <w:tcPr>
            <w:tcW w:w="52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top"/>
          </w:tcPr>
          <w:p w14:paraId="00E882F2">
            <w:pPr>
              <w:pStyle w:val="1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sz w:val="24"/>
                <w:szCs w:val="24"/>
                <w:lang w:val="en-US" w:eastAsia="zh-Hans"/>
              </w:rPr>
            </w:pPr>
            <w:r>
              <w:rPr>
                <w:rFonts w:hint="eastAsia" w:ascii="仿宋_GB2312" w:hAnsi="仿宋_GB2312" w:eastAsia="仿宋_GB2312" w:cs="仿宋_GB2312"/>
                <w:sz w:val="24"/>
                <w:szCs w:val="24"/>
              </w:rPr>
              <w:t>5</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管理制度辅助建设服务情况评价。（共10分）</w:t>
            </w:r>
          </w:p>
        </w:tc>
        <w:tc>
          <w:tcPr>
            <w:tcW w:w="85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22D5006A">
            <w:pPr>
              <w:pStyle w:val="12"/>
              <w:jc w:val="both"/>
              <w:rPr>
                <w:rFonts w:hint="eastAsia" w:ascii="仿宋_GB2312" w:hAnsi="仿宋_GB2312" w:eastAsia="仿宋_GB2312" w:cs="仿宋_GB2312"/>
                <w:sz w:val="24"/>
                <w:szCs w:val="24"/>
              </w:rPr>
            </w:pPr>
          </w:p>
        </w:tc>
        <w:tc>
          <w:tcPr>
            <w:tcW w:w="795" w:type="dxa"/>
            <w:vMerge w:val="continue"/>
            <w:tcBorders>
              <w:left w:val="single" w:color="000000" w:sz="4" w:space="0"/>
              <w:right w:val="single" w:color="000000" w:sz="4" w:space="0"/>
            </w:tcBorders>
            <w:tcMar>
              <w:top w:w="15" w:type="dxa"/>
              <w:left w:w="15" w:type="dxa"/>
              <w:bottom w:w="15" w:type="dxa"/>
              <w:right w:w="15" w:type="dxa"/>
            </w:tcMar>
          </w:tcPr>
          <w:p w14:paraId="4883B66E">
            <w:pPr>
              <w:pStyle w:val="12"/>
              <w:jc w:val="both"/>
              <w:rPr>
                <w:rFonts w:hint="eastAsia" w:ascii="仿宋_GB2312" w:hAnsi="仿宋_GB2312" w:eastAsia="仿宋_GB2312" w:cs="仿宋_GB2312"/>
                <w:sz w:val="24"/>
                <w:szCs w:val="24"/>
              </w:rPr>
            </w:pPr>
          </w:p>
        </w:tc>
      </w:tr>
      <w:tr w14:paraId="63C183DC">
        <w:tblPrEx>
          <w:tblBorders>
            <w:top w:val="single" w:color="000000" w:sz="4" w:space="0"/>
            <w:left w:val="single" w:color="000000" w:sz="4" w:space="0"/>
            <w:bottom w:val="single" w:color="000000" w:sz="4" w:space="0"/>
            <w:right w:val="single" w:color="000000" w:sz="4" w:space="0"/>
            <w:insideH w:val="single" w:color="auto" w:sz="0" w:space="0"/>
            <w:insideV w:val="single" w:color="auto" w:sz="0" w:space="0"/>
          </w:tblBorders>
          <w:tblCellMar>
            <w:top w:w="0" w:type="dxa"/>
            <w:left w:w="108" w:type="dxa"/>
            <w:bottom w:w="0" w:type="dxa"/>
            <w:right w:w="108" w:type="dxa"/>
          </w:tblCellMar>
        </w:tblPrEx>
        <w:tc>
          <w:tcPr>
            <w:tcW w:w="765" w:type="dxa"/>
            <w:vMerge w:val="continue"/>
            <w:tcBorders>
              <w:left w:val="single" w:color="000000" w:sz="4" w:space="0"/>
              <w:right w:val="single" w:color="000000" w:sz="4" w:space="0"/>
            </w:tcBorders>
            <w:tcMar>
              <w:top w:w="15" w:type="dxa"/>
              <w:left w:w="15" w:type="dxa"/>
              <w:bottom w:w="15" w:type="dxa"/>
              <w:right w:w="15" w:type="dxa"/>
            </w:tcMar>
          </w:tcPr>
          <w:p w14:paraId="0F3472B8">
            <w:pPr>
              <w:pStyle w:val="12"/>
              <w:jc w:val="both"/>
              <w:rPr>
                <w:rFonts w:hint="eastAsia" w:ascii="仿宋_GB2312" w:hAnsi="仿宋_GB2312" w:eastAsia="仿宋_GB2312" w:cs="仿宋_GB2312"/>
                <w:sz w:val="24"/>
                <w:szCs w:val="24"/>
              </w:rPr>
            </w:pPr>
          </w:p>
        </w:tc>
        <w:tc>
          <w:tcPr>
            <w:tcW w:w="1005" w:type="dxa"/>
            <w:vMerge w:val="continue"/>
            <w:tcBorders>
              <w:left w:val="single" w:color="000000" w:sz="4" w:space="0"/>
              <w:right w:val="single" w:color="000000" w:sz="4" w:space="0"/>
            </w:tcBorders>
            <w:tcMar>
              <w:top w:w="15" w:type="dxa"/>
              <w:left w:w="15" w:type="dxa"/>
              <w:bottom w:w="15" w:type="dxa"/>
              <w:right w:w="15" w:type="dxa"/>
            </w:tcMar>
          </w:tcPr>
          <w:p w14:paraId="7292C2B4">
            <w:pPr>
              <w:pStyle w:val="12"/>
              <w:jc w:val="both"/>
              <w:rPr>
                <w:rFonts w:hint="eastAsia" w:ascii="仿宋_GB2312" w:hAnsi="仿宋_GB2312" w:eastAsia="仿宋_GB2312" w:cs="仿宋_GB2312"/>
                <w:sz w:val="24"/>
                <w:szCs w:val="24"/>
              </w:rPr>
            </w:pPr>
          </w:p>
        </w:tc>
        <w:tc>
          <w:tcPr>
            <w:tcW w:w="750" w:type="dxa"/>
            <w:vMerge w:val="continue"/>
            <w:tcBorders>
              <w:left w:val="single" w:color="000000" w:sz="4" w:space="0"/>
              <w:right w:val="single" w:color="000000" w:sz="4" w:space="0"/>
            </w:tcBorders>
            <w:tcMar>
              <w:top w:w="15" w:type="dxa"/>
              <w:left w:w="15" w:type="dxa"/>
              <w:bottom w:w="15" w:type="dxa"/>
              <w:right w:w="15" w:type="dxa"/>
            </w:tcMar>
          </w:tcPr>
          <w:p w14:paraId="268EED6C">
            <w:pPr>
              <w:pStyle w:val="12"/>
              <w:jc w:val="both"/>
              <w:rPr>
                <w:rFonts w:hint="eastAsia" w:ascii="仿宋_GB2312" w:hAnsi="仿宋_GB2312" w:eastAsia="仿宋_GB2312" w:cs="仿宋_GB2312"/>
                <w:sz w:val="24"/>
                <w:szCs w:val="24"/>
              </w:rPr>
            </w:pPr>
          </w:p>
        </w:tc>
        <w:tc>
          <w:tcPr>
            <w:tcW w:w="52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top"/>
          </w:tcPr>
          <w:p w14:paraId="7196C892">
            <w:pPr>
              <w:pStyle w:val="1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sz w:val="24"/>
                <w:szCs w:val="24"/>
                <w:lang w:val="en-US" w:eastAsia="zh-Hans"/>
              </w:rPr>
            </w:pPr>
            <w:r>
              <w:rPr>
                <w:rFonts w:hint="eastAsia" w:ascii="仿宋_GB2312" w:hAnsi="仿宋_GB2312" w:eastAsia="仿宋_GB2312" w:cs="仿宋_GB2312"/>
                <w:sz w:val="24"/>
                <w:szCs w:val="24"/>
              </w:rPr>
              <w:t>6</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等保测评辅助服务情况评价。（共10分）</w:t>
            </w:r>
          </w:p>
        </w:tc>
        <w:tc>
          <w:tcPr>
            <w:tcW w:w="85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02A33C1E">
            <w:pPr>
              <w:pStyle w:val="12"/>
              <w:jc w:val="both"/>
              <w:rPr>
                <w:rFonts w:hint="eastAsia" w:ascii="仿宋_GB2312" w:hAnsi="仿宋_GB2312" w:eastAsia="仿宋_GB2312" w:cs="仿宋_GB2312"/>
                <w:sz w:val="24"/>
                <w:szCs w:val="24"/>
              </w:rPr>
            </w:pPr>
          </w:p>
        </w:tc>
        <w:tc>
          <w:tcPr>
            <w:tcW w:w="795" w:type="dxa"/>
            <w:vMerge w:val="continue"/>
            <w:tcBorders>
              <w:left w:val="single" w:color="000000" w:sz="4" w:space="0"/>
              <w:right w:val="single" w:color="000000" w:sz="4" w:space="0"/>
            </w:tcBorders>
            <w:tcMar>
              <w:top w:w="15" w:type="dxa"/>
              <w:left w:w="15" w:type="dxa"/>
              <w:bottom w:w="15" w:type="dxa"/>
              <w:right w:w="15" w:type="dxa"/>
            </w:tcMar>
          </w:tcPr>
          <w:p w14:paraId="46554C56">
            <w:pPr>
              <w:pStyle w:val="12"/>
              <w:jc w:val="both"/>
              <w:rPr>
                <w:rFonts w:hint="eastAsia" w:ascii="仿宋_GB2312" w:hAnsi="仿宋_GB2312" w:eastAsia="仿宋_GB2312" w:cs="仿宋_GB2312"/>
                <w:sz w:val="24"/>
                <w:szCs w:val="24"/>
              </w:rPr>
            </w:pPr>
          </w:p>
        </w:tc>
      </w:tr>
      <w:tr w14:paraId="337D5493">
        <w:tblPrEx>
          <w:tblBorders>
            <w:top w:val="single" w:color="000000" w:sz="4" w:space="0"/>
            <w:left w:val="single" w:color="000000" w:sz="4" w:space="0"/>
            <w:bottom w:val="single" w:color="000000" w:sz="4" w:space="0"/>
            <w:right w:val="single" w:color="000000" w:sz="4" w:space="0"/>
            <w:insideH w:val="single" w:color="auto" w:sz="0" w:space="0"/>
            <w:insideV w:val="single" w:color="auto" w:sz="0" w:space="0"/>
          </w:tblBorders>
          <w:tblCellMar>
            <w:top w:w="0" w:type="dxa"/>
            <w:left w:w="108" w:type="dxa"/>
            <w:bottom w:w="0" w:type="dxa"/>
            <w:right w:w="108" w:type="dxa"/>
          </w:tblCellMar>
        </w:tblPrEx>
        <w:tc>
          <w:tcPr>
            <w:tcW w:w="765" w:type="dxa"/>
            <w:vMerge w:val="continue"/>
            <w:tcBorders>
              <w:left w:val="single" w:color="000000" w:sz="4" w:space="0"/>
              <w:right w:val="single" w:color="000000" w:sz="4" w:space="0"/>
            </w:tcBorders>
            <w:tcMar>
              <w:top w:w="15" w:type="dxa"/>
              <w:left w:w="15" w:type="dxa"/>
              <w:bottom w:w="15" w:type="dxa"/>
              <w:right w:w="15" w:type="dxa"/>
            </w:tcMar>
          </w:tcPr>
          <w:p w14:paraId="41F55490">
            <w:pPr>
              <w:pStyle w:val="12"/>
              <w:jc w:val="both"/>
              <w:rPr>
                <w:rFonts w:hint="eastAsia" w:ascii="仿宋_GB2312" w:hAnsi="仿宋_GB2312" w:eastAsia="仿宋_GB2312" w:cs="仿宋_GB2312"/>
                <w:sz w:val="24"/>
                <w:szCs w:val="24"/>
              </w:rPr>
            </w:pPr>
          </w:p>
        </w:tc>
        <w:tc>
          <w:tcPr>
            <w:tcW w:w="1005" w:type="dxa"/>
            <w:vMerge w:val="continue"/>
            <w:tcBorders>
              <w:left w:val="single" w:color="000000" w:sz="4" w:space="0"/>
              <w:right w:val="single" w:color="000000" w:sz="4" w:space="0"/>
            </w:tcBorders>
            <w:tcMar>
              <w:top w:w="15" w:type="dxa"/>
              <w:left w:w="15" w:type="dxa"/>
              <w:bottom w:w="15" w:type="dxa"/>
              <w:right w:w="15" w:type="dxa"/>
            </w:tcMar>
          </w:tcPr>
          <w:p w14:paraId="2E10772A">
            <w:pPr>
              <w:pStyle w:val="12"/>
              <w:jc w:val="both"/>
              <w:rPr>
                <w:rFonts w:hint="eastAsia" w:ascii="仿宋_GB2312" w:hAnsi="仿宋_GB2312" w:eastAsia="仿宋_GB2312" w:cs="仿宋_GB2312"/>
                <w:sz w:val="24"/>
                <w:szCs w:val="24"/>
              </w:rPr>
            </w:pPr>
          </w:p>
        </w:tc>
        <w:tc>
          <w:tcPr>
            <w:tcW w:w="750" w:type="dxa"/>
            <w:vMerge w:val="continue"/>
            <w:tcBorders>
              <w:left w:val="single" w:color="000000" w:sz="4" w:space="0"/>
              <w:right w:val="single" w:color="000000" w:sz="4" w:space="0"/>
            </w:tcBorders>
            <w:tcMar>
              <w:top w:w="15" w:type="dxa"/>
              <w:left w:w="15" w:type="dxa"/>
              <w:bottom w:w="15" w:type="dxa"/>
              <w:right w:w="15" w:type="dxa"/>
            </w:tcMar>
          </w:tcPr>
          <w:p w14:paraId="755E5D4C">
            <w:pPr>
              <w:pStyle w:val="12"/>
              <w:jc w:val="both"/>
              <w:rPr>
                <w:rFonts w:hint="eastAsia" w:ascii="仿宋_GB2312" w:hAnsi="仿宋_GB2312" w:eastAsia="仿宋_GB2312" w:cs="仿宋_GB2312"/>
                <w:sz w:val="24"/>
                <w:szCs w:val="24"/>
              </w:rPr>
            </w:pPr>
          </w:p>
        </w:tc>
        <w:tc>
          <w:tcPr>
            <w:tcW w:w="52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top"/>
          </w:tcPr>
          <w:p w14:paraId="2198869E">
            <w:pPr>
              <w:pStyle w:val="1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sz w:val="24"/>
                <w:szCs w:val="24"/>
                <w:lang w:val="en-US" w:eastAsia="zh-Hans"/>
              </w:rPr>
            </w:pPr>
            <w:r>
              <w:rPr>
                <w:rFonts w:hint="eastAsia" w:ascii="仿宋_GB2312" w:hAnsi="仿宋_GB2312" w:eastAsia="仿宋_GB2312" w:cs="仿宋_GB2312"/>
                <w:sz w:val="24"/>
                <w:szCs w:val="24"/>
              </w:rPr>
              <w:t>7</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等级保护测评服务情况评价。（共15分）</w:t>
            </w:r>
          </w:p>
        </w:tc>
        <w:tc>
          <w:tcPr>
            <w:tcW w:w="85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0276DBF6">
            <w:pPr>
              <w:pStyle w:val="12"/>
              <w:jc w:val="both"/>
              <w:rPr>
                <w:rFonts w:hint="eastAsia" w:ascii="仿宋_GB2312" w:hAnsi="仿宋_GB2312" w:eastAsia="仿宋_GB2312" w:cs="仿宋_GB2312"/>
                <w:sz w:val="24"/>
                <w:szCs w:val="24"/>
              </w:rPr>
            </w:pPr>
          </w:p>
        </w:tc>
        <w:tc>
          <w:tcPr>
            <w:tcW w:w="795" w:type="dxa"/>
            <w:vMerge w:val="continue"/>
            <w:tcBorders>
              <w:left w:val="single" w:color="000000" w:sz="4" w:space="0"/>
              <w:right w:val="single" w:color="000000" w:sz="4" w:space="0"/>
            </w:tcBorders>
            <w:tcMar>
              <w:top w:w="15" w:type="dxa"/>
              <w:left w:w="15" w:type="dxa"/>
              <w:bottom w:w="15" w:type="dxa"/>
              <w:right w:w="15" w:type="dxa"/>
            </w:tcMar>
          </w:tcPr>
          <w:p w14:paraId="008F4176">
            <w:pPr>
              <w:pStyle w:val="12"/>
              <w:jc w:val="both"/>
              <w:rPr>
                <w:rFonts w:hint="eastAsia" w:ascii="仿宋_GB2312" w:hAnsi="仿宋_GB2312" w:eastAsia="仿宋_GB2312" w:cs="仿宋_GB2312"/>
                <w:sz w:val="24"/>
                <w:szCs w:val="24"/>
              </w:rPr>
            </w:pPr>
          </w:p>
        </w:tc>
      </w:tr>
      <w:tr w14:paraId="1DE70277">
        <w:tblPrEx>
          <w:tblBorders>
            <w:top w:val="single" w:color="000000" w:sz="4" w:space="0"/>
            <w:left w:val="single" w:color="000000" w:sz="4" w:space="0"/>
            <w:bottom w:val="single" w:color="000000" w:sz="4" w:space="0"/>
            <w:right w:val="single" w:color="000000" w:sz="4" w:space="0"/>
            <w:insideH w:val="single" w:color="auto" w:sz="0" w:space="0"/>
            <w:insideV w:val="single" w:color="auto" w:sz="0" w:space="0"/>
          </w:tblBorders>
          <w:tblCellMar>
            <w:top w:w="0" w:type="dxa"/>
            <w:left w:w="108" w:type="dxa"/>
            <w:bottom w:w="0" w:type="dxa"/>
            <w:right w:w="108" w:type="dxa"/>
          </w:tblCellMar>
        </w:tblPrEx>
        <w:tc>
          <w:tcPr>
            <w:tcW w:w="765" w:type="dxa"/>
            <w:vMerge w:val="continue"/>
            <w:tcBorders>
              <w:left w:val="single" w:color="000000" w:sz="4" w:space="0"/>
              <w:right w:val="single" w:color="000000" w:sz="4" w:space="0"/>
            </w:tcBorders>
            <w:tcMar>
              <w:top w:w="15" w:type="dxa"/>
              <w:left w:w="15" w:type="dxa"/>
              <w:bottom w:w="15" w:type="dxa"/>
              <w:right w:w="15" w:type="dxa"/>
            </w:tcMar>
          </w:tcPr>
          <w:p w14:paraId="4DF122EF">
            <w:pPr>
              <w:pStyle w:val="12"/>
              <w:jc w:val="both"/>
              <w:rPr>
                <w:rFonts w:hint="eastAsia" w:ascii="仿宋_GB2312" w:hAnsi="仿宋_GB2312" w:eastAsia="仿宋_GB2312" w:cs="仿宋_GB2312"/>
                <w:sz w:val="24"/>
                <w:szCs w:val="24"/>
              </w:rPr>
            </w:pPr>
          </w:p>
        </w:tc>
        <w:tc>
          <w:tcPr>
            <w:tcW w:w="1005" w:type="dxa"/>
            <w:vMerge w:val="continue"/>
            <w:tcBorders>
              <w:left w:val="single" w:color="000000" w:sz="4" w:space="0"/>
              <w:right w:val="single" w:color="000000" w:sz="4" w:space="0"/>
            </w:tcBorders>
            <w:tcMar>
              <w:top w:w="15" w:type="dxa"/>
              <w:left w:w="15" w:type="dxa"/>
              <w:bottom w:w="15" w:type="dxa"/>
              <w:right w:w="15" w:type="dxa"/>
            </w:tcMar>
          </w:tcPr>
          <w:p w14:paraId="07F60514">
            <w:pPr>
              <w:pStyle w:val="12"/>
              <w:jc w:val="both"/>
              <w:rPr>
                <w:rFonts w:hint="eastAsia" w:ascii="仿宋_GB2312" w:hAnsi="仿宋_GB2312" w:eastAsia="仿宋_GB2312" w:cs="仿宋_GB2312"/>
                <w:sz w:val="24"/>
                <w:szCs w:val="24"/>
              </w:rPr>
            </w:pPr>
          </w:p>
        </w:tc>
        <w:tc>
          <w:tcPr>
            <w:tcW w:w="750" w:type="dxa"/>
            <w:vMerge w:val="continue"/>
            <w:tcBorders>
              <w:left w:val="single" w:color="000000" w:sz="4" w:space="0"/>
              <w:right w:val="single" w:color="000000" w:sz="4" w:space="0"/>
            </w:tcBorders>
            <w:tcMar>
              <w:top w:w="15" w:type="dxa"/>
              <w:left w:w="15" w:type="dxa"/>
              <w:bottom w:w="15" w:type="dxa"/>
              <w:right w:w="15" w:type="dxa"/>
            </w:tcMar>
          </w:tcPr>
          <w:p w14:paraId="7EFEF0EF">
            <w:pPr>
              <w:pStyle w:val="12"/>
              <w:jc w:val="both"/>
              <w:rPr>
                <w:rFonts w:hint="eastAsia" w:ascii="仿宋_GB2312" w:hAnsi="仿宋_GB2312" w:eastAsia="仿宋_GB2312" w:cs="仿宋_GB2312"/>
                <w:sz w:val="24"/>
                <w:szCs w:val="24"/>
              </w:rPr>
            </w:pPr>
          </w:p>
        </w:tc>
        <w:tc>
          <w:tcPr>
            <w:tcW w:w="52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top"/>
          </w:tcPr>
          <w:p w14:paraId="1ADF714C">
            <w:pPr>
              <w:pStyle w:val="1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8.</w:t>
            </w:r>
            <w:r>
              <w:rPr>
                <w:rFonts w:hint="eastAsia" w:ascii="仿宋_GB2312" w:hAnsi="仿宋_GB2312" w:eastAsia="仿宋_GB2312" w:cs="仿宋_GB2312"/>
                <w:sz w:val="24"/>
                <w:szCs w:val="24"/>
              </w:rPr>
              <w:t>各种服务资料归档整理；测试、测评报告归档整理、按时提交情况评价。（共</w:t>
            </w:r>
            <w:r>
              <w:rPr>
                <w:rFonts w:hint="eastAsia" w:ascii="仿宋_GB2312" w:hAnsi="仿宋_GB2312" w:eastAsia="仿宋_GB2312" w:cs="仿宋_GB2312"/>
                <w:sz w:val="24"/>
                <w:szCs w:val="24"/>
                <w:lang w:val="en-US" w:eastAsia="zh-CN"/>
              </w:rPr>
              <w:t>10</w:t>
            </w:r>
            <w:r>
              <w:rPr>
                <w:rFonts w:hint="eastAsia" w:ascii="仿宋_GB2312" w:hAnsi="仿宋_GB2312" w:eastAsia="仿宋_GB2312" w:cs="仿宋_GB2312"/>
                <w:sz w:val="24"/>
                <w:szCs w:val="24"/>
              </w:rPr>
              <w:t>分）</w:t>
            </w:r>
          </w:p>
        </w:tc>
        <w:tc>
          <w:tcPr>
            <w:tcW w:w="85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19DBFDFC">
            <w:pPr>
              <w:pStyle w:val="12"/>
              <w:jc w:val="both"/>
              <w:rPr>
                <w:rFonts w:hint="eastAsia" w:ascii="仿宋_GB2312" w:hAnsi="仿宋_GB2312" w:eastAsia="仿宋_GB2312" w:cs="仿宋_GB2312"/>
                <w:sz w:val="24"/>
                <w:szCs w:val="24"/>
              </w:rPr>
            </w:pPr>
          </w:p>
        </w:tc>
        <w:tc>
          <w:tcPr>
            <w:tcW w:w="795" w:type="dxa"/>
            <w:vMerge w:val="continue"/>
            <w:tcBorders>
              <w:left w:val="single" w:color="000000" w:sz="4" w:space="0"/>
              <w:right w:val="single" w:color="000000" w:sz="4" w:space="0"/>
            </w:tcBorders>
            <w:tcMar>
              <w:top w:w="15" w:type="dxa"/>
              <w:left w:w="15" w:type="dxa"/>
              <w:bottom w:w="15" w:type="dxa"/>
              <w:right w:w="15" w:type="dxa"/>
            </w:tcMar>
          </w:tcPr>
          <w:p w14:paraId="36CD9787">
            <w:pPr>
              <w:pStyle w:val="12"/>
              <w:jc w:val="both"/>
              <w:rPr>
                <w:rFonts w:hint="eastAsia" w:ascii="仿宋_GB2312" w:hAnsi="仿宋_GB2312" w:eastAsia="仿宋_GB2312" w:cs="仿宋_GB2312"/>
                <w:sz w:val="24"/>
                <w:szCs w:val="24"/>
              </w:rPr>
            </w:pPr>
          </w:p>
        </w:tc>
      </w:tr>
      <w:tr w14:paraId="00AD8626">
        <w:tblPrEx>
          <w:tblBorders>
            <w:top w:val="single" w:color="000000" w:sz="4" w:space="0"/>
            <w:left w:val="single" w:color="000000" w:sz="4" w:space="0"/>
            <w:bottom w:val="single" w:color="000000" w:sz="4" w:space="0"/>
            <w:right w:val="single" w:color="000000" w:sz="4" w:space="0"/>
            <w:insideH w:val="single" w:color="auto" w:sz="0" w:space="0"/>
            <w:insideV w:val="single" w:color="auto" w:sz="0" w:space="0"/>
          </w:tblBorders>
          <w:tblCellMar>
            <w:top w:w="0" w:type="dxa"/>
            <w:left w:w="108" w:type="dxa"/>
            <w:bottom w:w="0" w:type="dxa"/>
            <w:right w:w="108" w:type="dxa"/>
          </w:tblCellMar>
        </w:tblPrEx>
        <w:tc>
          <w:tcPr>
            <w:tcW w:w="76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57537962">
            <w:pPr>
              <w:pStyle w:val="12"/>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合计</w:t>
            </w:r>
          </w:p>
        </w:tc>
        <w:tc>
          <w:tcPr>
            <w:tcW w:w="100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3C53D979">
            <w:pPr>
              <w:pStyle w:val="12"/>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100</w:t>
            </w:r>
          </w:p>
        </w:tc>
        <w:tc>
          <w:tcPr>
            <w:tcW w:w="75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112A1BDF">
            <w:pPr>
              <w:pStyle w:val="12"/>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100</w:t>
            </w:r>
          </w:p>
        </w:tc>
        <w:tc>
          <w:tcPr>
            <w:tcW w:w="528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57BC926F">
            <w:pPr>
              <w:pStyle w:val="1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sz w:val="24"/>
                <w:szCs w:val="24"/>
              </w:rPr>
            </w:pPr>
          </w:p>
        </w:tc>
        <w:tc>
          <w:tcPr>
            <w:tcW w:w="85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19BE44C5">
            <w:pPr>
              <w:jc w:val="both"/>
              <w:rPr>
                <w:rFonts w:hint="eastAsia" w:ascii="仿宋_GB2312" w:hAnsi="仿宋_GB2312" w:eastAsia="仿宋_GB2312" w:cs="仿宋_GB2312"/>
                <w:sz w:val="24"/>
              </w:rPr>
            </w:pPr>
          </w:p>
        </w:tc>
        <w:tc>
          <w:tcPr>
            <w:tcW w:w="79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0F93FE3F">
            <w:pPr>
              <w:jc w:val="both"/>
              <w:rPr>
                <w:rFonts w:hint="eastAsia" w:ascii="仿宋_GB2312" w:hAnsi="仿宋_GB2312" w:eastAsia="仿宋_GB2312" w:cs="仿宋_GB2312"/>
                <w:sz w:val="24"/>
              </w:rPr>
            </w:pPr>
          </w:p>
        </w:tc>
      </w:tr>
      <w:tr w14:paraId="7AA1D9CD">
        <w:tblPrEx>
          <w:tblBorders>
            <w:top w:val="single" w:color="000000" w:sz="4" w:space="0"/>
            <w:left w:val="single" w:color="000000" w:sz="4" w:space="0"/>
            <w:bottom w:val="single" w:color="000000" w:sz="4" w:space="0"/>
            <w:right w:val="single" w:color="000000" w:sz="4" w:space="0"/>
            <w:insideH w:val="single" w:color="auto" w:sz="0" w:space="0"/>
            <w:insideV w:val="single" w:color="auto" w:sz="0" w:space="0"/>
          </w:tblBorders>
          <w:tblCellMar>
            <w:top w:w="0" w:type="dxa"/>
            <w:left w:w="108" w:type="dxa"/>
            <w:bottom w:w="0" w:type="dxa"/>
            <w:right w:w="108" w:type="dxa"/>
          </w:tblCellMar>
        </w:tblPrEx>
        <w:tc>
          <w:tcPr>
            <w:tcW w:w="9450" w:type="dxa"/>
            <w:gridSpan w:val="7"/>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46EA550B">
            <w:pPr>
              <w:pStyle w:val="12"/>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双方项目管理人员意见</w:t>
            </w:r>
          </w:p>
        </w:tc>
      </w:tr>
      <w:tr w14:paraId="18A52F4C">
        <w:tblPrEx>
          <w:tblBorders>
            <w:top w:val="single" w:color="000000" w:sz="4" w:space="0"/>
            <w:left w:val="single" w:color="000000" w:sz="4" w:space="0"/>
            <w:bottom w:val="single" w:color="000000" w:sz="4" w:space="0"/>
            <w:right w:val="single" w:color="000000" w:sz="4" w:space="0"/>
            <w:insideH w:val="single" w:color="auto" w:sz="0" w:space="0"/>
            <w:insideV w:val="single" w:color="auto" w:sz="0" w:space="0"/>
          </w:tblBorders>
          <w:tblCellMar>
            <w:top w:w="0" w:type="dxa"/>
            <w:left w:w="108" w:type="dxa"/>
            <w:bottom w:w="0" w:type="dxa"/>
            <w:right w:w="108" w:type="dxa"/>
          </w:tblCellMar>
        </w:tblPrEx>
        <w:tc>
          <w:tcPr>
            <w:tcW w:w="4599"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497E80E0">
            <w:pPr>
              <w:pStyle w:val="12"/>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甲方：</w:t>
            </w:r>
          </w:p>
        </w:tc>
        <w:tc>
          <w:tcPr>
            <w:tcW w:w="4851"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1E2B88B7">
            <w:pPr>
              <w:pStyle w:val="12"/>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乙方：</w:t>
            </w:r>
          </w:p>
        </w:tc>
      </w:tr>
    </w:tbl>
    <w:p w14:paraId="5D159CF0">
      <w:pPr>
        <w:keepNext w:val="0"/>
        <w:keepLines w:val="0"/>
        <w:pageBreakBefore w:val="0"/>
        <w:kinsoku/>
        <w:wordWrap/>
        <w:overflowPunct/>
        <w:topLinePunct w:val="0"/>
        <w:autoSpaceDE/>
        <w:autoSpaceDN/>
        <w:bidi w:val="0"/>
        <w:adjustRightInd/>
        <w:snapToGrid/>
        <w:spacing w:beforeAutospacing="0" w:afterAutospacing="0" w:line="560" w:lineRule="exact"/>
        <w:jc w:val="both"/>
        <w:rPr>
          <w:rFonts w:hint="eastAsia" w:ascii="仿宋_GB2312" w:hAnsi="仿宋_GB2312" w:eastAsia="仿宋_GB2312" w:cs="仿宋_GB2312"/>
          <w:highlight w:val="none"/>
          <w:lang w:val="en-US" w:eastAsia="zh-CN"/>
        </w:rPr>
      </w:pPr>
    </w:p>
    <w:p w14:paraId="28003737"/>
    <w:p w14:paraId="06703306"/>
    <w:sectPr>
      <w:pgSz w:w="11906" w:h="16838"/>
      <w:pgMar w:top="1701" w:right="1587" w:bottom="1701" w:left="1587" w:header="851" w:footer="992" w:gutter="0"/>
      <w:cols w:space="0" w:num="1"/>
      <w:docGrid w:type="linesAndChars" w:linePitch="597" w:charSpace="-16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Arial Unicode MS"/>
    <w:panose1 w:val="02000000000000000000"/>
    <w:charset w:val="86"/>
    <w:family w:val="auto"/>
    <w:pitch w:val="default"/>
    <w:sig w:usb0="00000000" w:usb1="00000000" w:usb2="00000012"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0E2371"/>
    <w:rsid w:val="150E2371"/>
    <w:rsid w:val="22546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0"/>
    <w:pPr>
      <w:autoSpaceDE w:val="0"/>
      <w:autoSpaceDN w:val="0"/>
      <w:adjustRightInd w:val="0"/>
      <w:ind w:firstLine="200" w:firstLineChars="200"/>
      <w:jc w:val="left"/>
    </w:pPr>
    <w:rPr>
      <w:rFonts w:ascii="宋体" w:eastAsia="宋体" w:cs="宋体"/>
      <w:kern w:val="0"/>
      <w:sz w:val="23"/>
      <w:szCs w:val="23"/>
    </w:rPr>
  </w:style>
  <w:style w:type="paragraph" w:styleId="5">
    <w:name w:val="Body Text Indent"/>
    <w:basedOn w:val="1"/>
    <w:next w:val="6"/>
    <w:qFormat/>
    <w:uiPriority w:val="0"/>
    <w:pPr>
      <w:spacing w:after="120"/>
      <w:ind w:left="420" w:leftChars="200"/>
    </w:pPr>
  </w:style>
  <w:style w:type="paragraph" w:styleId="6">
    <w:name w:val="Body Text First Indent 2"/>
    <w:basedOn w:val="5"/>
    <w:qFormat/>
    <w:uiPriority w:val="99"/>
    <w:pPr>
      <w:tabs>
        <w:tab w:val="left" w:pos="4606"/>
      </w:tabs>
      <w:ind w:firstLine="420"/>
    </w:pPr>
  </w:style>
  <w:style w:type="paragraph" w:styleId="7">
    <w:name w:val="Normal (Web)"/>
    <w:basedOn w:val="1"/>
    <w:qFormat/>
    <w:uiPriority w:val="0"/>
    <w:pPr>
      <w:spacing w:beforeAutospacing="1" w:afterAutospacing="1"/>
      <w:jc w:val="left"/>
    </w:pPr>
    <w:rPr>
      <w:rFonts w:cs="Times New Roman"/>
      <w:kern w:val="0"/>
      <w:sz w:val="24"/>
    </w:rPr>
  </w:style>
  <w:style w:type="character" w:styleId="10">
    <w:name w:val="Strong"/>
    <w:qFormat/>
    <w:uiPriority w:val="0"/>
    <w:rPr>
      <w:b/>
    </w:rPr>
  </w:style>
  <w:style w:type="paragraph" w:styleId="11">
    <w:name w:val="List Paragraph"/>
    <w:basedOn w:val="1"/>
    <w:qFormat/>
    <w:uiPriority w:val="99"/>
    <w:pPr>
      <w:ind w:firstLine="420" w:firstLineChars="200"/>
    </w:pPr>
  </w:style>
  <w:style w:type="paragraph" w:customStyle="1" w:styleId="12">
    <w:name w:val="null3"/>
    <w:hidden/>
    <w:qFormat/>
    <w:uiPriority w:val="0"/>
    <w:rPr>
      <w:rFonts w:hint="eastAsia" w:asciiTheme="minorHAnsi" w:hAnsiTheme="minorHAnsi" w:eastAsiaTheme="minorEastAsia" w:cstheme="minorBidi"/>
      <w:lang w:val="en-US" w:eastAsia="zh-Hans"/>
    </w:rPr>
  </w:style>
  <w:style w:type="paragraph" w:customStyle="1" w:styleId="13">
    <w:name w:val="无间隔1"/>
    <w:qFormat/>
    <w:uiPriority w:val="1"/>
    <w:pPr>
      <w:widowControl w:val="0"/>
      <w:spacing w:line="560" w:lineRule="exact"/>
      <w:ind w:firstLine="624" w:firstLineChars="200"/>
      <w:jc w:val="both"/>
    </w:pPr>
    <w:rPr>
      <w:rFonts w:ascii="仿宋_GB2312" w:hAnsi="仿宋_GB2312" w:eastAsia="仿宋_GB2312" w:cs="仿宋_GB2312"/>
      <w:kern w:val="2"/>
      <w:sz w:val="32"/>
      <w:szCs w:val="3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1</TotalTime>
  <ScaleCrop>false</ScaleCrop>
  <LinksUpToDate>false</LinksUpToDate>
  <CharactersWithSpaces>0</CharactersWithSpaces>
  <Application>WPS Office_12.8.2.19830_F1E327BC-269C-435d-A152-05C5408002CA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2026-10-27T02:52:00Z</dcterms:created>
  <dc:creator>user</dc:creator>
  <cp:lastModifiedBy>user</cp:lastModifiedBy>
  <dcterms:modified xsi:type="dcterms:W3CDTF">2026-10-27T03:00:45Z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2052-12.8.2.19830</vt:lpwstr>
  </property>
  <property fmtid="{D5CDD505-2E9C-101B-9397-08002B2CF9AE}" pid="3" name="ICV">
    <vt:lpwstr>0039886001C3471C8080F2699BB99780_11</vt:lpwstr>
  </property>
</Properties>
</file>