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49FA3">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附件二：</w:t>
      </w:r>
    </w:p>
    <w:p w14:paraId="7402F157">
      <w:pPr>
        <w:keepNext w:val="0"/>
        <w:keepLines w:val="0"/>
        <w:pageBreakBefore w:val="0"/>
        <w:widowControl w:val="0"/>
        <w:kinsoku/>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福建省九龙江流域</w:t>
      </w:r>
      <w:r>
        <w:rPr>
          <w:rFonts w:hint="eastAsia" w:ascii="方正小标宋简体" w:hAnsi="方正小标宋简体" w:eastAsia="方正小标宋简体" w:cs="方正小标宋简体"/>
          <w:sz w:val="36"/>
          <w:szCs w:val="36"/>
          <w:highlight w:val="none"/>
        </w:rPr>
        <w:t>中心办公网络通讯项目</w:t>
      </w:r>
      <w:r>
        <w:rPr>
          <w:rFonts w:hint="eastAsia" w:ascii="方正小标宋简体" w:hAnsi="方正小标宋简体" w:eastAsia="方正小标宋简体" w:cs="方正小标宋简体"/>
          <w:sz w:val="36"/>
          <w:szCs w:val="36"/>
          <w:highlight w:val="none"/>
          <w:lang w:eastAsia="zh-CN"/>
        </w:rPr>
        <w:t>（</w:t>
      </w:r>
      <w:r>
        <w:rPr>
          <w:rFonts w:hint="eastAsia" w:ascii="方正小标宋简体" w:hAnsi="方正小标宋简体" w:eastAsia="方正小标宋简体" w:cs="方正小标宋简体"/>
          <w:sz w:val="36"/>
          <w:szCs w:val="36"/>
          <w:highlight w:val="none"/>
          <w:lang w:val="en-US" w:eastAsia="zh-CN"/>
        </w:rPr>
        <w:t>2025</w:t>
      </w:r>
      <w:r>
        <w:rPr>
          <w:rFonts w:hint="eastAsia" w:ascii="方正小标宋简体" w:hAnsi="方正小标宋简体" w:eastAsia="方正小标宋简体" w:cs="方正小标宋简体"/>
          <w:sz w:val="36"/>
          <w:szCs w:val="36"/>
          <w:highlight w:val="none"/>
          <w:lang w:eastAsia="zh-CN"/>
        </w:rPr>
        <w:t>）</w:t>
      </w:r>
      <w:r>
        <w:rPr>
          <w:rFonts w:hint="eastAsia" w:ascii="方正小标宋简体" w:hAnsi="方正小标宋简体" w:eastAsia="方正小标宋简体" w:cs="方正小标宋简体"/>
          <w:sz w:val="36"/>
          <w:szCs w:val="36"/>
          <w:highlight w:val="none"/>
        </w:rPr>
        <w:br w:type="textWrapping"/>
      </w:r>
      <w:r>
        <w:rPr>
          <w:rFonts w:hint="eastAsia" w:ascii="方正小标宋简体" w:hAnsi="方正小标宋简体" w:eastAsia="方正小标宋简体" w:cs="方正小标宋简体"/>
          <w:sz w:val="36"/>
          <w:szCs w:val="36"/>
          <w:highlight w:val="none"/>
        </w:rPr>
        <w:t>技术服务及商务要求</w:t>
      </w:r>
      <w:r>
        <w:rPr>
          <w:rFonts w:hint="eastAsia" w:ascii="方正小标宋简体" w:hAnsi="方正小标宋简体" w:eastAsia="方正小标宋简体" w:cs="方正小标宋简体"/>
          <w:sz w:val="36"/>
          <w:szCs w:val="36"/>
          <w:highlight w:val="none"/>
          <w:lang w:val="en-US" w:eastAsia="zh-CN"/>
        </w:rPr>
        <w:t>承诺函清单</w:t>
      </w:r>
    </w:p>
    <w:p w14:paraId="5F81290B">
      <w:pPr>
        <w:keepNext w:val="0"/>
        <w:keepLines w:val="0"/>
        <w:pageBreakBefore w:val="0"/>
        <w:kinsoku/>
        <w:wordWrap w:val="0"/>
        <w:overflowPunct/>
        <w:topLinePunct w:val="0"/>
        <w:autoSpaceDE/>
        <w:autoSpaceDN/>
        <w:bidi w:val="0"/>
        <w:adjustRightInd/>
        <w:snapToGrid/>
        <w:spacing w:before="0" w:after="0" w:line="560" w:lineRule="exact"/>
        <w:ind w:firstLine="0"/>
        <w:jc w:val="both"/>
        <w:textAlignment w:val="auto"/>
        <w:rPr>
          <w:rFonts w:hint="eastAsia" w:ascii="方正仿宋_GB2312" w:hAnsi="方正仿宋_GB2312" w:eastAsia="方正仿宋_GB2312" w:cs="方正仿宋_GB2312"/>
          <w:color w:val="000000"/>
          <w:sz w:val="30"/>
          <w:szCs w:val="30"/>
          <w:highlight w:val="none"/>
        </w:rPr>
      </w:pPr>
    </w:p>
    <w:p w14:paraId="1CFE9CC1">
      <w:pPr>
        <w:pStyle w:val="12"/>
        <w:keepNext w:val="0"/>
        <w:keepLines w:val="0"/>
        <w:pageBreakBefore w:val="0"/>
        <w:numPr>
          <w:ilvl w:val="0"/>
          <w:numId w:val="1"/>
        </w:numPr>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供应商承诺具有福建省内各地市及区县的固网国内数据传送业务能力及无线数据传输能力，并拥有省内各地市及区县的基础通讯网络线路，并能够提供长期线路维护、服务和履行合同的能力。</w:t>
      </w:r>
    </w:p>
    <w:p w14:paraId="03424C3C">
      <w:pPr>
        <w:pStyle w:val="12"/>
        <w:keepNext w:val="0"/>
        <w:keepLines w:val="0"/>
        <w:pageBreakBefore w:val="0"/>
        <w:numPr>
          <w:ilvl w:val="0"/>
          <w:numId w:val="1"/>
        </w:numPr>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供应商承诺</w:t>
      </w:r>
      <w:r>
        <w:rPr>
          <w:rFonts w:hint="eastAsia" w:ascii="仿宋_GB2312" w:hAnsi="仿宋_GB2312" w:eastAsia="仿宋_GB2312" w:cs="仿宋_GB2312"/>
          <w:color w:val="000000"/>
          <w:sz w:val="28"/>
          <w:szCs w:val="28"/>
          <w:highlight w:val="none"/>
        </w:rPr>
        <w:t>所提供的网络系统的</w:t>
      </w:r>
      <w:r>
        <w:rPr>
          <w:rFonts w:hint="eastAsia" w:ascii="仿宋_GB2312" w:hAnsi="仿宋_GB2312" w:eastAsia="仿宋_GB2312" w:cs="仿宋_GB2312"/>
          <w:color w:val="000000"/>
          <w:sz w:val="28"/>
          <w:szCs w:val="28"/>
          <w:highlight w:val="none"/>
          <w:lang w:eastAsia="zh-CN"/>
        </w:rPr>
        <w:t>承诺</w:t>
      </w:r>
      <w:r>
        <w:rPr>
          <w:rFonts w:hint="eastAsia" w:ascii="仿宋_GB2312" w:hAnsi="仿宋_GB2312" w:eastAsia="仿宋_GB2312" w:cs="仿宋_GB2312"/>
          <w:color w:val="000000"/>
          <w:sz w:val="28"/>
          <w:szCs w:val="28"/>
          <w:highlight w:val="none"/>
        </w:rPr>
        <w:t>保证稳定可靠，在网络设计中选用高可靠性网络产品，合理设计网络架构，保证网络可靠性，最大限度地支持采购人工作的正常运行。保证满足工作需求的同时，又要体现出网络系统的先进性。根据未来业务的增长和变化，网络可以平滑地扩充和升级，最大程度的减少对网络架构和现有设备的调整。</w:t>
      </w:r>
    </w:p>
    <w:p w14:paraId="1A84290D">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 供应商承诺</w:t>
      </w:r>
      <w:r>
        <w:rPr>
          <w:rFonts w:hint="eastAsia" w:ascii="仿宋_GB2312" w:hAnsi="仿宋_GB2312" w:eastAsia="仿宋_GB2312" w:cs="仿宋_GB2312"/>
          <w:color w:val="000000"/>
          <w:sz w:val="28"/>
          <w:szCs w:val="28"/>
          <w:highlight w:val="none"/>
        </w:rPr>
        <w:t>链路开通使用期间未经告知采购人并进行协商的情况下，不</w:t>
      </w:r>
      <w:r>
        <w:rPr>
          <w:rFonts w:hint="eastAsia" w:ascii="仿宋_GB2312" w:hAnsi="仿宋_GB2312" w:eastAsia="仿宋_GB2312" w:cs="仿宋_GB2312"/>
          <w:color w:val="000000"/>
          <w:sz w:val="28"/>
          <w:szCs w:val="28"/>
          <w:highlight w:val="none"/>
          <w:lang w:val="en-US" w:eastAsia="zh-CN"/>
        </w:rPr>
        <w:t>得</w:t>
      </w:r>
      <w:r>
        <w:rPr>
          <w:rFonts w:hint="eastAsia" w:ascii="仿宋_GB2312" w:hAnsi="仿宋_GB2312" w:eastAsia="仿宋_GB2312" w:cs="仿宋_GB2312"/>
          <w:color w:val="000000"/>
          <w:sz w:val="28"/>
          <w:szCs w:val="28"/>
          <w:highlight w:val="none"/>
        </w:rPr>
        <w:t>擅自中断停用链路服务。</w:t>
      </w:r>
    </w:p>
    <w:p w14:paraId="2C75D461">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 xml:space="preserve">4. </w:t>
      </w:r>
      <w:r>
        <w:rPr>
          <w:rFonts w:hint="eastAsia" w:ascii="仿宋_GB2312" w:hAnsi="仿宋_GB2312" w:eastAsia="仿宋_GB2312" w:cs="仿宋_GB2312"/>
          <w:color w:val="000000"/>
          <w:sz w:val="28"/>
          <w:szCs w:val="28"/>
          <w:highlight w:val="none"/>
          <w:u w:val="none"/>
          <w:lang w:val="en-US" w:eastAsia="zh-CN"/>
        </w:rPr>
        <w:t>供应商</w:t>
      </w:r>
      <w:r>
        <w:rPr>
          <w:rFonts w:hint="eastAsia" w:ascii="仿宋_GB2312" w:hAnsi="仿宋_GB2312" w:eastAsia="仿宋_GB2312" w:cs="仿宋_GB2312"/>
          <w:color w:val="000000"/>
          <w:sz w:val="28"/>
          <w:szCs w:val="28"/>
          <w:highlight w:val="none"/>
          <w:lang w:eastAsia="zh-CN"/>
        </w:rPr>
        <w:t>承诺</w:t>
      </w:r>
      <w:r>
        <w:rPr>
          <w:rFonts w:hint="eastAsia" w:ascii="仿宋_GB2312" w:hAnsi="仿宋_GB2312" w:eastAsia="仿宋_GB2312" w:cs="仿宋_GB2312"/>
          <w:color w:val="000000"/>
          <w:sz w:val="28"/>
          <w:szCs w:val="28"/>
          <w:highlight w:val="none"/>
          <w:lang w:val="en-US" w:eastAsia="zh-CN"/>
        </w:rPr>
        <w:t>在</w:t>
      </w:r>
      <w:r>
        <w:rPr>
          <w:rFonts w:hint="eastAsia" w:ascii="仿宋_GB2312" w:hAnsi="仿宋_GB2312" w:eastAsia="仿宋_GB2312" w:cs="仿宋_GB2312"/>
          <w:color w:val="000000"/>
          <w:sz w:val="28"/>
          <w:szCs w:val="28"/>
          <w:highlight w:val="none"/>
        </w:rPr>
        <w:t>链路提供服务期间，无条件配合采购人变更链路数量</w:t>
      </w:r>
      <w:r>
        <w:rPr>
          <w:rFonts w:hint="eastAsia" w:ascii="仿宋_GB2312" w:hAnsi="仿宋_GB2312" w:eastAsia="仿宋_GB2312" w:cs="仿宋_GB2312"/>
          <w:color w:val="000000"/>
          <w:sz w:val="28"/>
          <w:szCs w:val="28"/>
          <w:highlight w:val="none"/>
          <w:lang w:eastAsia="zh-CN"/>
        </w:rPr>
        <w:t>的需求</w:t>
      </w:r>
      <w:r>
        <w:rPr>
          <w:rFonts w:hint="eastAsia" w:ascii="仿宋_GB2312" w:hAnsi="仿宋_GB2312" w:eastAsia="仿宋_GB2312" w:cs="仿宋_GB2312"/>
          <w:color w:val="000000"/>
          <w:sz w:val="28"/>
          <w:szCs w:val="28"/>
          <w:highlight w:val="none"/>
        </w:rPr>
        <w:t>，链路费用按实结算。</w:t>
      </w:r>
    </w:p>
    <w:p w14:paraId="0D3820CC">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 供应商承诺</w:t>
      </w:r>
      <w:r>
        <w:rPr>
          <w:rFonts w:hint="eastAsia" w:ascii="仿宋_GB2312" w:hAnsi="仿宋_GB2312" w:eastAsia="仿宋_GB2312" w:cs="仿宋_GB2312"/>
          <w:color w:val="000000"/>
          <w:sz w:val="28"/>
          <w:szCs w:val="28"/>
          <w:highlight w:val="none"/>
        </w:rPr>
        <w:t>提供</w:t>
      </w:r>
      <w:r>
        <w:rPr>
          <w:rFonts w:hint="eastAsia" w:ascii="仿宋_GB2312" w:hAnsi="仿宋_GB2312" w:eastAsia="仿宋_GB2312" w:cs="仿宋_GB2312"/>
          <w:color w:val="000000"/>
          <w:sz w:val="28"/>
          <w:szCs w:val="28"/>
          <w:highlight w:val="none"/>
          <w:lang w:val="en-US" w:eastAsia="zh-CN"/>
        </w:rPr>
        <w:t>维护及联络</w:t>
      </w:r>
      <w:r>
        <w:rPr>
          <w:rFonts w:hint="eastAsia" w:ascii="仿宋_GB2312" w:hAnsi="仿宋_GB2312" w:eastAsia="仿宋_GB2312" w:cs="仿宋_GB2312"/>
          <w:color w:val="000000"/>
          <w:sz w:val="28"/>
          <w:szCs w:val="28"/>
          <w:highlight w:val="none"/>
        </w:rPr>
        <w:t>人员在采购人本地驻点。</w:t>
      </w:r>
    </w:p>
    <w:p w14:paraId="3CFE36BE">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6. 供应商承诺</w:t>
      </w:r>
      <w:r>
        <w:rPr>
          <w:rFonts w:hint="eastAsia" w:ascii="仿宋_GB2312" w:hAnsi="仿宋_GB2312" w:eastAsia="仿宋_GB2312" w:cs="仿宋_GB2312"/>
          <w:color w:val="000000"/>
          <w:sz w:val="28"/>
          <w:szCs w:val="28"/>
          <w:highlight w:val="none"/>
        </w:rPr>
        <w:t>提供互联网和</w:t>
      </w:r>
      <w:r>
        <w:rPr>
          <w:rFonts w:hint="eastAsia" w:ascii="仿宋_GB2312" w:hAnsi="仿宋_GB2312" w:eastAsia="仿宋_GB2312" w:cs="仿宋_GB2312"/>
          <w:color w:val="000000"/>
          <w:sz w:val="28"/>
          <w:szCs w:val="28"/>
          <w:highlight w:val="none"/>
          <w:lang w:val="en-US" w:eastAsia="zh-CN"/>
        </w:rPr>
        <w:t>政务外（内）</w:t>
      </w:r>
      <w:r>
        <w:rPr>
          <w:rFonts w:hint="eastAsia" w:ascii="仿宋_GB2312" w:hAnsi="仿宋_GB2312" w:eastAsia="仿宋_GB2312" w:cs="仿宋_GB2312"/>
          <w:color w:val="000000"/>
          <w:sz w:val="28"/>
          <w:szCs w:val="28"/>
          <w:highlight w:val="none"/>
        </w:rPr>
        <w:t>专线线路所需的相关网络设备，同时为确保为保障数据保密及安全性，</w:t>
      </w:r>
      <w:r>
        <w:rPr>
          <w:rFonts w:hint="eastAsia" w:ascii="仿宋_GB2312" w:hAnsi="仿宋_GB2312" w:eastAsia="仿宋_GB2312" w:cs="仿宋_GB2312"/>
          <w:color w:val="000000"/>
          <w:sz w:val="28"/>
          <w:szCs w:val="28"/>
          <w:highlight w:val="none"/>
          <w:lang w:val="en-US" w:eastAsia="zh-CN"/>
        </w:rPr>
        <w:t>供应商</w:t>
      </w:r>
      <w:r>
        <w:rPr>
          <w:rFonts w:hint="eastAsia" w:ascii="仿宋_GB2312" w:hAnsi="仿宋_GB2312" w:eastAsia="仿宋_GB2312" w:cs="仿宋_GB2312"/>
          <w:color w:val="000000"/>
          <w:sz w:val="28"/>
          <w:szCs w:val="28"/>
          <w:highlight w:val="none"/>
          <w:lang w:eastAsia="zh-CN"/>
        </w:rPr>
        <w:t>承诺</w:t>
      </w:r>
      <w:r>
        <w:rPr>
          <w:rFonts w:hint="eastAsia" w:ascii="仿宋_GB2312" w:hAnsi="仿宋_GB2312" w:eastAsia="仿宋_GB2312" w:cs="仿宋_GB2312"/>
          <w:color w:val="000000"/>
          <w:sz w:val="28"/>
          <w:szCs w:val="28"/>
          <w:highlight w:val="none"/>
        </w:rPr>
        <w:t>提供的广域网专线使用的设备，在支持上网行为管理的同时，支持基于应用协议和应用协议群组的流量镜像、基于域名和URL的流量镜像及基于时间的流量镜像。</w:t>
      </w:r>
    </w:p>
    <w:p w14:paraId="7842D9CB">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7. 供应商承诺裸纤链路实现端到端物理链路隔离，确保其传输介质在物理层面上与其他网络架构无任何交叉连接或共享资源，全程禁止与异构网络设备（如第三方交换机、路由器等）建立物理或逻辑链路关联，以保障传输通道的完全独占性和信号完整性。</w:t>
      </w:r>
    </w:p>
    <w:p w14:paraId="2C6383BD">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8. 供应商承诺所投服务厂商具有互联网 DDoS 攻击流量清洗服务能力，符合抗拒绝服务攻击产品EAL3 增强级的检测要求。供应商所投产品通过信息产业信息安全测评中心检测，并在成交后7个工作日内提供相关证明报告</w:t>
      </w:r>
    </w:p>
    <w:p w14:paraId="0BA29AEC">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 xml:space="preserve">9. </w:t>
      </w:r>
      <w:r>
        <w:rPr>
          <w:rFonts w:hint="eastAsia" w:ascii="仿宋_GB2312" w:hAnsi="仿宋_GB2312" w:eastAsia="仿宋_GB2312" w:cs="仿宋_GB2312"/>
          <w:color w:val="000000"/>
          <w:sz w:val="28"/>
          <w:szCs w:val="28"/>
          <w:highlight w:val="none"/>
          <w:u w:val="none"/>
          <w:lang w:val="en-US" w:eastAsia="zh-CN"/>
        </w:rPr>
        <w:t>供应商</w:t>
      </w:r>
      <w:r>
        <w:rPr>
          <w:rFonts w:hint="eastAsia" w:ascii="仿宋_GB2312" w:hAnsi="仿宋_GB2312" w:eastAsia="仿宋_GB2312" w:cs="仿宋_GB2312"/>
          <w:color w:val="000000"/>
          <w:sz w:val="28"/>
          <w:szCs w:val="28"/>
          <w:highlight w:val="none"/>
          <w:u w:val="none"/>
          <w:lang w:eastAsia="zh-CN"/>
        </w:rPr>
        <w:t>承</w:t>
      </w:r>
      <w:r>
        <w:rPr>
          <w:rFonts w:hint="eastAsia" w:ascii="仿宋_GB2312" w:hAnsi="仿宋_GB2312" w:eastAsia="仿宋_GB2312" w:cs="仿宋_GB2312"/>
          <w:color w:val="000000"/>
          <w:sz w:val="28"/>
          <w:szCs w:val="28"/>
          <w:highlight w:val="none"/>
          <w:lang w:eastAsia="zh-CN"/>
        </w:rPr>
        <w:t>诺</w:t>
      </w:r>
      <w:r>
        <w:rPr>
          <w:rFonts w:hint="eastAsia" w:ascii="仿宋_GB2312" w:hAnsi="仿宋_GB2312" w:eastAsia="仿宋_GB2312" w:cs="仿宋_GB2312"/>
          <w:color w:val="000000"/>
          <w:sz w:val="28"/>
          <w:szCs w:val="28"/>
          <w:highlight w:val="none"/>
        </w:rPr>
        <w:t>提供的线路及设备的运输、安装、调试、维护、通信、税费等费用均包含在中标金额内。</w:t>
      </w:r>
    </w:p>
    <w:p w14:paraId="1D58F9BE">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 xml:space="preserve">10. </w:t>
      </w: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8"/>
          <w:szCs w:val="28"/>
          <w:highlight w:val="none"/>
          <w:lang w:eastAsia="zh-CN"/>
        </w:rPr>
        <w:t>承诺</w:t>
      </w:r>
      <w:r>
        <w:rPr>
          <w:rFonts w:hint="eastAsia" w:ascii="仿宋_GB2312" w:hAnsi="仿宋_GB2312" w:eastAsia="仿宋_GB2312" w:cs="仿宋_GB2312"/>
          <w:color w:val="000000"/>
          <w:sz w:val="28"/>
          <w:szCs w:val="28"/>
          <w:highlight w:val="none"/>
        </w:rPr>
        <w:t>在30个日历日内完成接通工作。</w:t>
      </w:r>
    </w:p>
    <w:p w14:paraId="6011661D">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_GB2312" w:eastAsia="仿宋_GB2312" w:cs="仿宋_GB2312"/>
          <w:b w:val="0"/>
          <w:color w:val="000000"/>
          <w:sz w:val="28"/>
          <w:szCs w:val="28"/>
          <w:highlight w:val="none"/>
        </w:rPr>
      </w:pPr>
      <w:r>
        <w:rPr>
          <w:rFonts w:hint="default" w:ascii="仿宋_GB2312" w:hAnsi="仿宋_GB2312" w:eastAsia="仿宋_GB2312" w:cs="仿宋_GB2312"/>
          <w:b w:val="0"/>
          <w:color w:val="000000"/>
          <w:sz w:val="28"/>
          <w:szCs w:val="28"/>
        </w:rPr>
        <w:t>1</w:t>
      </w:r>
      <w:r>
        <w:rPr>
          <w:rFonts w:hint="eastAsia" w:ascii="仿宋_GB2312" w:hAnsi="仿宋_GB2312" w:eastAsia="仿宋_GB2312" w:cs="仿宋_GB2312"/>
          <w:b w:val="0"/>
          <w:color w:val="000000"/>
          <w:sz w:val="28"/>
          <w:szCs w:val="28"/>
          <w:lang w:val="en-US" w:eastAsia="zh-CN"/>
        </w:rPr>
        <w:t xml:space="preserve">1. </w:t>
      </w: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8"/>
          <w:szCs w:val="28"/>
          <w:highlight w:val="none"/>
          <w:lang w:eastAsia="zh-CN"/>
        </w:rPr>
        <w:t>承诺</w:t>
      </w:r>
      <w:r>
        <w:rPr>
          <w:rFonts w:hint="eastAsia" w:ascii="仿宋_GB2312" w:hAnsi="仿宋_GB2312" w:eastAsia="仿宋_GB2312" w:cs="仿宋_GB2312"/>
          <w:color w:val="000000"/>
          <w:sz w:val="28"/>
          <w:szCs w:val="28"/>
          <w:highlight w:val="none"/>
        </w:rPr>
        <w:t>系统故障响应时间在2小时内，故</w:t>
      </w:r>
      <w:bookmarkStart w:id="0" w:name="_GoBack"/>
      <w:bookmarkEnd w:id="0"/>
      <w:r>
        <w:rPr>
          <w:rFonts w:hint="eastAsia" w:ascii="仿宋_GB2312" w:hAnsi="仿宋_GB2312" w:eastAsia="仿宋_GB2312" w:cs="仿宋_GB2312"/>
          <w:color w:val="000000"/>
          <w:sz w:val="28"/>
          <w:szCs w:val="28"/>
          <w:highlight w:val="none"/>
        </w:rPr>
        <w:t>障恢复时间在24小时内</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24小时内不能排除故障的，要提供解决方案并在采购人规定期限内排除故障。</w:t>
      </w:r>
    </w:p>
    <w:p w14:paraId="4DB80584">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b w:val="0"/>
          <w:color w:val="000000"/>
          <w:sz w:val="28"/>
          <w:szCs w:val="28"/>
          <w:lang w:val="en-US" w:eastAsia="zh-CN"/>
        </w:rPr>
        <w:t>12</w:t>
      </w:r>
      <w:r>
        <w:rPr>
          <w:rFonts w:hint="eastAsia" w:ascii="仿宋_GB2312" w:hAnsi="仿宋_GB2312" w:eastAsia="仿宋_GB2312" w:cs="仿宋_GB2312"/>
          <w:b w:val="0"/>
          <w:color w:val="000000"/>
          <w:sz w:val="28"/>
          <w:szCs w:val="28"/>
          <w:lang w:eastAsia="zh-CN"/>
        </w:rPr>
        <w:t>.</w:t>
      </w:r>
      <w:r>
        <w:rPr>
          <w:rFonts w:hint="eastAsia" w:ascii="仿宋_GB2312" w:hAnsi="仿宋_GB2312" w:eastAsia="仿宋_GB2312" w:cs="仿宋_GB2312"/>
          <w:b w:val="0"/>
          <w:color w:val="000000"/>
          <w:sz w:val="28"/>
          <w:szCs w:val="28"/>
          <w:lang w:val="en-US" w:eastAsia="zh-CN"/>
        </w:rPr>
        <w:t xml:space="preserve"> </w:t>
      </w:r>
      <w:r>
        <w:rPr>
          <w:rFonts w:hint="eastAsia" w:ascii="仿宋_GB2312" w:hAnsi="仿宋_GB2312" w:eastAsia="仿宋_GB2312" w:cs="仿宋_GB2312"/>
          <w:color w:val="000000"/>
          <w:sz w:val="28"/>
          <w:szCs w:val="28"/>
          <w:highlight w:val="none"/>
        </w:rPr>
        <w:t>供应商</w:t>
      </w:r>
      <w:r>
        <w:rPr>
          <w:rFonts w:hint="eastAsia" w:ascii="仿宋_GB2312" w:hAnsi="仿宋_GB2312" w:eastAsia="仿宋_GB2312" w:cs="仿宋_GB2312"/>
          <w:color w:val="000000"/>
          <w:sz w:val="28"/>
          <w:szCs w:val="28"/>
          <w:highlight w:val="none"/>
          <w:lang w:eastAsia="zh-CN"/>
        </w:rPr>
        <w:t>应</w:t>
      </w:r>
      <w:r>
        <w:rPr>
          <w:rFonts w:hint="eastAsia" w:ascii="仿宋_GB2312" w:hAnsi="仿宋_GB2312" w:eastAsia="仿宋_GB2312" w:cs="仿宋_GB2312"/>
          <w:color w:val="000000"/>
          <w:sz w:val="28"/>
          <w:szCs w:val="28"/>
          <w:highlight w:val="none"/>
        </w:rPr>
        <w:t>依据</w:t>
      </w:r>
      <w:r>
        <w:rPr>
          <w:rFonts w:hint="eastAsia" w:ascii="仿宋_GB2312" w:hAnsi="仿宋_GB2312" w:eastAsia="仿宋_GB2312" w:cs="仿宋_GB2312"/>
          <w:color w:val="000000"/>
          <w:sz w:val="28"/>
          <w:szCs w:val="28"/>
          <w:highlight w:val="none"/>
          <w:lang w:eastAsia="zh-CN"/>
        </w:rPr>
        <w:t>市场比选</w:t>
      </w:r>
      <w:r>
        <w:rPr>
          <w:rFonts w:hint="eastAsia" w:ascii="仿宋_GB2312" w:hAnsi="仿宋_GB2312" w:eastAsia="仿宋_GB2312" w:cs="仿宋_GB2312"/>
          <w:color w:val="000000"/>
          <w:sz w:val="28"/>
          <w:szCs w:val="28"/>
          <w:highlight w:val="none"/>
        </w:rPr>
        <w:t>文件要求及响应文件所作承诺履行职责</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保证</w:t>
      </w:r>
      <w:r>
        <w:rPr>
          <w:rFonts w:hint="eastAsia" w:ascii="仿宋_GB2312" w:hAnsi="仿宋_GB2312" w:eastAsia="仿宋_GB2312" w:cs="仿宋_GB2312"/>
          <w:color w:val="000000"/>
          <w:sz w:val="28"/>
          <w:szCs w:val="28"/>
          <w:highlight w:val="none"/>
        </w:rPr>
        <w:t>产品有稳定的售后服务体系。</w:t>
      </w:r>
    </w:p>
    <w:p w14:paraId="068776DB">
      <w:pPr>
        <w:pStyle w:val="12"/>
        <w:keepNext w:val="0"/>
        <w:keepLines w:val="0"/>
        <w:pageBreakBefore w:val="0"/>
        <w:numPr>
          <w:ilvl w:val="0"/>
          <w:numId w:val="0"/>
        </w:numPr>
        <w:tabs>
          <w:tab w:val="left" w:pos="840"/>
        </w:tabs>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_GB2312" w:hAnsi="仿宋_GB2312" w:eastAsia="仿宋_GB2312" w:cs="仿宋_GB2312"/>
          <w:b w:val="0"/>
          <w:color w:val="000000"/>
          <w:sz w:val="28"/>
          <w:szCs w:val="28"/>
          <w:highlight w:val="none"/>
        </w:rPr>
      </w:pPr>
      <w:r>
        <w:rPr>
          <w:rFonts w:hint="eastAsia" w:ascii="仿宋_GB2312" w:hAnsi="仿宋_GB2312" w:eastAsia="仿宋_GB2312" w:cs="仿宋_GB2312"/>
          <w:b w:val="0"/>
          <w:color w:val="000000"/>
          <w:sz w:val="28"/>
          <w:szCs w:val="28"/>
          <w:lang w:val="en-US" w:eastAsia="zh-CN"/>
        </w:rPr>
        <w:t xml:space="preserve">13. </w:t>
      </w:r>
      <w:r>
        <w:rPr>
          <w:rFonts w:hint="eastAsia" w:ascii="仿宋_GB2312" w:hAnsi="仿宋_GB2312" w:eastAsia="仿宋_GB2312" w:cs="仿宋_GB2312"/>
          <w:color w:val="000000"/>
          <w:sz w:val="28"/>
          <w:szCs w:val="28"/>
          <w:highlight w:val="none"/>
        </w:rPr>
        <w:t>供应商认为有利于采购人的其他优惠条款应单独列明。</w:t>
      </w:r>
    </w:p>
    <w:p w14:paraId="4B9F7104">
      <w:pPr>
        <w:pStyle w:val="2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20" w:lineRule="exact"/>
        <w:ind w:firstLine="600"/>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我公司承诺无条件响应上述内容。</w:t>
      </w:r>
    </w:p>
    <w:p w14:paraId="42D45A37">
      <w:pPr>
        <w:pStyle w:val="2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20" w:lineRule="exact"/>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 xml:space="preserve">                                     供应商（盖章）</w:t>
      </w:r>
    </w:p>
    <w:p w14:paraId="0A5C4926">
      <w:pPr>
        <w:pStyle w:val="2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20" w:lineRule="exact"/>
        <w:ind w:firstLine="600"/>
        <w:textAlignment w:val="auto"/>
        <w:outlineLvl w:val="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 xml:space="preserve">                                  </w:t>
      </w:r>
      <w:r>
        <w:rPr>
          <w:rFonts w:hint="eastAsia" w:ascii="仿宋_GB2312" w:hAnsi="仿宋_GB2312" w:eastAsia="仿宋_GB2312" w:cs="仿宋_GB2312"/>
          <w:b w:val="0"/>
          <w:bCs/>
          <w:sz w:val="30"/>
          <w:szCs w:val="30"/>
          <w:highlight w:val="none"/>
          <w:lang w:val="en-US" w:eastAsia="zh-CN"/>
        </w:rPr>
        <w:tab/>
      </w:r>
      <w:r>
        <w:rPr>
          <w:rFonts w:hint="eastAsia" w:ascii="仿宋_GB2312" w:hAnsi="仿宋_GB2312" w:eastAsia="仿宋_GB2312" w:cs="仿宋_GB2312"/>
          <w:b w:val="0"/>
          <w:bCs/>
          <w:sz w:val="30"/>
          <w:szCs w:val="30"/>
          <w:highlight w:val="none"/>
          <w:lang w:val="en-US" w:eastAsia="zh-CN"/>
        </w:rPr>
        <w:t xml:space="preserve">  日期：</w:t>
      </w:r>
    </w:p>
    <w:sectPr>
      <w:footerReference r:id="rId3" w:type="default"/>
      <w:type w:val="continuous"/>
      <w:pgSz w:w="11901" w:h="16821"/>
      <w:pgMar w:top="1440" w:right="1680" w:bottom="2880" w:left="1680" w:header="720" w:footer="14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6BB727E-BF44-492A-8613-B5DEFC43353A}"/>
  </w:font>
  <w:font w:name="方正仿宋_GB2312">
    <w:panose1 w:val="02000000000000000000"/>
    <w:charset w:val="86"/>
    <w:family w:val="auto"/>
    <w:pitch w:val="default"/>
    <w:sig w:usb0="A00002BF" w:usb1="184F6CFA" w:usb2="00000012" w:usb3="00000000" w:csb0="00040001" w:csb1="00000000"/>
    <w:embedRegular r:id="rId2" w:fontKey="{D4CCCA5F-F9CF-47E9-873E-AA5E8CC26893}"/>
  </w:font>
  <w:font w:name="仿宋_GB2312">
    <w:panose1 w:val="02010609030101010101"/>
    <w:charset w:val="86"/>
    <w:family w:val="auto"/>
    <w:pitch w:val="default"/>
    <w:sig w:usb0="00000001" w:usb1="080E0000" w:usb2="00000000" w:usb3="00000000" w:csb0="00040000" w:csb1="00000000"/>
    <w:embedRegular r:id="rId3" w:fontKey="{9957C1D8-F811-44EF-A735-1D77E7EA2B7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B8DD">
    <w:pPr>
      <w:spacing w:line="192" w:lineRule="auto"/>
      <w:jc w:val="center"/>
      <w:rPr>
        <w:rFonts w:hint="eastAsia" w:eastAsiaTheme="minorEastAsia"/>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E3A4">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7FE3A4">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6948B"/>
    <w:multiLevelType w:val="singleLevel"/>
    <w:tmpl w:val="C04694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0F75D99"/>
    <w:rsid w:val="026C6FEE"/>
    <w:rsid w:val="076842D4"/>
    <w:rsid w:val="0AFE7602"/>
    <w:rsid w:val="0C5D19EC"/>
    <w:rsid w:val="0D072BD3"/>
    <w:rsid w:val="0D5E661A"/>
    <w:rsid w:val="11985F0D"/>
    <w:rsid w:val="14DD4BFA"/>
    <w:rsid w:val="180520BE"/>
    <w:rsid w:val="1AF30366"/>
    <w:rsid w:val="1E523FCF"/>
    <w:rsid w:val="20C820B9"/>
    <w:rsid w:val="21524325"/>
    <w:rsid w:val="21D15D05"/>
    <w:rsid w:val="23AE3064"/>
    <w:rsid w:val="25951FC5"/>
    <w:rsid w:val="284513D7"/>
    <w:rsid w:val="2954135C"/>
    <w:rsid w:val="29931591"/>
    <w:rsid w:val="2C231B78"/>
    <w:rsid w:val="306D5399"/>
    <w:rsid w:val="343320B7"/>
    <w:rsid w:val="348445F4"/>
    <w:rsid w:val="35BC3E50"/>
    <w:rsid w:val="35E1716C"/>
    <w:rsid w:val="38151230"/>
    <w:rsid w:val="3DA503DF"/>
    <w:rsid w:val="3EE506B8"/>
    <w:rsid w:val="3F373F39"/>
    <w:rsid w:val="401D10DD"/>
    <w:rsid w:val="438F7316"/>
    <w:rsid w:val="47AF53A3"/>
    <w:rsid w:val="47E717DC"/>
    <w:rsid w:val="4A3414FD"/>
    <w:rsid w:val="4BB42066"/>
    <w:rsid w:val="4D5155E7"/>
    <w:rsid w:val="4D565C2E"/>
    <w:rsid w:val="4EF67A48"/>
    <w:rsid w:val="510709EC"/>
    <w:rsid w:val="543069CA"/>
    <w:rsid w:val="59614AAE"/>
    <w:rsid w:val="5A6110AE"/>
    <w:rsid w:val="5AC178D1"/>
    <w:rsid w:val="5C5123E2"/>
    <w:rsid w:val="5D0E4DF8"/>
    <w:rsid w:val="5DD10447"/>
    <w:rsid w:val="60A47CDE"/>
    <w:rsid w:val="66E75F6A"/>
    <w:rsid w:val="67787532"/>
    <w:rsid w:val="67D45789"/>
    <w:rsid w:val="693D7F76"/>
    <w:rsid w:val="6B6B029E"/>
    <w:rsid w:val="6B7C2C9A"/>
    <w:rsid w:val="6FF5346D"/>
    <w:rsid w:val="71507EF8"/>
    <w:rsid w:val="74051691"/>
    <w:rsid w:val="76191423"/>
    <w:rsid w:val="776C7E5C"/>
    <w:rsid w:val="7A1848A9"/>
    <w:rsid w:val="7A480875"/>
    <w:rsid w:val="7C76086F"/>
    <w:rsid w:val="7DDC34B8"/>
    <w:rsid w:val="7EE7F520"/>
    <w:rsid w:val="7F136459"/>
    <w:rsid w:val="F7FF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next w:val="1"/>
    <w:semiHidden/>
    <w:unhideWhenUsed/>
    <w:qFormat/>
    <w:uiPriority w:val="0"/>
    <w:pPr>
      <w:keepNext w:val="0"/>
      <w:keepLines w:val="0"/>
      <w:widowControl w:val="0"/>
      <w:spacing w:beforeAutospacing="0" w:after="120" w:afterAutospacing="0" w:line="360" w:lineRule="auto"/>
      <w:jc w:val="left"/>
      <w:outlineLvl w:val="1"/>
    </w:pPr>
    <w:rPr>
      <w:rFonts w:ascii="Times New Roman" w:hAnsi="Times New Roman" w:eastAsia="宋体" w:cs="Times New Roman"/>
      <w:b/>
      <w:sz w:val="24"/>
    </w:rPr>
  </w:style>
  <w:style w:type="paragraph" w:styleId="4">
    <w:name w:val="heading 3"/>
    <w:next w:val="1"/>
    <w:semiHidden/>
    <w:unhideWhenUsed/>
    <w:qFormat/>
    <w:uiPriority w:val="0"/>
    <w:pPr>
      <w:keepNext w:val="0"/>
      <w:keepLines w:val="0"/>
      <w:widowControl w:val="0"/>
      <w:spacing w:beforeAutospacing="0" w:after="120" w:afterAutospacing="0" w:line="360" w:lineRule="auto"/>
      <w:jc w:val="left"/>
      <w:outlineLvl w:val="2"/>
    </w:pPr>
    <w:rPr>
      <w:rFonts w:ascii="Times New Roman" w:hAnsi="Times New Roman" w:eastAsia="宋体" w:cs="Times New Roman"/>
      <w:b/>
      <w:sz w:val="24"/>
    </w:rPr>
  </w:style>
  <w:style w:type="paragraph" w:styleId="5">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qFormat/>
    <w:uiPriority w:val="0"/>
    <w:pPr>
      <w:widowControl w:val="0"/>
      <w:spacing w:beforeLines="0" w:beforeAutospacing="0" w:after="240" w:afterLines="0" w:afterAutospacing="0" w:line="240" w:lineRule="auto"/>
      <w:jc w:val="center"/>
      <w:outlineLvl w:val="9"/>
    </w:pPr>
    <w:rPr>
      <w:rFonts w:ascii="Times New Roman" w:hAnsi="Times New Roman" w:eastAsia="宋体" w:cs="Times New Roman"/>
      <w:kern w:val="28"/>
      <w:sz w:val="21"/>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qFormat/>
    <w:uiPriority w:val="0"/>
    <w:pPr>
      <w:spacing w:before="240" w:beforeAutospacing="0" w:after="240" w:afterAutospacing="0" w:line="240" w:lineRule="auto"/>
      <w:jc w:val="center"/>
      <w:outlineLvl w:val="9"/>
    </w:pPr>
    <w:rPr>
      <w:rFonts w:ascii="Times New Roman" w:hAnsi="Times New Roman" w:eastAsia="宋体" w:cs="Times New Roman"/>
      <w:b/>
      <w:sz w:val="32"/>
    </w:rPr>
  </w:style>
  <w:style w:type="paragraph" w:customStyle="1" w:styleId="20">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976</Words>
  <Characters>1007</Characters>
  <TotalTime>12</TotalTime>
  <ScaleCrop>false</ScaleCrop>
  <LinksUpToDate>false</LinksUpToDate>
  <CharactersWithSpaces>1096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2025-07-03T18:03:00Z</dcterms:created>
  <dc:creator>INTSIG</dc:creator>
  <dc:description>Intsig Word Converter</dc:description>
  <cp:lastModifiedBy>WPS_1702459402</cp:lastModifiedBy>
  <cp:lastPrinted>2025-07-08T20:01:00Z</cp:lastPrinted>
  <dcterms:modified xsi:type="dcterms:W3CDTF">2025-09-05T02:06:25Z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eyJoZGlkIjoiMDM1MzMwZjA5ODZkODExOTQxZTI3YzlmMTYyOTFmNWIiLCJ1c2VySWQiOiIxNTcwMjY4OTk4In0=</vt:lpwstr>
  </property>
  <property fmtid="{D5CDD505-2E9C-101B-9397-08002B2CF9AE}" pid="3" name="KSOProductBuildVer">
    <vt:lpwstr>2052-12.1.0.22529</vt:lpwstr>
  </property>
  <property fmtid="{D5CDD505-2E9C-101B-9397-08002B2CF9AE}" pid="4" name="ICV">
    <vt:lpwstr>69E450F4333D7AF17910B9682FB9400B_43</vt:lpwstr>
  </property>
</Properties>
</file>