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黑体" w:hAnsi="黑体" w:eastAsia="黑体" w:cs="黑体"/>
          <w:color w:val="000000"/>
          <w:kern w:val="0"/>
          <w:sz w:val="32"/>
          <w:szCs w:val="32"/>
          <w:lang w:eastAsia="zh-CN"/>
        </w:rPr>
      </w:pPr>
      <w:r>
        <w:rPr>
          <w:rFonts w:hint="eastAsia" w:ascii="黑体" w:hAnsi="黑体" w:eastAsia="黑体" w:cs="黑体"/>
          <w:color w:val="000000"/>
          <w:kern w:val="0"/>
          <w:sz w:val="32"/>
          <w:szCs w:val="32"/>
          <w:lang w:eastAsia="zh-CN"/>
        </w:rPr>
        <w:t>附件</w:t>
      </w:r>
      <w:bookmarkStart w:id="0" w:name="_GoBack"/>
      <w:bookmarkEnd w:id="0"/>
      <w:r>
        <w:rPr>
          <w:rFonts w:hint="eastAsia" w:ascii="黑体" w:hAnsi="黑体" w:eastAsia="黑体" w:cs="黑体"/>
          <w:color w:val="000000"/>
          <w:kern w:val="0"/>
          <w:sz w:val="32"/>
          <w:szCs w:val="32"/>
          <w:lang w:val="en-US" w:eastAsia="zh-CN"/>
        </w:rPr>
        <w:t>3</w:t>
      </w:r>
      <w:r>
        <w:rPr>
          <w:rFonts w:hint="eastAsia" w:ascii="黑体" w:hAnsi="黑体" w:eastAsia="黑体" w:cs="黑体"/>
          <w:color w:val="000000"/>
          <w:kern w:val="0"/>
          <w:sz w:val="32"/>
          <w:szCs w:val="32"/>
          <w:lang w:eastAsia="zh-CN"/>
        </w:rPr>
        <w:t>：</w:t>
      </w:r>
    </w:p>
    <w:p>
      <w:pPr>
        <w:pStyle w:val="2"/>
        <w:keepNext w:val="0"/>
        <w:keepLines w:val="0"/>
        <w:pageBreakBefore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简体" w:hAnsi="方正小标宋简体" w:eastAsia="方正小标宋简体" w:cs="方正小标宋简体"/>
          <w:color w:val="000000"/>
          <w:kern w:val="0"/>
          <w:sz w:val="44"/>
          <w:szCs w:val="44"/>
          <w:lang w:eastAsia="zh-CN"/>
        </w:rPr>
      </w:pPr>
      <w:r>
        <w:rPr>
          <w:rFonts w:hint="eastAsia" w:ascii="方正小标宋简体" w:hAnsi="方正小标宋简体" w:eastAsia="方正小标宋简体" w:cs="方正小标宋简体"/>
          <w:color w:val="000000"/>
          <w:sz w:val="44"/>
          <w:szCs w:val="44"/>
        </w:rPr>
        <w:t>水利质量检测监管平台运行维护</w:t>
      </w:r>
      <w:r>
        <w:rPr>
          <w:rFonts w:hint="eastAsia" w:ascii="方正小标宋简体" w:hAnsi="方正小标宋简体" w:eastAsia="方正小标宋简体" w:cs="方正小标宋简体"/>
          <w:color w:val="000000"/>
          <w:kern w:val="0"/>
          <w:sz w:val="44"/>
          <w:szCs w:val="44"/>
          <w:lang w:eastAsia="zh-CN"/>
        </w:rPr>
        <w:t>服务要求</w:t>
      </w:r>
    </w:p>
    <w:p>
      <w:pPr>
        <w:pStyle w:val="2"/>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lang w:eastAsia="zh-CN"/>
        </w:rPr>
        <w:t>本项目提供基于福建省水利质量检测监管平台的日常运维服务，确保系统顺利运行使用。</w:t>
      </w:r>
    </w:p>
    <w:p>
      <w:pPr>
        <w:pStyle w:val="2"/>
        <w:keepNext w:val="0"/>
        <w:keepLines w:val="0"/>
        <w:pageBreakBefore w:val="0"/>
        <w:widowControl/>
        <w:numPr>
          <w:ilvl w:val="0"/>
          <w:numId w:val="1"/>
        </w:numPr>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黑体" w:hAnsi="黑体" w:eastAsia="黑体" w:cs="黑体"/>
          <w:color w:val="000000"/>
          <w:kern w:val="0"/>
          <w:sz w:val="32"/>
          <w:szCs w:val="32"/>
          <w:lang w:eastAsia="zh-CN"/>
        </w:rPr>
      </w:pPr>
      <w:r>
        <w:rPr>
          <w:rFonts w:hint="eastAsia" w:ascii="黑体" w:hAnsi="黑体" w:eastAsia="黑体" w:cs="黑体"/>
          <w:color w:val="000000"/>
          <w:kern w:val="0"/>
          <w:sz w:val="32"/>
          <w:szCs w:val="32"/>
          <w:lang w:eastAsia="zh-CN"/>
        </w:rPr>
        <w:t>运维服务内容</w:t>
      </w:r>
    </w:p>
    <w:p>
      <w:pPr>
        <w:pStyle w:val="9"/>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225" w:line="500" w:lineRule="exact"/>
        <w:ind w:leftChars="0" w:firstLine="643" w:firstLineChars="200"/>
        <w:textAlignment w:val="auto"/>
        <w:rPr>
          <w:rFonts w:hint="eastAsia" w:ascii="黑体" w:hAnsi="黑体" w:eastAsia="楷体_GB2312" w:cs="黑体"/>
          <w:color w:val="333333"/>
          <w:sz w:val="32"/>
          <w:szCs w:val="32"/>
          <w:shd w:val="clear" w:color="auto" w:fill="FFFFFF"/>
          <w:lang w:eastAsia="zh-CN"/>
        </w:rPr>
      </w:pPr>
      <w:r>
        <w:rPr>
          <w:rFonts w:hint="eastAsia" w:ascii="楷体_GB2312" w:hAnsi="楷体_GB2312" w:eastAsia="楷体_GB2312" w:cs="楷体_GB2312"/>
          <w:b/>
          <w:bCs/>
          <w:color w:val="333333"/>
          <w:kern w:val="0"/>
          <w:sz w:val="32"/>
          <w:szCs w:val="32"/>
          <w:lang w:eastAsia="zh-CN"/>
        </w:rPr>
        <w:t>（</w:t>
      </w:r>
      <w:r>
        <w:rPr>
          <w:rFonts w:hint="eastAsia" w:ascii="楷体_GB2312" w:hAnsi="楷体_GB2312" w:eastAsia="楷体_GB2312" w:cs="楷体_GB2312"/>
          <w:b/>
          <w:bCs/>
          <w:color w:val="333333"/>
          <w:kern w:val="0"/>
          <w:sz w:val="32"/>
          <w:szCs w:val="32"/>
          <w:lang w:val="en-US" w:eastAsia="zh-CN"/>
        </w:rPr>
        <w:t>一</w:t>
      </w:r>
      <w:r>
        <w:rPr>
          <w:rFonts w:hint="eastAsia" w:ascii="楷体_GB2312" w:hAnsi="楷体_GB2312" w:eastAsia="楷体_GB2312" w:cs="楷体_GB2312"/>
          <w:b/>
          <w:bCs/>
          <w:color w:val="333333"/>
          <w:kern w:val="0"/>
          <w:sz w:val="32"/>
          <w:szCs w:val="32"/>
          <w:lang w:eastAsia="zh-CN"/>
        </w:rPr>
        <w:t>）支持服务</w:t>
      </w:r>
    </w:p>
    <w:tbl>
      <w:tblPr>
        <w:tblStyle w:val="10"/>
        <w:tblW w:w="8207"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78"/>
        <w:gridCol w:w="1701"/>
        <w:gridCol w:w="5528"/>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978" w:type="dxa"/>
            <w:shd w:val="clear" w:color="auto" w:fill="D8D8D8"/>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val="0"/>
                <w:bCs w:val="0"/>
                <w:kern w:val="0"/>
                <w:sz w:val="28"/>
                <w:szCs w:val="28"/>
              </w:rPr>
            </w:pPr>
            <w:r>
              <w:rPr>
                <w:rFonts w:hint="eastAsia" w:ascii="黑体" w:hAnsi="黑体" w:eastAsia="黑体" w:cs="黑体"/>
                <w:b w:val="0"/>
                <w:bCs w:val="0"/>
                <w:kern w:val="0"/>
                <w:sz w:val="28"/>
                <w:szCs w:val="28"/>
              </w:rPr>
              <w:t>序号</w:t>
            </w:r>
          </w:p>
        </w:tc>
        <w:tc>
          <w:tcPr>
            <w:tcW w:w="1701" w:type="dxa"/>
            <w:shd w:val="clear" w:color="auto" w:fill="D8D8D8"/>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val="0"/>
                <w:bCs w:val="0"/>
                <w:kern w:val="0"/>
                <w:sz w:val="28"/>
                <w:szCs w:val="28"/>
              </w:rPr>
            </w:pPr>
            <w:r>
              <w:rPr>
                <w:rFonts w:hint="eastAsia" w:ascii="黑体" w:hAnsi="黑体" w:eastAsia="黑体" w:cs="黑体"/>
                <w:b w:val="0"/>
                <w:bCs w:val="0"/>
                <w:kern w:val="0"/>
                <w:sz w:val="28"/>
                <w:szCs w:val="28"/>
              </w:rPr>
              <w:t>服务项</w:t>
            </w:r>
          </w:p>
        </w:tc>
        <w:tc>
          <w:tcPr>
            <w:tcW w:w="5528" w:type="dxa"/>
            <w:shd w:val="clear" w:color="auto" w:fill="D8D8D8"/>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val="0"/>
                <w:bCs w:val="0"/>
                <w:kern w:val="0"/>
                <w:sz w:val="28"/>
                <w:szCs w:val="28"/>
              </w:rPr>
            </w:pPr>
            <w:r>
              <w:rPr>
                <w:rFonts w:hint="eastAsia" w:ascii="黑体" w:hAnsi="黑体" w:eastAsia="黑体" w:cs="黑体"/>
                <w:b w:val="0"/>
                <w:bCs w:val="0"/>
                <w:kern w:val="0"/>
                <w:sz w:val="28"/>
                <w:szCs w:val="28"/>
              </w:rPr>
              <w:t>服务内容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978" w:type="dxa"/>
            <w:noWrap w:val="0"/>
            <w:vAlign w:val="center"/>
          </w:tcPr>
          <w:p>
            <w:pPr>
              <w:pStyle w:val="9"/>
              <w:keepNext w:val="0"/>
              <w:keepLines w:val="0"/>
              <w:pageBreakBefore w:val="0"/>
              <w:widowControl w:val="0"/>
              <w:numPr>
                <w:ilvl w:val="0"/>
                <w:numId w:val="2"/>
              </w:numPr>
              <w:kinsoku/>
              <w:wordWrap/>
              <w:overflowPunct/>
              <w:topLinePunct w:val="0"/>
              <w:autoSpaceDE/>
              <w:autoSpaceDN/>
              <w:bidi w:val="0"/>
              <w:adjustRightInd/>
              <w:snapToGrid/>
              <w:spacing w:line="400" w:lineRule="exact"/>
              <w:ind w:firstLineChars="0"/>
              <w:jc w:val="center"/>
              <w:textAlignment w:val="auto"/>
              <w:rPr>
                <w:rFonts w:hint="eastAsia" w:ascii="宋体" w:hAnsi="宋体" w:eastAsia="宋体" w:cs="宋体"/>
                <w:kern w:val="0"/>
                <w:sz w:val="21"/>
                <w:szCs w:val="21"/>
              </w:rPr>
            </w:pPr>
          </w:p>
        </w:tc>
        <w:tc>
          <w:tcPr>
            <w:tcW w:w="170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日常巡检</w:t>
            </w:r>
          </w:p>
        </w:tc>
        <w:tc>
          <w:tcPr>
            <w:tcW w:w="5528"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关键服务巡检：可用性、响应速度、稳定性等方面的巡检。</w:t>
            </w:r>
          </w:p>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核心系统功能巡检：对服务内的重要业务功能进行巡检，</w:t>
            </w:r>
            <w:r>
              <w:rPr>
                <w:rFonts w:hint="eastAsia" w:ascii="宋体" w:hAnsi="宋体" w:eastAsia="宋体" w:cs="宋体"/>
                <w:kern w:val="0"/>
                <w:sz w:val="21"/>
                <w:szCs w:val="21"/>
                <w:lang w:eastAsia="zh-CN"/>
              </w:rPr>
              <w:t>包括</w:t>
            </w:r>
            <w:r>
              <w:rPr>
                <w:rFonts w:hint="eastAsia" w:ascii="宋体" w:hAnsi="宋体" w:eastAsia="宋体" w:cs="宋体"/>
                <w:kern w:val="0"/>
                <w:sz w:val="21"/>
                <w:szCs w:val="21"/>
              </w:rPr>
              <w:t>水利</w:t>
            </w:r>
            <w:r>
              <w:rPr>
                <w:rFonts w:hint="eastAsia" w:ascii="宋体" w:hAnsi="宋体" w:cs="宋体"/>
                <w:kern w:val="0"/>
                <w:sz w:val="21"/>
                <w:szCs w:val="21"/>
                <w:lang w:val="en-US" w:eastAsia="zh-CN"/>
              </w:rPr>
              <w:t>质量检测数字管理子系统</w:t>
            </w:r>
            <w:r>
              <w:rPr>
                <w:rFonts w:hint="eastAsia" w:ascii="宋体" w:hAnsi="宋体" w:eastAsia="宋体" w:cs="宋体"/>
                <w:kern w:val="0"/>
                <w:sz w:val="21"/>
                <w:szCs w:val="21"/>
              </w:rPr>
              <w:t>、</w:t>
            </w:r>
            <w:r>
              <w:rPr>
                <w:rFonts w:hint="eastAsia" w:ascii="宋体" w:hAnsi="宋体" w:cs="宋体"/>
                <w:kern w:val="0"/>
                <w:sz w:val="21"/>
                <w:szCs w:val="21"/>
                <w:lang w:val="en-US" w:eastAsia="zh-CN"/>
              </w:rPr>
              <w:t>水利工程检测平台</w:t>
            </w:r>
            <w:r>
              <w:rPr>
                <w:rFonts w:hint="eastAsia" w:ascii="宋体" w:hAnsi="宋体" w:eastAsia="宋体" w:cs="宋体"/>
                <w:kern w:val="0"/>
                <w:sz w:val="21"/>
                <w:szCs w:val="21"/>
              </w:rPr>
              <w:t>子系统、</w:t>
            </w:r>
            <w:r>
              <w:rPr>
                <w:rFonts w:hint="eastAsia" w:ascii="宋体" w:hAnsi="宋体" w:cs="宋体"/>
                <w:kern w:val="0"/>
                <w:sz w:val="21"/>
                <w:szCs w:val="21"/>
                <w:lang w:val="en-US" w:eastAsia="zh-CN"/>
              </w:rPr>
              <w:t>智慧检</w:t>
            </w:r>
            <w:r>
              <w:rPr>
                <w:rFonts w:hint="eastAsia" w:ascii="宋体" w:hAnsi="宋体" w:eastAsia="宋体" w:cs="宋体"/>
                <w:kern w:val="0"/>
                <w:sz w:val="21"/>
                <w:szCs w:val="21"/>
              </w:rPr>
              <w:t>子系统、综合展示子系统，以及系统运行所需的系统管理子系统</w:t>
            </w:r>
            <w:r>
              <w:rPr>
                <w:rFonts w:hint="eastAsia" w:ascii="宋体" w:hAnsi="宋体" w:eastAsia="宋体" w:cs="宋体"/>
                <w:kern w:val="0"/>
                <w:sz w:val="21"/>
                <w:szCs w:val="21"/>
                <w:lang w:eastAsia="zh-CN"/>
              </w:rPr>
              <w:t>，</w:t>
            </w:r>
            <w:r>
              <w:rPr>
                <w:rFonts w:hint="eastAsia" w:ascii="宋体" w:hAnsi="宋体" w:eastAsia="宋体" w:cs="宋体"/>
                <w:kern w:val="0"/>
                <w:sz w:val="21"/>
                <w:szCs w:val="21"/>
              </w:rPr>
              <w:t>验证其可用性。</w:t>
            </w:r>
          </w:p>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涉及到的服务器巡检：对本服务涉及到的服务器的CPU、内存、硬盘等使用情况进行日常巡检。</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978" w:type="dxa"/>
            <w:noWrap w:val="0"/>
            <w:vAlign w:val="center"/>
          </w:tcPr>
          <w:p>
            <w:pPr>
              <w:pStyle w:val="9"/>
              <w:keepNext w:val="0"/>
              <w:keepLines w:val="0"/>
              <w:pageBreakBefore w:val="0"/>
              <w:widowControl w:val="0"/>
              <w:numPr>
                <w:ilvl w:val="0"/>
                <w:numId w:val="2"/>
              </w:numPr>
              <w:kinsoku/>
              <w:wordWrap/>
              <w:overflowPunct/>
              <w:topLinePunct w:val="0"/>
              <w:autoSpaceDE/>
              <w:autoSpaceDN/>
              <w:bidi w:val="0"/>
              <w:adjustRightInd/>
              <w:snapToGrid/>
              <w:spacing w:line="400" w:lineRule="exact"/>
              <w:ind w:firstLineChars="0"/>
              <w:jc w:val="center"/>
              <w:textAlignment w:val="auto"/>
              <w:rPr>
                <w:rFonts w:hint="eastAsia" w:ascii="宋体" w:hAnsi="宋体" w:eastAsia="宋体" w:cs="宋体"/>
                <w:kern w:val="0"/>
                <w:sz w:val="21"/>
                <w:szCs w:val="21"/>
              </w:rPr>
            </w:pPr>
          </w:p>
        </w:tc>
        <w:tc>
          <w:tcPr>
            <w:tcW w:w="170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需求变更</w:t>
            </w:r>
          </w:p>
        </w:tc>
        <w:tc>
          <w:tcPr>
            <w:tcW w:w="5528"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接收标准服务内的需求变更工单处理。接收到用户标准服务内的需求变更申请后，在24小时内响应，并给予处理反馈意见及处理办法。</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978" w:type="dxa"/>
            <w:noWrap w:val="0"/>
            <w:vAlign w:val="center"/>
          </w:tcPr>
          <w:p>
            <w:pPr>
              <w:pStyle w:val="9"/>
              <w:keepNext w:val="0"/>
              <w:keepLines w:val="0"/>
              <w:pageBreakBefore w:val="0"/>
              <w:widowControl w:val="0"/>
              <w:numPr>
                <w:ilvl w:val="0"/>
                <w:numId w:val="2"/>
              </w:numPr>
              <w:kinsoku/>
              <w:wordWrap/>
              <w:overflowPunct/>
              <w:topLinePunct w:val="0"/>
              <w:autoSpaceDE/>
              <w:autoSpaceDN/>
              <w:bidi w:val="0"/>
              <w:adjustRightInd/>
              <w:snapToGrid/>
              <w:spacing w:line="400" w:lineRule="exact"/>
              <w:ind w:firstLineChars="0"/>
              <w:jc w:val="center"/>
              <w:textAlignment w:val="auto"/>
              <w:rPr>
                <w:rFonts w:hint="eastAsia" w:ascii="宋体" w:hAnsi="宋体" w:eastAsia="宋体" w:cs="宋体"/>
                <w:kern w:val="0"/>
                <w:sz w:val="21"/>
                <w:szCs w:val="21"/>
              </w:rPr>
            </w:pPr>
          </w:p>
        </w:tc>
        <w:tc>
          <w:tcPr>
            <w:tcW w:w="170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技术支持</w:t>
            </w:r>
          </w:p>
        </w:tc>
        <w:tc>
          <w:tcPr>
            <w:tcW w:w="5528"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对服务内遇到的技术问题提供24小时技术支持，包括电话技术支持、远程技术支持，若以上方式无法解决时，提供现场技术支持。支持内容包括平台运行基础环境、平台软件系统本身的操作及系统配置、协助系统接入、扩容、安全部署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978" w:type="dxa"/>
            <w:noWrap w:val="0"/>
            <w:vAlign w:val="center"/>
          </w:tcPr>
          <w:p>
            <w:pPr>
              <w:pStyle w:val="9"/>
              <w:keepNext w:val="0"/>
              <w:keepLines w:val="0"/>
              <w:pageBreakBefore w:val="0"/>
              <w:widowControl w:val="0"/>
              <w:numPr>
                <w:ilvl w:val="0"/>
                <w:numId w:val="2"/>
              </w:numPr>
              <w:kinsoku/>
              <w:wordWrap/>
              <w:overflowPunct/>
              <w:topLinePunct w:val="0"/>
              <w:autoSpaceDE/>
              <w:autoSpaceDN/>
              <w:bidi w:val="0"/>
              <w:adjustRightInd/>
              <w:snapToGrid/>
              <w:spacing w:line="400" w:lineRule="exact"/>
              <w:ind w:firstLineChars="0"/>
              <w:jc w:val="center"/>
              <w:textAlignment w:val="auto"/>
              <w:rPr>
                <w:rFonts w:hint="eastAsia" w:ascii="宋体" w:hAnsi="宋体" w:eastAsia="宋体" w:cs="宋体"/>
                <w:kern w:val="0"/>
                <w:sz w:val="21"/>
                <w:szCs w:val="21"/>
              </w:rPr>
            </w:pPr>
          </w:p>
        </w:tc>
        <w:tc>
          <w:tcPr>
            <w:tcW w:w="170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系统升级</w:t>
            </w:r>
          </w:p>
        </w:tc>
        <w:tc>
          <w:tcPr>
            <w:tcW w:w="552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云协同提供系统功能的持续升级，并根据三级等保的要求，持续升级系统安全防护措施。</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978" w:type="dxa"/>
            <w:noWrap w:val="0"/>
            <w:vAlign w:val="center"/>
          </w:tcPr>
          <w:p>
            <w:pPr>
              <w:pStyle w:val="9"/>
              <w:keepNext w:val="0"/>
              <w:keepLines w:val="0"/>
              <w:pageBreakBefore w:val="0"/>
              <w:widowControl w:val="0"/>
              <w:numPr>
                <w:ilvl w:val="0"/>
                <w:numId w:val="2"/>
              </w:numPr>
              <w:kinsoku/>
              <w:wordWrap/>
              <w:overflowPunct/>
              <w:topLinePunct w:val="0"/>
              <w:autoSpaceDE/>
              <w:autoSpaceDN/>
              <w:bidi w:val="0"/>
              <w:adjustRightInd/>
              <w:snapToGrid/>
              <w:spacing w:line="400" w:lineRule="exact"/>
              <w:ind w:firstLineChars="0"/>
              <w:jc w:val="center"/>
              <w:textAlignment w:val="auto"/>
              <w:rPr>
                <w:rFonts w:hint="eastAsia" w:ascii="宋体" w:hAnsi="宋体" w:eastAsia="宋体" w:cs="宋体"/>
                <w:kern w:val="0"/>
                <w:sz w:val="21"/>
                <w:szCs w:val="21"/>
              </w:rPr>
            </w:pPr>
          </w:p>
        </w:tc>
        <w:tc>
          <w:tcPr>
            <w:tcW w:w="170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故障处理</w:t>
            </w:r>
          </w:p>
        </w:tc>
        <w:tc>
          <w:tcPr>
            <w:tcW w:w="552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遇到故障第一时间</w:t>
            </w:r>
            <w:r>
              <w:rPr>
                <w:rFonts w:hint="eastAsia" w:ascii="宋体" w:hAnsi="宋体" w:eastAsia="宋体" w:cs="宋体"/>
                <w:kern w:val="0"/>
                <w:sz w:val="21"/>
                <w:szCs w:val="21"/>
                <w:lang w:eastAsia="zh-CN"/>
              </w:rPr>
              <w:t>进行</w:t>
            </w:r>
            <w:r>
              <w:rPr>
                <w:rFonts w:hint="eastAsia" w:ascii="宋体" w:hAnsi="宋体" w:eastAsia="宋体" w:cs="宋体"/>
                <w:kern w:val="0"/>
                <w:sz w:val="21"/>
                <w:szCs w:val="21"/>
              </w:rPr>
              <w:t>处理</w:t>
            </w:r>
            <w:r>
              <w:rPr>
                <w:rFonts w:hint="eastAsia" w:ascii="宋体" w:hAnsi="宋体" w:eastAsia="宋体" w:cs="宋体"/>
                <w:kern w:val="0"/>
                <w:sz w:val="21"/>
                <w:szCs w:val="21"/>
                <w:lang w:eastAsia="zh-CN"/>
              </w:rPr>
              <w:t>。</w:t>
            </w:r>
            <w:r>
              <w:rPr>
                <w:rFonts w:hint="eastAsia" w:ascii="宋体" w:hAnsi="宋体" w:eastAsia="宋体" w:cs="宋体"/>
                <w:kern w:val="0"/>
                <w:sz w:val="21"/>
                <w:szCs w:val="21"/>
              </w:rPr>
              <w:t>在故障响应时间内检查反映的问题，第一时间接入处理并按时维护，保证平台正常运行，用户正常使用，并且记录问题原因和处理过程。对系统平台的运行情况进行分析，及时发现并排除故障，</w:t>
            </w:r>
            <w:r>
              <w:rPr>
                <w:rFonts w:hint="eastAsia" w:ascii="宋体" w:hAnsi="宋体" w:eastAsia="宋体" w:cs="宋体"/>
                <w:kern w:val="0"/>
                <w:sz w:val="21"/>
                <w:szCs w:val="21"/>
                <w:lang w:eastAsia="zh-CN"/>
              </w:rPr>
              <w:t>每季度</w:t>
            </w:r>
            <w:r>
              <w:rPr>
                <w:rFonts w:hint="eastAsia" w:ascii="宋体" w:hAnsi="宋体" w:eastAsia="宋体" w:cs="宋体"/>
                <w:kern w:val="0"/>
                <w:sz w:val="21"/>
                <w:szCs w:val="21"/>
              </w:rPr>
              <w:t>提交一份系统维护记录，根据系统经常出现的情况或者有可能出现的情况及时提出日常维护和日常使用建议。</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978" w:type="dxa"/>
            <w:noWrap w:val="0"/>
            <w:vAlign w:val="center"/>
          </w:tcPr>
          <w:p>
            <w:pPr>
              <w:pStyle w:val="9"/>
              <w:keepNext w:val="0"/>
              <w:keepLines w:val="0"/>
              <w:pageBreakBefore w:val="0"/>
              <w:widowControl w:val="0"/>
              <w:numPr>
                <w:ilvl w:val="0"/>
                <w:numId w:val="2"/>
              </w:numPr>
              <w:kinsoku/>
              <w:wordWrap/>
              <w:overflowPunct/>
              <w:topLinePunct w:val="0"/>
              <w:autoSpaceDE/>
              <w:autoSpaceDN/>
              <w:bidi w:val="0"/>
              <w:adjustRightInd/>
              <w:snapToGrid/>
              <w:spacing w:line="400" w:lineRule="exact"/>
              <w:ind w:firstLineChars="0"/>
              <w:jc w:val="center"/>
              <w:textAlignment w:val="auto"/>
              <w:rPr>
                <w:rFonts w:hint="eastAsia" w:ascii="宋体" w:hAnsi="宋体" w:eastAsia="宋体" w:cs="宋体"/>
                <w:kern w:val="0"/>
                <w:sz w:val="21"/>
                <w:szCs w:val="21"/>
              </w:rPr>
            </w:pPr>
          </w:p>
        </w:tc>
        <w:tc>
          <w:tcPr>
            <w:tcW w:w="170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个性化功能</w:t>
            </w:r>
            <w:r>
              <w:rPr>
                <w:rFonts w:hint="eastAsia" w:ascii="宋体" w:hAnsi="宋体" w:eastAsia="宋体" w:cs="宋体"/>
                <w:kern w:val="0"/>
                <w:sz w:val="21"/>
                <w:szCs w:val="21"/>
                <w:lang w:eastAsia="zh-CN"/>
              </w:rPr>
              <w:t>定制优化和</w:t>
            </w:r>
            <w:r>
              <w:rPr>
                <w:rFonts w:hint="eastAsia" w:ascii="宋体" w:hAnsi="宋体" w:eastAsia="宋体" w:cs="宋体"/>
                <w:kern w:val="0"/>
                <w:sz w:val="21"/>
                <w:szCs w:val="21"/>
              </w:rPr>
              <w:t>运维服务</w:t>
            </w:r>
          </w:p>
        </w:tc>
        <w:tc>
          <w:tcPr>
            <w:tcW w:w="552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系统使用过程中，</w:t>
            </w:r>
            <w:r>
              <w:rPr>
                <w:rFonts w:hint="eastAsia" w:ascii="宋体" w:hAnsi="宋体" w:eastAsia="宋体" w:cs="宋体"/>
                <w:kern w:val="0"/>
                <w:sz w:val="21"/>
                <w:szCs w:val="21"/>
                <w:lang w:val="en-US" w:eastAsia="zh-CN"/>
              </w:rPr>
              <w:t>根据业主要求</w:t>
            </w:r>
            <w:r>
              <w:rPr>
                <w:rFonts w:hint="eastAsia" w:ascii="宋体" w:hAnsi="宋体" w:eastAsia="宋体" w:cs="宋体"/>
                <w:kern w:val="0"/>
                <w:sz w:val="21"/>
                <w:szCs w:val="21"/>
              </w:rPr>
              <w:t>基于水利质量检测监管平台，提供简易个性化</w:t>
            </w:r>
            <w:r>
              <w:rPr>
                <w:rFonts w:hint="eastAsia" w:ascii="宋体" w:hAnsi="宋体" w:eastAsia="宋体" w:cs="宋体"/>
                <w:kern w:val="0"/>
                <w:sz w:val="21"/>
                <w:szCs w:val="21"/>
                <w:lang w:val="en-US" w:eastAsia="zh-CN"/>
              </w:rPr>
              <w:t>功能</w:t>
            </w:r>
            <w:r>
              <w:rPr>
                <w:rFonts w:hint="eastAsia" w:ascii="宋体" w:hAnsi="宋体" w:eastAsia="宋体" w:cs="宋体"/>
                <w:kern w:val="0"/>
                <w:sz w:val="21"/>
                <w:szCs w:val="21"/>
              </w:rPr>
              <w:t>扩展</w:t>
            </w:r>
            <w:r>
              <w:rPr>
                <w:rFonts w:hint="eastAsia" w:ascii="宋体" w:hAnsi="宋体" w:eastAsia="宋体" w:cs="宋体"/>
                <w:kern w:val="0"/>
                <w:sz w:val="21"/>
                <w:szCs w:val="21"/>
                <w:lang w:val="en-US" w:eastAsia="zh-CN"/>
              </w:rPr>
              <w:t>定制或优化</w:t>
            </w:r>
            <w:r>
              <w:rPr>
                <w:rFonts w:hint="eastAsia" w:ascii="宋体" w:hAnsi="宋体" w:eastAsia="宋体" w:cs="宋体"/>
                <w:kern w:val="0"/>
                <w:sz w:val="21"/>
                <w:szCs w:val="21"/>
              </w:rPr>
              <w:t>服务，</w:t>
            </w:r>
            <w:r>
              <w:rPr>
                <w:rFonts w:hint="eastAsia" w:ascii="宋体" w:hAnsi="宋体" w:eastAsia="宋体" w:cs="宋体"/>
                <w:kern w:val="0"/>
                <w:sz w:val="21"/>
                <w:szCs w:val="21"/>
                <w:lang w:val="en-US" w:eastAsia="zh-CN"/>
              </w:rPr>
              <w:t>并开展日常运维。</w:t>
            </w:r>
          </w:p>
        </w:tc>
      </w:tr>
    </w:tbl>
    <w:p>
      <w:pPr>
        <w:pStyle w:val="9"/>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225" w:line="560" w:lineRule="exact"/>
        <w:ind w:leftChars="0" w:firstLine="643" w:firstLineChars="200"/>
        <w:textAlignment w:val="auto"/>
        <w:rPr>
          <w:rFonts w:hint="eastAsia" w:ascii="楷体_GB2312" w:hAnsi="楷体_GB2312" w:eastAsia="楷体_GB2312" w:cs="楷体_GB2312"/>
          <w:b/>
          <w:bCs/>
          <w:color w:val="333333"/>
          <w:kern w:val="0"/>
          <w:sz w:val="32"/>
          <w:szCs w:val="32"/>
          <w:lang w:eastAsia="zh-CN"/>
        </w:rPr>
      </w:pPr>
      <w:r>
        <w:rPr>
          <w:rFonts w:hint="eastAsia" w:ascii="楷体_GB2312" w:hAnsi="楷体_GB2312" w:eastAsia="楷体_GB2312" w:cs="楷体_GB2312"/>
          <w:b/>
          <w:bCs/>
          <w:color w:val="333333"/>
          <w:kern w:val="0"/>
          <w:sz w:val="32"/>
          <w:szCs w:val="32"/>
          <w:lang w:eastAsia="zh-CN"/>
        </w:rPr>
        <w:t>（</w:t>
      </w:r>
      <w:r>
        <w:rPr>
          <w:rFonts w:hint="eastAsia" w:ascii="楷体_GB2312" w:hAnsi="楷体_GB2312" w:eastAsia="楷体_GB2312" w:cs="楷体_GB2312"/>
          <w:b/>
          <w:bCs/>
          <w:color w:val="333333"/>
          <w:kern w:val="0"/>
          <w:sz w:val="32"/>
          <w:szCs w:val="32"/>
          <w:lang w:val="en-US" w:eastAsia="zh-CN"/>
        </w:rPr>
        <w:t>二</w:t>
      </w:r>
      <w:r>
        <w:rPr>
          <w:rFonts w:hint="eastAsia" w:ascii="楷体_GB2312" w:hAnsi="楷体_GB2312" w:eastAsia="楷体_GB2312" w:cs="楷体_GB2312"/>
          <w:b/>
          <w:bCs/>
          <w:color w:val="333333"/>
          <w:kern w:val="0"/>
          <w:sz w:val="32"/>
          <w:szCs w:val="32"/>
          <w:lang w:eastAsia="zh-CN"/>
        </w:rPr>
        <w:t>）</w:t>
      </w:r>
      <w:r>
        <w:rPr>
          <w:rFonts w:hint="eastAsia" w:ascii="楷体_GB2312" w:hAnsi="楷体_GB2312" w:eastAsia="楷体_GB2312" w:cs="楷体_GB2312"/>
          <w:b/>
          <w:bCs/>
          <w:color w:val="333333"/>
          <w:kern w:val="0"/>
          <w:sz w:val="32"/>
          <w:szCs w:val="32"/>
        </w:rPr>
        <w:t>服务</w:t>
      </w:r>
      <w:r>
        <w:rPr>
          <w:rFonts w:hint="eastAsia" w:ascii="楷体_GB2312" w:hAnsi="楷体_GB2312" w:eastAsia="楷体_GB2312" w:cs="楷体_GB2312"/>
          <w:b/>
          <w:bCs/>
          <w:color w:val="333333"/>
          <w:kern w:val="0"/>
          <w:sz w:val="32"/>
          <w:szCs w:val="32"/>
          <w:lang w:eastAsia="zh-CN"/>
        </w:rPr>
        <w:t>要求</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1.软件缺陷修复服务</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乙方提供的软件缺陷修复服务包括：</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1)因软件存在补丁或Bug缺陷问题，乙方与用户通告升级事宜，并进行免费升级。</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2)在升级前乙方应认真核查系统状况，制定升级方案，包括升级范围、升级详细步骤及升级失败后的恢复措施，尽可能将升级对网络运行的影响降低。</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3)升级前乙方配合用户共同做好系统备份和业务数据备份以及系统状态日志备份工作。</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4)如果升级失败，乙方负责完成恢复工作，保证业务正常运行。</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2.安全加固服务</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乙方提供的安全加固服务包括：</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1)根据安全厂商提供的漏洞整改意见，乙方提交应用漏洞至开发侧评估整改，并配合主机、数据库、中间件等安全加固工作。</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2)根据最新发布的版本，向甲方提出补丁升级申请，进行数据备份后对业务系统补丁进行升级。</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3.数据备份服务</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乙方技术工程师根据甲方需求和实际情况，定期对应用软件、数据、环境配置等进行安全备份，并做备份完整性、有效性检查。主要包括：</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1)制定完善的备份策略，确保发生严重故障时，能够通过备份，快速恢复系统中的数据。</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2)定期检查备份执行情况，对备份失败的情况进行处理和解决。</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3)定期对备份的数据的可用性进行数据验证，确保数据备份的有效性。备份系统的故障及备份策略失败的受理。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4.运维团队人员</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000000"/>
          <w:sz w:val="32"/>
          <w:szCs w:val="32"/>
          <w:lang w:val="en-US" w:eastAsia="zh-CN"/>
        </w:rPr>
        <w:t>1)乙方提供1名运维支持服务人员。具备2年以上信息系统运维项目的从业经验、技术专业，操作熟练、严谨、规范，能独立完成系统的环境搭建和维护，对数据进行分析、校核。</w:t>
      </w:r>
      <w:r>
        <w:rPr>
          <w:rFonts w:hint="eastAsia" w:ascii="仿宋_GB2312" w:hAnsi="仿宋_GB2312" w:eastAsia="仿宋_GB2312" w:cs="仿宋_GB2312"/>
          <w:color w:val="auto"/>
          <w:sz w:val="32"/>
          <w:szCs w:val="32"/>
          <w:lang w:val="en-US" w:eastAsia="zh-CN"/>
        </w:rPr>
        <w:t>并</w:t>
      </w:r>
      <w:r>
        <w:rPr>
          <w:rFonts w:hint="default" w:ascii="仿宋_GB2312" w:hAnsi="仿宋_GB2312" w:eastAsia="仿宋_GB2312" w:cs="仿宋_GB2312"/>
          <w:color w:val="auto"/>
          <w:sz w:val="32"/>
          <w:szCs w:val="32"/>
          <w:highlight w:val="none"/>
          <w:lang w:val="en-US" w:eastAsia="zh-CN"/>
        </w:rPr>
        <w:t>提供</w:t>
      </w:r>
      <w:r>
        <w:rPr>
          <w:rFonts w:hint="eastAsia" w:ascii="仿宋_GB2312" w:hAnsi="仿宋_GB2312" w:eastAsia="仿宋_GB2312" w:cs="仿宋_GB2312"/>
          <w:color w:val="auto"/>
          <w:sz w:val="32"/>
          <w:szCs w:val="32"/>
          <w:highlight w:val="none"/>
          <w:lang w:val="en-US" w:eastAsia="zh-CN"/>
        </w:rPr>
        <w:t>每月1次</w:t>
      </w:r>
      <w:r>
        <w:rPr>
          <w:rFonts w:hint="default" w:ascii="仿宋_GB2312" w:hAnsi="仿宋_GB2312" w:eastAsia="仿宋_GB2312" w:cs="仿宋_GB2312"/>
          <w:color w:val="auto"/>
          <w:sz w:val="32"/>
          <w:szCs w:val="32"/>
          <w:highlight w:val="none"/>
          <w:lang w:val="en-US" w:eastAsia="zh-CN"/>
        </w:rPr>
        <w:t>人员</w:t>
      </w:r>
      <w:r>
        <w:rPr>
          <w:rFonts w:hint="eastAsia" w:ascii="仿宋_GB2312" w:hAnsi="仿宋_GB2312" w:eastAsia="仿宋_GB2312" w:cs="仿宋_GB2312"/>
          <w:color w:val="auto"/>
          <w:sz w:val="32"/>
          <w:szCs w:val="32"/>
          <w:highlight w:val="none"/>
          <w:lang w:val="en-US" w:eastAsia="zh-CN"/>
        </w:rPr>
        <w:t>现场巡检服务。</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2)合同签订后，乙方提供运维团队人员清单、社保证明材料至甲方指定人员处备案。项目服务期内，乙方运维支持服务人员不应变动，若确实需要变动，乙方应提前15天向甲方提出书面申请，经过甲方同意后方能更换。</w:t>
      </w:r>
    </w:p>
    <w:p>
      <w:pPr>
        <w:pStyle w:val="9"/>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225" w:line="560" w:lineRule="exact"/>
        <w:ind w:leftChars="0" w:firstLine="640" w:firstLineChars="200"/>
        <w:textAlignment w:val="auto"/>
        <w:rPr>
          <w:rFonts w:hint="eastAsia" w:ascii="黑体" w:hAnsi="黑体" w:eastAsia="黑体" w:cs="黑体"/>
          <w:color w:val="333333"/>
          <w:kern w:val="0"/>
          <w:sz w:val="32"/>
          <w:szCs w:val="32"/>
        </w:rPr>
      </w:pPr>
      <w:r>
        <w:rPr>
          <w:rFonts w:hint="eastAsia" w:ascii="黑体" w:hAnsi="黑体" w:eastAsia="黑体" w:cs="黑体"/>
          <w:color w:val="333333"/>
          <w:kern w:val="0"/>
          <w:sz w:val="32"/>
          <w:szCs w:val="32"/>
          <w:lang w:val="en-US" w:eastAsia="zh-CN"/>
        </w:rPr>
        <w:t>二、</w:t>
      </w:r>
      <w:r>
        <w:rPr>
          <w:rFonts w:hint="eastAsia" w:ascii="黑体" w:hAnsi="黑体" w:eastAsia="黑体" w:cs="黑体"/>
          <w:color w:val="333333"/>
          <w:kern w:val="0"/>
          <w:sz w:val="32"/>
          <w:szCs w:val="32"/>
          <w:lang w:eastAsia="zh-CN"/>
        </w:rPr>
        <w:t>服务</w:t>
      </w:r>
      <w:r>
        <w:rPr>
          <w:rFonts w:hint="eastAsia" w:ascii="黑体" w:hAnsi="黑体" w:eastAsia="黑体" w:cs="黑体"/>
          <w:color w:val="333333"/>
          <w:kern w:val="0"/>
          <w:sz w:val="32"/>
          <w:szCs w:val="32"/>
        </w:rPr>
        <w:t>响应</w:t>
      </w:r>
      <w:r>
        <w:rPr>
          <w:rFonts w:hint="eastAsia" w:ascii="黑体" w:hAnsi="黑体" w:eastAsia="黑体" w:cs="黑体"/>
          <w:color w:val="333333"/>
          <w:kern w:val="0"/>
          <w:sz w:val="32"/>
          <w:szCs w:val="32"/>
          <w:lang w:eastAsia="zh-CN"/>
        </w:rPr>
        <w:t>要求</w:t>
      </w:r>
    </w:p>
    <w:p>
      <w:pPr>
        <w:pStyle w:val="9"/>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225" w:line="560" w:lineRule="exact"/>
        <w:ind w:leftChars="0" w:firstLine="640" w:firstLineChars="200"/>
        <w:textAlignment w:val="auto"/>
        <w:rPr>
          <w:rFonts w:hint="eastAsia" w:ascii="仿宋_GB2312" w:hAnsi="仿宋_GB2312" w:eastAsia="仿宋_GB2312" w:cs="仿宋_GB2312"/>
          <w:color w:val="333333"/>
          <w:kern w:val="0"/>
          <w:sz w:val="32"/>
          <w:szCs w:val="32"/>
          <w:lang w:eastAsia="zh-CN"/>
        </w:rPr>
      </w:pPr>
      <w:r>
        <w:rPr>
          <w:rFonts w:hint="eastAsia" w:ascii="仿宋_GB2312" w:hAnsi="仿宋_GB2312" w:eastAsia="仿宋_GB2312" w:cs="仿宋_GB2312"/>
          <w:color w:val="000000"/>
          <w:sz w:val="32"/>
          <w:szCs w:val="32"/>
        </w:rPr>
        <w:t>提供7*24小时远程技术支持响应服务</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要求</w:t>
      </w:r>
      <w:r>
        <w:rPr>
          <w:rFonts w:hint="eastAsia" w:ascii="仿宋_GB2312" w:hAnsi="仿宋_GB2312" w:eastAsia="仿宋_GB2312" w:cs="仿宋_GB2312"/>
          <w:color w:val="000000"/>
          <w:sz w:val="32"/>
          <w:szCs w:val="32"/>
        </w:rPr>
        <w:t>应在15分钟内对用户所提出的应用软件平台运维相关服务要求做出实质性响应。</w:t>
      </w:r>
      <w:r>
        <w:rPr>
          <w:rFonts w:hint="eastAsia" w:ascii="仿宋_GB2312" w:hAnsi="仿宋_GB2312" w:eastAsia="仿宋_GB2312" w:cs="仿宋_GB2312"/>
          <w:color w:val="333333"/>
          <w:kern w:val="0"/>
          <w:sz w:val="32"/>
          <w:szCs w:val="32"/>
        </w:rPr>
        <w:t>供应商</w:t>
      </w:r>
      <w:r>
        <w:rPr>
          <w:rFonts w:hint="eastAsia" w:ascii="仿宋_GB2312" w:hAnsi="仿宋_GB2312" w:eastAsia="仿宋_GB2312" w:cs="仿宋_GB2312"/>
          <w:color w:val="333333"/>
          <w:kern w:val="0"/>
          <w:sz w:val="32"/>
          <w:szCs w:val="32"/>
          <w:lang w:eastAsia="zh-CN"/>
        </w:rPr>
        <w:t>出具承诺函并加盖公章，承诺</w:t>
      </w:r>
      <w:r>
        <w:rPr>
          <w:rFonts w:hint="eastAsia" w:ascii="仿宋_GB2312" w:hAnsi="仿宋_GB2312" w:eastAsia="仿宋_GB2312" w:cs="仿宋_GB2312"/>
          <w:color w:val="333333"/>
          <w:kern w:val="0"/>
          <w:sz w:val="32"/>
          <w:szCs w:val="32"/>
        </w:rPr>
        <w:t>具有</w:t>
      </w:r>
      <w:r>
        <w:rPr>
          <w:rFonts w:hint="eastAsia" w:ascii="仿宋_GB2312" w:hAnsi="仿宋_GB2312" w:eastAsia="仿宋_GB2312" w:cs="仿宋_GB2312"/>
          <w:color w:val="333333"/>
          <w:kern w:val="0"/>
          <w:sz w:val="32"/>
          <w:szCs w:val="32"/>
          <w:lang w:eastAsia="zh-CN"/>
        </w:rPr>
        <w:t>相关</w:t>
      </w:r>
      <w:r>
        <w:rPr>
          <w:rFonts w:hint="eastAsia" w:ascii="仿宋_GB2312" w:hAnsi="仿宋_GB2312" w:eastAsia="仿宋_GB2312" w:cs="仿宋_GB2312"/>
          <w:color w:val="333333"/>
          <w:kern w:val="0"/>
          <w:sz w:val="32"/>
          <w:szCs w:val="32"/>
        </w:rPr>
        <w:t>运维服务能力</w:t>
      </w:r>
      <w:r>
        <w:rPr>
          <w:rFonts w:hint="eastAsia" w:ascii="仿宋_GB2312" w:hAnsi="仿宋_GB2312" w:eastAsia="仿宋_GB2312" w:cs="仿宋_GB2312"/>
          <w:color w:val="333333"/>
          <w:kern w:val="0"/>
          <w:sz w:val="32"/>
          <w:szCs w:val="32"/>
          <w:lang w:eastAsia="zh-CN"/>
        </w:rPr>
        <w:t>，满足下表应急响应要求。</w:t>
      </w:r>
    </w:p>
    <w:tbl>
      <w:tblPr>
        <w:tblStyle w:val="7"/>
        <w:tblW w:w="8464" w:type="dxa"/>
        <w:tblCellSpacing w:w="15" w:type="dxa"/>
        <w:tblInd w:w="1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15" w:type="dxa"/>
          <w:left w:w="15" w:type="dxa"/>
          <w:bottom w:w="15" w:type="dxa"/>
          <w:right w:w="15" w:type="dxa"/>
        </w:tblCellMar>
      </w:tblPr>
      <w:tblGrid>
        <w:gridCol w:w="1251"/>
        <w:gridCol w:w="4103"/>
        <w:gridCol w:w="1268"/>
        <w:gridCol w:w="1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559" w:hRule="atLeast"/>
          <w:tblCellSpacing w:w="15" w:type="dxa"/>
        </w:trPr>
        <w:tc>
          <w:tcPr>
            <w:tcW w:w="1206" w:type="dxa"/>
            <w:shd w:val="clear" w:color="auto" w:fill="FFFFFF"/>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10" w:line="400" w:lineRule="exact"/>
              <w:jc w:val="center"/>
              <w:textAlignment w:val="auto"/>
              <w:rPr>
                <w:rFonts w:hint="eastAsia" w:ascii="黑体" w:hAnsi="黑体" w:eastAsia="黑体" w:cs="黑体"/>
                <w:b w:val="0"/>
                <w:bCs w:val="0"/>
                <w:kern w:val="0"/>
                <w:sz w:val="28"/>
                <w:szCs w:val="28"/>
              </w:rPr>
            </w:pPr>
            <w:r>
              <w:rPr>
                <w:rFonts w:hint="eastAsia" w:ascii="黑体" w:hAnsi="黑体" w:eastAsia="黑体" w:cs="黑体"/>
                <w:b w:val="0"/>
                <w:bCs w:val="0"/>
                <w:kern w:val="0"/>
                <w:sz w:val="28"/>
                <w:szCs w:val="28"/>
              </w:rPr>
              <w:t>故障级别</w:t>
            </w:r>
          </w:p>
        </w:tc>
        <w:tc>
          <w:tcPr>
            <w:tcW w:w="4073" w:type="dxa"/>
            <w:shd w:val="clear" w:color="auto" w:fill="FFFFFF"/>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10" w:line="400" w:lineRule="exact"/>
              <w:jc w:val="center"/>
              <w:textAlignment w:val="auto"/>
              <w:rPr>
                <w:rFonts w:hint="eastAsia" w:ascii="黑体" w:hAnsi="黑体" w:eastAsia="黑体" w:cs="黑体"/>
                <w:b w:val="0"/>
                <w:bCs w:val="0"/>
                <w:kern w:val="0"/>
                <w:sz w:val="28"/>
                <w:szCs w:val="28"/>
              </w:rPr>
            </w:pPr>
            <w:r>
              <w:rPr>
                <w:rFonts w:hint="eastAsia" w:ascii="黑体" w:hAnsi="黑体" w:eastAsia="黑体" w:cs="黑体"/>
                <w:b w:val="0"/>
                <w:bCs w:val="0"/>
                <w:kern w:val="0"/>
                <w:sz w:val="28"/>
                <w:szCs w:val="28"/>
              </w:rPr>
              <w:t>故障主要特征</w:t>
            </w:r>
          </w:p>
        </w:tc>
        <w:tc>
          <w:tcPr>
            <w:tcW w:w="1238" w:type="dxa"/>
            <w:shd w:val="clear" w:color="auto" w:fill="FFFFFF"/>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10" w:line="400" w:lineRule="exact"/>
              <w:jc w:val="center"/>
              <w:textAlignment w:val="auto"/>
              <w:rPr>
                <w:rFonts w:hint="eastAsia" w:ascii="黑体" w:hAnsi="黑体" w:eastAsia="黑体" w:cs="黑体"/>
                <w:b w:val="0"/>
                <w:bCs w:val="0"/>
                <w:kern w:val="0"/>
                <w:sz w:val="28"/>
                <w:szCs w:val="28"/>
              </w:rPr>
            </w:pPr>
            <w:r>
              <w:rPr>
                <w:rFonts w:hint="eastAsia" w:ascii="黑体" w:hAnsi="黑体" w:eastAsia="黑体" w:cs="黑体"/>
                <w:b w:val="0"/>
                <w:bCs w:val="0"/>
                <w:kern w:val="0"/>
                <w:sz w:val="28"/>
                <w:szCs w:val="28"/>
              </w:rPr>
              <w:t>响应时间</w:t>
            </w:r>
          </w:p>
        </w:tc>
        <w:tc>
          <w:tcPr>
            <w:tcW w:w="1797" w:type="dxa"/>
            <w:shd w:val="clear" w:color="auto" w:fill="FFFFFF"/>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10" w:line="400" w:lineRule="exact"/>
              <w:jc w:val="center"/>
              <w:textAlignment w:val="auto"/>
              <w:rPr>
                <w:rFonts w:hint="eastAsia" w:ascii="黑体" w:hAnsi="黑体" w:eastAsia="黑体" w:cs="黑体"/>
                <w:b w:val="0"/>
                <w:bCs w:val="0"/>
                <w:kern w:val="0"/>
                <w:sz w:val="28"/>
                <w:szCs w:val="28"/>
              </w:rPr>
            </w:pPr>
            <w:r>
              <w:rPr>
                <w:rFonts w:hint="eastAsia" w:ascii="黑体" w:hAnsi="黑体" w:eastAsia="黑体" w:cs="黑体"/>
                <w:b w:val="0"/>
                <w:bCs w:val="0"/>
                <w:kern w:val="0"/>
                <w:sz w:val="28"/>
                <w:szCs w:val="28"/>
              </w:rPr>
              <w:t>恢复时间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482" w:hRule="atLeast"/>
          <w:tblCellSpacing w:w="15" w:type="dxa"/>
        </w:trPr>
        <w:tc>
          <w:tcPr>
            <w:tcW w:w="1206" w:type="dxa"/>
            <w:shd w:val="clear" w:color="auto" w:fill="FFFFFF"/>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10" w:line="40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紧急</w:t>
            </w:r>
          </w:p>
        </w:tc>
        <w:tc>
          <w:tcPr>
            <w:tcW w:w="4073" w:type="dxa"/>
            <w:shd w:val="clear" w:color="auto" w:fill="FFFFFF"/>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10" w:line="400" w:lineRule="exact"/>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系统出现宕机等严重问题；系统无法启用；系统崩溃导致业务停止、数据丢失</w:t>
            </w:r>
            <w:r>
              <w:rPr>
                <w:rFonts w:hint="eastAsia" w:ascii="宋体" w:hAnsi="宋体" w:eastAsia="宋体" w:cs="宋体"/>
                <w:kern w:val="0"/>
                <w:sz w:val="21"/>
                <w:szCs w:val="21"/>
                <w:lang w:eastAsia="zh-CN"/>
              </w:rPr>
              <w:t>；</w:t>
            </w:r>
            <w:r>
              <w:rPr>
                <w:rFonts w:hint="eastAsia" w:ascii="宋体" w:hAnsi="宋体" w:eastAsia="宋体" w:cs="宋体"/>
                <w:kern w:val="0"/>
                <w:sz w:val="21"/>
                <w:szCs w:val="21"/>
              </w:rPr>
              <w:t>出现关键业务故障；系统故障可能造成重大安全事故或损失。</w:t>
            </w:r>
          </w:p>
        </w:tc>
        <w:tc>
          <w:tcPr>
            <w:tcW w:w="1238" w:type="dxa"/>
            <w:shd w:val="clear" w:color="auto" w:fill="FFFFFF"/>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10" w:line="40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15分钟，2小时内提交故障处理方案。</w:t>
            </w:r>
          </w:p>
        </w:tc>
        <w:tc>
          <w:tcPr>
            <w:tcW w:w="1797" w:type="dxa"/>
            <w:shd w:val="clear" w:color="auto" w:fill="FFFFFF"/>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10" w:line="40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12</w:t>
            </w:r>
            <w:r>
              <w:rPr>
                <w:rFonts w:hint="eastAsia" w:ascii="宋体" w:hAnsi="宋体" w:eastAsia="宋体" w:cs="宋体"/>
                <w:kern w:val="0"/>
                <w:sz w:val="21"/>
                <w:szCs w:val="21"/>
              </w:rPr>
              <w:t>小时内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482" w:hRule="atLeast"/>
          <w:tblCellSpacing w:w="15" w:type="dxa"/>
        </w:trPr>
        <w:tc>
          <w:tcPr>
            <w:tcW w:w="1206" w:type="dxa"/>
            <w:shd w:val="clear" w:color="auto" w:fill="FFFFFF"/>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10" w:line="40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一般</w:t>
            </w:r>
          </w:p>
        </w:tc>
        <w:tc>
          <w:tcPr>
            <w:tcW w:w="4073" w:type="dxa"/>
            <w:shd w:val="clear" w:color="auto" w:fill="FFFFFF"/>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10" w:line="400" w:lineRule="exact"/>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系统基本正常，出现非致命性、非关键业务错误，但影响用户工作。</w:t>
            </w:r>
          </w:p>
        </w:tc>
        <w:tc>
          <w:tcPr>
            <w:tcW w:w="1238" w:type="dxa"/>
            <w:shd w:val="clear" w:color="auto" w:fill="FFFFFF"/>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10" w:line="40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15分钟，</w:t>
            </w:r>
            <w:r>
              <w:rPr>
                <w:rFonts w:hint="eastAsia" w:ascii="宋体" w:hAnsi="宋体" w:eastAsia="宋体" w:cs="宋体"/>
                <w:kern w:val="0"/>
                <w:sz w:val="21"/>
                <w:szCs w:val="21"/>
                <w:lang w:val="en-US" w:eastAsia="zh-CN"/>
              </w:rPr>
              <w:t>4</w:t>
            </w:r>
            <w:r>
              <w:rPr>
                <w:rFonts w:hint="eastAsia" w:ascii="宋体" w:hAnsi="宋体" w:eastAsia="宋体" w:cs="宋体"/>
                <w:kern w:val="0"/>
                <w:sz w:val="21"/>
                <w:szCs w:val="21"/>
              </w:rPr>
              <w:t>小时内提交故障处理方案。</w:t>
            </w:r>
          </w:p>
        </w:tc>
        <w:tc>
          <w:tcPr>
            <w:tcW w:w="1797" w:type="dxa"/>
            <w:shd w:val="clear" w:color="auto" w:fill="FFFFFF"/>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10" w:line="400" w:lineRule="exact"/>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24小时</w:t>
            </w:r>
            <w:r>
              <w:rPr>
                <w:rFonts w:hint="eastAsia" w:ascii="宋体" w:hAnsi="宋体" w:eastAsia="宋体" w:cs="宋体"/>
                <w:kern w:val="0"/>
                <w:sz w:val="21"/>
                <w:szCs w:val="21"/>
              </w:rPr>
              <w:t>内（具体要视问题解决的难易程度和限制条件定）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33" w:hRule="atLeast"/>
          <w:tblCellSpacing w:w="15" w:type="dxa"/>
        </w:trPr>
        <w:tc>
          <w:tcPr>
            <w:tcW w:w="1206" w:type="dxa"/>
            <w:shd w:val="clear" w:color="auto" w:fill="FFFFFF"/>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10" w:line="40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轻微</w:t>
            </w:r>
          </w:p>
        </w:tc>
        <w:tc>
          <w:tcPr>
            <w:tcW w:w="4073" w:type="dxa"/>
            <w:shd w:val="clear" w:color="auto" w:fill="FFFFFF"/>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10" w:line="400" w:lineRule="exact"/>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其他非功能性问题，如用户认为操作不方便、不够友好而要求改进。</w:t>
            </w:r>
          </w:p>
        </w:tc>
        <w:tc>
          <w:tcPr>
            <w:tcW w:w="1238" w:type="dxa"/>
            <w:shd w:val="clear" w:color="auto" w:fill="FFFFFF"/>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10" w:line="40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按需</w:t>
            </w:r>
          </w:p>
        </w:tc>
        <w:tc>
          <w:tcPr>
            <w:tcW w:w="1797" w:type="dxa"/>
            <w:shd w:val="clear" w:color="auto" w:fill="FFFFFF"/>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10" w:line="40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按需</w:t>
            </w:r>
          </w:p>
        </w:tc>
      </w:tr>
    </w:tbl>
    <w:p>
      <w:pPr>
        <w:pStyle w:val="9"/>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225" w:line="560" w:lineRule="exact"/>
        <w:ind w:leftChars="0" w:firstLine="640" w:firstLineChars="200"/>
        <w:textAlignment w:val="auto"/>
        <w:rPr>
          <w:rFonts w:hint="eastAsia" w:ascii="黑体" w:hAnsi="黑体" w:eastAsia="黑体" w:cs="黑体"/>
          <w:color w:val="333333"/>
          <w:kern w:val="0"/>
          <w:sz w:val="32"/>
          <w:szCs w:val="32"/>
          <w:lang w:val="en-US" w:eastAsia="zh-CN"/>
        </w:rPr>
      </w:pPr>
      <w:r>
        <w:rPr>
          <w:rFonts w:hint="eastAsia" w:ascii="黑体" w:hAnsi="黑体" w:eastAsia="黑体" w:cs="黑体"/>
          <w:color w:val="333333"/>
          <w:kern w:val="0"/>
          <w:sz w:val="32"/>
          <w:szCs w:val="32"/>
          <w:lang w:val="en-US" w:eastAsia="zh-CN"/>
        </w:rPr>
        <w:t>三、服务考核内容及标准</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bidi="ar"/>
        </w:rPr>
        <w:t>在服务期内，甲方将对乙方提供的服务进行考核，单次考核期分数仅在本次考核期内有效，不影响下次考核期的评分，单次考核分数总分为100分。</w:t>
      </w:r>
      <w:r>
        <w:rPr>
          <w:rFonts w:hint="eastAsia" w:ascii="仿宋_GB2312" w:hAnsi="仿宋_GB2312" w:eastAsia="仿宋_GB2312" w:cs="仿宋_GB2312"/>
          <w:sz w:val="32"/>
          <w:szCs w:val="32"/>
          <w:lang w:eastAsia="zh-CN" w:bidi="ar"/>
        </w:rPr>
        <w:t>前半年</w:t>
      </w:r>
      <w:r>
        <w:rPr>
          <w:rFonts w:hint="eastAsia" w:ascii="仿宋_GB2312" w:hAnsi="仿宋_GB2312" w:eastAsia="仿宋_GB2312" w:cs="仿宋_GB2312"/>
          <w:sz w:val="32"/>
          <w:szCs w:val="32"/>
          <w:lang w:eastAsia="zh-Hans" w:bidi="ar"/>
        </w:rPr>
        <w:t>考核分数（</w:t>
      </w:r>
      <w:r>
        <w:rPr>
          <w:rFonts w:hint="eastAsia" w:ascii="仿宋_GB2312" w:hAnsi="仿宋_GB2312" w:eastAsia="仿宋_GB2312" w:cs="仿宋_GB2312"/>
          <w:sz w:val="32"/>
          <w:szCs w:val="32"/>
          <w:lang w:eastAsia="zh-CN" w:bidi="ar"/>
        </w:rPr>
        <w:t>服务期的第一季度考核分数和第二季度考核分数的平均值</w:t>
      </w:r>
      <w:r>
        <w:rPr>
          <w:rFonts w:hint="eastAsia" w:ascii="仿宋_GB2312" w:hAnsi="仿宋_GB2312" w:eastAsia="仿宋_GB2312" w:cs="仿宋_GB2312"/>
          <w:sz w:val="32"/>
          <w:szCs w:val="32"/>
          <w:lang w:eastAsia="zh-Hans" w:bidi="ar"/>
        </w:rPr>
        <w:t>）和</w:t>
      </w:r>
      <w:r>
        <w:rPr>
          <w:rFonts w:hint="eastAsia" w:ascii="仿宋_GB2312" w:hAnsi="仿宋_GB2312" w:eastAsia="仿宋_GB2312" w:cs="仿宋_GB2312"/>
          <w:sz w:val="32"/>
          <w:szCs w:val="32"/>
          <w:lang w:eastAsia="zh-CN" w:bidi="ar"/>
        </w:rPr>
        <w:t>后半年</w:t>
      </w:r>
      <w:r>
        <w:rPr>
          <w:rFonts w:hint="eastAsia" w:ascii="仿宋_GB2312" w:hAnsi="仿宋_GB2312" w:eastAsia="仿宋_GB2312" w:cs="仿宋_GB2312"/>
          <w:sz w:val="32"/>
          <w:szCs w:val="32"/>
          <w:lang w:eastAsia="zh-Hans" w:bidi="ar"/>
        </w:rPr>
        <w:t>考核分数（</w:t>
      </w:r>
      <w:r>
        <w:rPr>
          <w:rFonts w:hint="eastAsia" w:ascii="仿宋_GB2312" w:hAnsi="仿宋_GB2312" w:eastAsia="仿宋_GB2312" w:cs="仿宋_GB2312"/>
          <w:sz w:val="32"/>
          <w:szCs w:val="32"/>
          <w:lang w:eastAsia="zh-CN" w:bidi="ar"/>
        </w:rPr>
        <w:t>服务期的第三季度考核分数和第四季度考核分数的平均值</w:t>
      </w:r>
      <w:r>
        <w:rPr>
          <w:rFonts w:hint="eastAsia" w:ascii="仿宋_GB2312" w:hAnsi="仿宋_GB2312" w:eastAsia="仿宋_GB2312" w:cs="仿宋_GB2312"/>
          <w:sz w:val="32"/>
          <w:szCs w:val="32"/>
          <w:lang w:eastAsia="zh-Hans" w:bidi="ar"/>
        </w:rPr>
        <w:t>）直接与服务费用支付挂钩，评分内容及评分标准详见“水利质量检测监管平台运维考核评分表”，评分办法如下：</w:t>
      </w:r>
    </w:p>
    <w:p>
      <w:pPr>
        <w:keepNext w:val="0"/>
        <w:keepLines w:val="0"/>
        <w:pageBreakBefore w:val="0"/>
        <w:widowControl w:val="0"/>
        <w:numPr>
          <w:ilvl w:val="0"/>
          <w:numId w:val="3"/>
        </w:numPr>
        <w:tabs>
          <w:tab w:val="left" w:pos="426"/>
        </w:tabs>
        <w:kinsoku/>
        <w:wordWrap/>
        <w:overflowPunct/>
        <w:topLinePunct w:val="0"/>
        <w:autoSpaceDE/>
        <w:autoSpaceDN/>
        <w:bidi w:val="0"/>
        <w:adjustRightInd w:val="0"/>
        <w:snapToGrid w:val="0"/>
        <w:spacing w:line="560" w:lineRule="exact"/>
        <w:jc w:val="both"/>
        <w:textAlignment w:val="auto"/>
        <w:rPr>
          <w:rFonts w:hint="eastAsia"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考核分数为90分以上，</w:t>
      </w:r>
      <w:r>
        <w:rPr>
          <w:rFonts w:hint="eastAsia" w:ascii="仿宋_GB2312" w:hAnsi="仿宋_GB2312" w:eastAsia="仿宋_GB2312" w:cs="仿宋_GB2312"/>
          <w:sz w:val="32"/>
          <w:szCs w:val="32"/>
          <w:lang w:val="en-US" w:eastAsia="zh-CN"/>
        </w:rPr>
        <w:t>支付全部</w:t>
      </w:r>
      <w:r>
        <w:rPr>
          <w:rFonts w:hint="eastAsia" w:ascii="仿宋_GB2312" w:hAnsi="仿宋_GB2312" w:eastAsia="仿宋_GB2312" w:cs="仿宋_GB2312"/>
          <w:sz w:val="32"/>
          <w:szCs w:val="32"/>
          <w:lang w:eastAsia="zh-Hans"/>
        </w:rPr>
        <w:t>服务费用。</w:t>
      </w:r>
    </w:p>
    <w:p>
      <w:pPr>
        <w:keepNext w:val="0"/>
        <w:keepLines w:val="0"/>
        <w:pageBreakBefore w:val="0"/>
        <w:widowControl w:val="0"/>
        <w:numPr>
          <w:ilvl w:val="0"/>
          <w:numId w:val="3"/>
        </w:numPr>
        <w:tabs>
          <w:tab w:val="left" w:pos="426"/>
        </w:tabs>
        <w:kinsoku/>
        <w:wordWrap/>
        <w:overflowPunct/>
        <w:topLinePunct w:val="0"/>
        <w:autoSpaceDE/>
        <w:autoSpaceDN/>
        <w:bidi w:val="0"/>
        <w:adjustRightInd w:val="0"/>
        <w:snapToGrid w:val="0"/>
        <w:spacing w:line="560" w:lineRule="exact"/>
        <w:jc w:val="both"/>
        <w:textAlignment w:val="auto"/>
        <w:rPr>
          <w:rFonts w:hint="eastAsia"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考核分数为90分及以下，</w:t>
      </w:r>
      <w:r>
        <w:rPr>
          <w:rFonts w:hint="eastAsia" w:ascii="仿宋_GB2312" w:hAnsi="仿宋_GB2312" w:eastAsia="仿宋_GB2312" w:cs="仿宋_GB2312"/>
          <w:sz w:val="32"/>
          <w:szCs w:val="32"/>
          <w:lang w:val="en-US" w:eastAsia="zh-CN"/>
        </w:rPr>
        <w:t>支付所得分数相对应的服务费用的百分比</w:t>
      </w:r>
      <w:r>
        <w:rPr>
          <w:rFonts w:hint="eastAsia" w:ascii="仿宋_GB2312" w:hAnsi="仿宋_GB2312" w:eastAsia="仿宋_GB2312" w:cs="仿宋_GB2312"/>
          <w:sz w:val="32"/>
          <w:szCs w:val="32"/>
          <w:lang w:eastAsia="zh-Hans"/>
        </w:rPr>
        <w:t>（如考核分数为85分，则支付对应批次服务费用的85%）。</w:t>
      </w:r>
    </w:p>
    <w:p>
      <w:pPr>
        <w:keepNext w:val="0"/>
        <w:keepLines w:val="0"/>
        <w:pageBreakBefore w:val="0"/>
        <w:widowControl w:val="0"/>
        <w:numPr>
          <w:ilvl w:val="0"/>
          <w:numId w:val="3"/>
        </w:numPr>
        <w:tabs>
          <w:tab w:val="left" w:pos="426"/>
        </w:tabs>
        <w:kinsoku/>
        <w:wordWrap/>
        <w:overflowPunct/>
        <w:topLinePunct w:val="0"/>
        <w:autoSpaceDE/>
        <w:autoSpaceDN/>
        <w:bidi w:val="0"/>
        <w:adjustRightInd w:val="0"/>
        <w:snapToGrid w:val="0"/>
        <w:spacing w:line="560" w:lineRule="exact"/>
        <w:jc w:val="both"/>
        <w:textAlignment w:val="auto"/>
        <w:rPr>
          <w:rFonts w:hint="eastAsia"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若考核分数低于80分，则支付对应批次服务费用的50%。</w:t>
      </w:r>
    </w:p>
    <w:p>
      <w:pPr>
        <w:keepNext w:val="0"/>
        <w:keepLines w:val="0"/>
        <w:pageBreakBefore w:val="0"/>
        <w:widowControl w:val="0"/>
        <w:numPr>
          <w:ilvl w:val="0"/>
          <w:numId w:val="3"/>
        </w:numPr>
        <w:tabs>
          <w:tab w:val="left" w:pos="426"/>
        </w:tabs>
        <w:kinsoku/>
        <w:wordWrap/>
        <w:overflowPunct/>
        <w:topLinePunct w:val="0"/>
        <w:autoSpaceDE/>
        <w:autoSpaceDN/>
        <w:bidi w:val="0"/>
        <w:adjustRightInd w:val="0"/>
        <w:snapToGrid w:val="0"/>
        <w:spacing w:line="560" w:lineRule="exact"/>
        <w:jc w:val="both"/>
        <w:textAlignment w:val="auto"/>
        <w:rPr>
          <w:rFonts w:hint="eastAsia"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若考核分数低于60分或发生重大事故两次，经认定责任方为乙方的，则甲方有权拒绝支付剩余服务费用并保留取消合同的权利。</w:t>
      </w:r>
    </w:p>
    <w:p>
      <w:pPr>
        <w:widowControl w:val="0"/>
        <w:tabs>
          <w:tab w:val="left" w:pos="426"/>
        </w:tabs>
        <w:adjustRightInd w:val="0"/>
        <w:snapToGrid w:val="0"/>
        <w:jc w:val="center"/>
        <w:rPr>
          <w:rFonts w:hint="eastAsia" w:ascii="黑体" w:hAnsi="黑体" w:eastAsia="黑体" w:cs="黑体"/>
          <w:sz w:val="32"/>
          <w:szCs w:val="32"/>
          <w:lang w:eastAsia="zh-Hans"/>
        </w:rPr>
      </w:pPr>
      <w:r>
        <w:rPr>
          <w:rFonts w:hint="eastAsia" w:ascii="黑体" w:hAnsi="黑体" w:eastAsia="黑体" w:cs="黑体"/>
          <w:sz w:val="32"/>
          <w:szCs w:val="32"/>
          <w:lang w:eastAsia="zh-Hans" w:bidi="ar"/>
        </w:rPr>
        <w:t>水利质量检测监管平台运</w:t>
      </w:r>
      <w:r>
        <w:rPr>
          <w:rFonts w:hint="eastAsia" w:ascii="黑体" w:hAnsi="黑体" w:eastAsia="黑体" w:cs="黑体"/>
          <w:sz w:val="32"/>
          <w:szCs w:val="32"/>
          <w:lang w:eastAsia="zh-CN" w:bidi="ar"/>
        </w:rPr>
        <w:t>行</w:t>
      </w:r>
      <w:r>
        <w:rPr>
          <w:rFonts w:hint="eastAsia" w:ascii="黑体" w:hAnsi="黑体" w:eastAsia="黑体" w:cs="黑体"/>
          <w:sz w:val="32"/>
          <w:szCs w:val="32"/>
          <w:lang w:eastAsia="zh-Hans" w:bidi="ar"/>
        </w:rPr>
        <w:t>维</w:t>
      </w:r>
      <w:r>
        <w:rPr>
          <w:rFonts w:hint="eastAsia" w:ascii="黑体" w:hAnsi="黑体" w:eastAsia="黑体" w:cs="黑体"/>
          <w:sz w:val="32"/>
          <w:szCs w:val="32"/>
          <w:lang w:eastAsia="zh-CN" w:bidi="ar"/>
        </w:rPr>
        <w:t>护</w:t>
      </w:r>
      <w:r>
        <w:rPr>
          <w:rFonts w:hint="eastAsia" w:ascii="黑体" w:hAnsi="黑体" w:eastAsia="黑体" w:cs="黑体"/>
          <w:sz w:val="32"/>
          <w:szCs w:val="32"/>
          <w:lang w:eastAsia="zh-Hans" w:bidi="ar"/>
        </w:rPr>
        <w:t>考核评分表</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276"/>
        <w:gridCol w:w="709"/>
        <w:gridCol w:w="1752"/>
        <w:gridCol w:w="3020"/>
        <w:gridCol w:w="850"/>
        <w:gridCol w:w="6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center"/>
          </w:tcPr>
          <w:p>
            <w:pPr>
              <w:widowControl w:val="0"/>
              <w:spacing w:line="360" w:lineRule="exact"/>
              <w:jc w:val="center"/>
              <w:rPr>
                <w:rFonts w:cs="Arial"/>
                <w:bCs/>
                <w:sz w:val="21"/>
                <w:szCs w:val="21"/>
              </w:rPr>
            </w:pPr>
            <w:r>
              <w:rPr>
                <w:rFonts w:cs="Arial"/>
                <w:bCs/>
                <w:w w:val="105"/>
                <w:sz w:val="21"/>
                <w:szCs w:val="21"/>
              </w:rPr>
              <w:t>序号</w:t>
            </w:r>
          </w:p>
        </w:tc>
        <w:tc>
          <w:tcPr>
            <w:tcW w:w="1276" w:type="dxa"/>
            <w:noWrap w:val="0"/>
            <w:vAlign w:val="center"/>
          </w:tcPr>
          <w:p>
            <w:pPr>
              <w:widowControl w:val="0"/>
              <w:spacing w:line="360" w:lineRule="exact"/>
              <w:jc w:val="center"/>
              <w:rPr>
                <w:rFonts w:cs="Arial"/>
                <w:bCs/>
                <w:sz w:val="21"/>
                <w:szCs w:val="21"/>
              </w:rPr>
            </w:pPr>
            <w:r>
              <w:rPr>
                <w:rFonts w:cs="Arial"/>
                <w:bCs/>
                <w:w w:val="105"/>
                <w:sz w:val="21"/>
                <w:szCs w:val="21"/>
              </w:rPr>
              <w:t>指标名称</w:t>
            </w:r>
          </w:p>
        </w:tc>
        <w:tc>
          <w:tcPr>
            <w:tcW w:w="709" w:type="dxa"/>
            <w:noWrap w:val="0"/>
            <w:vAlign w:val="center"/>
          </w:tcPr>
          <w:p>
            <w:pPr>
              <w:widowControl w:val="0"/>
              <w:spacing w:line="360" w:lineRule="exact"/>
              <w:jc w:val="center"/>
              <w:rPr>
                <w:rFonts w:cs="Arial"/>
                <w:bCs/>
                <w:sz w:val="21"/>
                <w:szCs w:val="21"/>
              </w:rPr>
            </w:pPr>
            <w:r>
              <w:rPr>
                <w:rFonts w:cs="Arial"/>
                <w:bCs/>
                <w:w w:val="105"/>
                <w:sz w:val="21"/>
                <w:szCs w:val="21"/>
              </w:rPr>
              <w:t>分值</w:t>
            </w:r>
          </w:p>
        </w:tc>
        <w:tc>
          <w:tcPr>
            <w:tcW w:w="4772" w:type="dxa"/>
            <w:gridSpan w:val="2"/>
            <w:noWrap w:val="0"/>
            <w:vAlign w:val="center"/>
          </w:tcPr>
          <w:p>
            <w:pPr>
              <w:widowControl w:val="0"/>
              <w:spacing w:line="360" w:lineRule="exact"/>
              <w:jc w:val="center"/>
              <w:rPr>
                <w:rFonts w:cs="Arial"/>
                <w:bCs/>
                <w:sz w:val="21"/>
                <w:szCs w:val="21"/>
              </w:rPr>
            </w:pPr>
            <w:r>
              <w:rPr>
                <w:rFonts w:cs="Arial"/>
                <w:bCs/>
                <w:w w:val="105"/>
                <w:sz w:val="21"/>
                <w:szCs w:val="21"/>
              </w:rPr>
              <w:t>考核内容及标准</w:t>
            </w:r>
          </w:p>
        </w:tc>
        <w:tc>
          <w:tcPr>
            <w:tcW w:w="850" w:type="dxa"/>
            <w:noWrap w:val="0"/>
            <w:vAlign w:val="center"/>
          </w:tcPr>
          <w:p>
            <w:pPr>
              <w:widowControl w:val="0"/>
              <w:spacing w:line="360" w:lineRule="exact"/>
              <w:jc w:val="center"/>
              <w:rPr>
                <w:rFonts w:cs="Arial"/>
                <w:bCs/>
                <w:sz w:val="21"/>
                <w:szCs w:val="21"/>
              </w:rPr>
            </w:pPr>
            <w:r>
              <w:rPr>
                <w:rFonts w:cs="Arial"/>
                <w:bCs/>
                <w:w w:val="105"/>
                <w:sz w:val="21"/>
                <w:szCs w:val="21"/>
              </w:rPr>
              <w:t>评分</w:t>
            </w:r>
          </w:p>
        </w:tc>
        <w:tc>
          <w:tcPr>
            <w:tcW w:w="679" w:type="dxa"/>
            <w:noWrap w:val="0"/>
            <w:vAlign w:val="center"/>
          </w:tcPr>
          <w:p>
            <w:pPr>
              <w:widowControl w:val="0"/>
              <w:spacing w:line="360" w:lineRule="exact"/>
              <w:jc w:val="center"/>
              <w:rPr>
                <w:rFonts w:cs="Arial"/>
                <w:bCs/>
                <w:sz w:val="21"/>
                <w:szCs w:val="21"/>
              </w:rPr>
            </w:pPr>
            <w:r>
              <w:rPr>
                <w:rFonts w:cs="Arial"/>
                <w:bCs/>
                <w:w w:val="105"/>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5" w:type="dxa"/>
            <w:vMerge w:val="restart"/>
            <w:noWrap w:val="0"/>
            <w:vAlign w:val="center"/>
          </w:tcPr>
          <w:p>
            <w:pPr>
              <w:widowControl w:val="0"/>
              <w:spacing w:line="360" w:lineRule="exact"/>
              <w:jc w:val="center"/>
              <w:rPr>
                <w:rFonts w:cs="Arial"/>
                <w:sz w:val="21"/>
                <w:szCs w:val="21"/>
              </w:rPr>
            </w:pPr>
            <w:r>
              <w:rPr>
                <w:rFonts w:cs="Arial"/>
                <w:w w:val="133"/>
                <w:sz w:val="21"/>
                <w:szCs w:val="21"/>
              </w:rPr>
              <w:t>1</w:t>
            </w:r>
          </w:p>
        </w:tc>
        <w:tc>
          <w:tcPr>
            <w:tcW w:w="1276" w:type="dxa"/>
            <w:vMerge w:val="restart"/>
            <w:noWrap w:val="0"/>
            <w:vAlign w:val="center"/>
          </w:tcPr>
          <w:p>
            <w:pPr>
              <w:widowControl w:val="0"/>
              <w:spacing w:line="360" w:lineRule="exact"/>
              <w:jc w:val="center"/>
              <w:rPr>
                <w:rFonts w:cs="Arial"/>
                <w:w w:val="105"/>
                <w:sz w:val="21"/>
                <w:szCs w:val="21"/>
              </w:rPr>
            </w:pPr>
            <w:r>
              <w:rPr>
                <w:rFonts w:cs="Arial"/>
                <w:w w:val="105"/>
                <w:sz w:val="21"/>
                <w:szCs w:val="21"/>
              </w:rPr>
              <w:t>人员</w:t>
            </w:r>
          </w:p>
          <w:p>
            <w:pPr>
              <w:widowControl w:val="0"/>
              <w:spacing w:line="360" w:lineRule="exact"/>
              <w:jc w:val="center"/>
              <w:rPr>
                <w:rFonts w:cs="Arial"/>
                <w:sz w:val="21"/>
                <w:szCs w:val="21"/>
              </w:rPr>
            </w:pPr>
            <w:r>
              <w:rPr>
                <w:rFonts w:cs="Arial"/>
                <w:w w:val="105"/>
                <w:sz w:val="21"/>
                <w:szCs w:val="21"/>
              </w:rPr>
              <w:t>考核</w:t>
            </w:r>
          </w:p>
        </w:tc>
        <w:tc>
          <w:tcPr>
            <w:tcW w:w="709" w:type="dxa"/>
            <w:vMerge w:val="restart"/>
            <w:noWrap w:val="0"/>
            <w:vAlign w:val="center"/>
          </w:tcPr>
          <w:p>
            <w:pPr>
              <w:widowControl w:val="0"/>
              <w:spacing w:line="360" w:lineRule="exact"/>
              <w:jc w:val="center"/>
              <w:rPr>
                <w:rFonts w:cs="Arial"/>
                <w:sz w:val="21"/>
                <w:szCs w:val="21"/>
              </w:rPr>
            </w:pPr>
            <w:r>
              <w:rPr>
                <w:rFonts w:cs="Arial"/>
                <w:w w:val="135"/>
                <w:sz w:val="21"/>
                <w:szCs w:val="21"/>
              </w:rPr>
              <w:t>45</w:t>
            </w:r>
          </w:p>
        </w:tc>
        <w:tc>
          <w:tcPr>
            <w:tcW w:w="4772" w:type="dxa"/>
            <w:gridSpan w:val="2"/>
            <w:noWrap w:val="0"/>
            <w:vAlign w:val="center"/>
          </w:tcPr>
          <w:p>
            <w:pPr>
              <w:widowControl w:val="0"/>
              <w:spacing w:line="360" w:lineRule="exact"/>
              <w:rPr>
                <w:rFonts w:cs="Arial"/>
                <w:sz w:val="21"/>
                <w:szCs w:val="21"/>
              </w:rPr>
            </w:pPr>
            <w:r>
              <w:rPr>
                <w:rFonts w:cs="Arial"/>
                <w:w w:val="110"/>
                <w:sz w:val="21"/>
                <w:szCs w:val="21"/>
              </w:rPr>
              <w:t>无故</w:t>
            </w:r>
            <w:r>
              <w:rPr>
                <w:rFonts w:hint="eastAsia" w:cs="Arial"/>
                <w:w w:val="105"/>
                <w:sz w:val="21"/>
                <w:szCs w:val="21"/>
                <w:lang w:eastAsia="zh-CN"/>
              </w:rPr>
              <w:t>不及时联络</w:t>
            </w:r>
            <w:r>
              <w:rPr>
                <w:rFonts w:cs="Arial"/>
                <w:w w:val="105"/>
                <w:sz w:val="21"/>
                <w:szCs w:val="21"/>
              </w:rPr>
              <w:t>，每人每次</w:t>
            </w:r>
            <w:r>
              <w:rPr>
                <w:rFonts w:cs="Arial"/>
                <w:w w:val="110"/>
                <w:sz w:val="21"/>
                <w:szCs w:val="21"/>
              </w:rPr>
              <w:t>扣</w:t>
            </w:r>
            <w:r>
              <w:rPr>
                <w:rFonts w:hint="eastAsia" w:cs="Arial"/>
                <w:w w:val="110"/>
                <w:sz w:val="21"/>
                <w:szCs w:val="21"/>
              </w:rPr>
              <w:t>1</w:t>
            </w:r>
            <w:r>
              <w:rPr>
                <w:rFonts w:cs="Arial"/>
                <w:w w:val="110"/>
                <w:sz w:val="21"/>
                <w:szCs w:val="21"/>
              </w:rPr>
              <w:t>分，扣完为止</w:t>
            </w:r>
            <w:r>
              <w:rPr>
                <w:rFonts w:cs="Arial"/>
                <w:w w:val="115"/>
                <w:sz w:val="21"/>
                <w:szCs w:val="21"/>
              </w:rPr>
              <w:t>。（满分</w:t>
            </w:r>
            <w:r>
              <w:rPr>
                <w:rFonts w:hint="eastAsia" w:cs="Arial"/>
                <w:w w:val="115"/>
                <w:sz w:val="21"/>
                <w:szCs w:val="21"/>
              </w:rPr>
              <w:t>10</w:t>
            </w:r>
            <w:r>
              <w:rPr>
                <w:rFonts w:cs="Arial"/>
                <w:w w:val="115"/>
                <w:sz w:val="21"/>
                <w:szCs w:val="21"/>
              </w:rPr>
              <w:t>分）</w:t>
            </w:r>
          </w:p>
        </w:tc>
        <w:tc>
          <w:tcPr>
            <w:tcW w:w="850" w:type="dxa"/>
            <w:noWrap w:val="0"/>
            <w:vAlign w:val="center"/>
          </w:tcPr>
          <w:p>
            <w:pPr>
              <w:widowControl w:val="0"/>
              <w:spacing w:line="360" w:lineRule="exact"/>
              <w:jc w:val="center"/>
              <w:rPr>
                <w:rFonts w:cs="Arial"/>
                <w:sz w:val="21"/>
                <w:szCs w:val="21"/>
              </w:rPr>
            </w:pPr>
          </w:p>
        </w:tc>
        <w:tc>
          <w:tcPr>
            <w:tcW w:w="679" w:type="dxa"/>
            <w:vMerge w:val="restart"/>
            <w:noWrap w:val="0"/>
            <w:vAlign w:val="center"/>
          </w:tcPr>
          <w:p>
            <w:pPr>
              <w:widowControl w:val="0"/>
              <w:spacing w:line="360" w:lineRule="exact"/>
              <w:jc w:val="center"/>
              <w:rPr>
                <w:rFonts w:cs="Arial"/>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noWrap w:val="0"/>
            <w:vAlign w:val="center"/>
          </w:tcPr>
          <w:p>
            <w:pPr>
              <w:widowControl w:val="0"/>
              <w:spacing w:line="360" w:lineRule="exact"/>
              <w:jc w:val="center"/>
              <w:rPr>
                <w:rFonts w:cs="Arial"/>
                <w:sz w:val="21"/>
                <w:szCs w:val="21"/>
              </w:rPr>
            </w:pPr>
          </w:p>
        </w:tc>
        <w:tc>
          <w:tcPr>
            <w:tcW w:w="1276" w:type="dxa"/>
            <w:vMerge w:val="continue"/>
            <w:noWrap w:val="0"/>
            <w:vAlign w:val="center"/>
          </w:tcPr>
          <w:p>
            <w:pPr>
              <w:widowControl w:val="0"/>
              <w:spacing w:line="360" w:lineRule="exact"/>
              <w:jc w:val="center"/>
              <w:rPr>
                <w:rFonts w:cs="Arial"/>
                <w:sz w:val="21"/>
                <w:szCs w:val="21"/>
              </w:rPr>
            </w:pPr>
          </w:p>
        </w:tc>
        <w:tc>
          <w:tcPr>
            <w:tcW w:w="709" w:type="dxa"/>
            <w:vMerge w:val="continue"/>
            <w:noWrap w:val="0"/>
            <w:vAlign w:val="center"/>
          </w:tcPr>
          <w:p>
            <w:pPr>
              <w:widowControl w:val="0"/>
              <w:spacing w:line="360" w:lineRule="exact"/>
              <w:jc w:val="center"/>
              <w:rPr>
                <w:rFonts w:cs="Arial"/>
                <w:sz w:val="21"/>
                <w:szCs w:val="21"/>
              </w:rPr>
            </w:pPr>
          </w:p>
        </w:tc>
        <w:tc>
          <w:tcPr>
            <w:tcW w:w="4772" w:type="dxa"/>
            <w:gridSpan w:val="2"/>
            <w:noWrap w:val="0"/>
            <w:vAlign w:val="center"/>
          </w:tcPr>
          <w:p>
            <w:pPr>
              <w:widowControl w:val="0"/>
              <w:spacing w:line="360" w:lineRule="exact"/>
              <w:rPr>
                <w:rFonts w:cs="Arial"/>
                <w:sz w:val="21"/>
                <w:szCs w:val="21"/>
              </w:rPr>
            </w:pPr>
            <w:r>
              <w:rPr>
                <w:rFonts w:cs="Arial"/>
                <w:w w:val="105"/>
                <w:sz w:val="21"/>
                <w:szCs w:val="21"/>
              </w:rPr>
              <w:t>未经甲方同意，中途更换主要技术人员，每次</w:t>
            </w:r>
            <w:r>
              <w:rPr>
                <w:rFonts w:cs="Arial"/>
                <w:w w:val="110"/>
                <w:sz w:val="21"/>
                <w:szCs w:val="21"/>
              </w:rPr>
              <w:t>扣</w:t>
            </w:r>
            <w:r>
              <w:rPr>
                <w:rFonts w:hint="eastAsia" w:cs="Arial"/>
                <w:w w:val="110"/>
                <w:sz w:val="21"/>
                <w:szCs w:val="21"/>
              </w:rPr>
              <w:t>5</w:t>
            </w:r>
            <w:r>
              <w:rPr>
                <w:rFonts w:cs="Arial"/>
                <w:w w:val="110"/>
                <w:sz w:val="21"/>
                <w:szCs w:val="21"/>
              </w:rPr>
              <w:t>分，扣完为止</w:t>
            </w:r>
            <w:r>
              <w:rPr>
                <w:rFonts w:cs="Arial"/>
                <w:w w:val="115"/>
                <w:sz w:val="21"/>
                <w:szCs w:val="21"/>
              </w:rPr>
              <w:t>。（满分</w:t>
            </w:r>
            <w:r>
              <w:rPr>
                <w:rFonts w:hint="eastAsia" w:cs="Arial"/>
                <w:w w:val="115"/>
                <w:sz w:val="21"/>
                <w:szCs w:val="21"/>
              </w:rPr>
              <w:t>15</w:t>
            </w:r>
            <w:r>
              <w:rPr>
                <w:rFonts w:cs="Arial"/>
                <w:w w:val="115"/>
                <w:sz w:val="21"/>
                <w:szCs w:val="21"/>
              </w:rPr>
              <w:t>分）</w:t>
            </w:r>
          </w:p>
        </w:tc>
        <w:tc>
          <w:tcPr>
            <w:tcW w:w="850" w:type="dxa"/>
            <w:noWrap w:val="0"/>
            <w:vAlign w:val="center"/>
          </w:tcPr>
          <w:p>
            <w:pPr>
              <w:widowControl w:val="0"/>
              <w:spacing w:line="360" w:lineRule="exact"/>
              <w:jc w:val="center"/>
              <w:rPr>
                <w:rFonts w:cs="Arial"/>
                <w:sz w:val="21"/>
                <w:szCs w:val="21"/>
              </w:rPr>
            </w:pPr>
          </w:p>
        </w:tc>
        <w:tc>
          <w:tcPr>
            <w:tcW w:w="679" w:type="dxa"/>
            <w:vMerge w:val="continue"/>
            <w:noWrap w:val="0"/>
            <w:vAlign w:val="center"/>
          </w:tcPr>
          <w:p>
            <w:pPr>
              <w:widowControl w:val="0"/>
              <w:spacing w:line="360" w:lineRule="exact"/>
              <w:jc w:val="center"/>
              <w:rPr>
                <w:rFonts w:cs="Arial"/>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noWrap w:val="0"/>
            <w:vAlign w:val="center"/>
          </w:tcPr>
          <w:p>
            <w:pPr>
              <w:widowControl w:val="0"/>
              <w:spacing w:line="360" w:lineRule="exact"/>
              <w:jc w:val="center"/>
              <w:rPr>
                <w:rFonts w:cs="Arial"/>
                <w:sz w:val="21"/>
                <w:szCs w:val="21"/>
              </w:rPr>
            </w:pPr>
          </w:p>
        </w:tc>
        <w:tc>
          <w:tcPr>
            <w:tcW w:w="1276" w:type="dxa"/>
            <w:vMerge w:val="continue"/>
            <w:noWrap w:val="0"/>
            <w:vAlign w:val="center"/>
          </w:tcPr>
          <w:p>
            <w:pPr>
              <w:widowControl w:val="0"/>
              <w:spacing w:line="360" w:lineRule="exact"/>
              <w:jc w:val="center"/>
              <w:rPr>
                <w:rFonts w:cs="Arial"/>
                <w:sz w:val="21"/>
                <w:szCs w:val="21"/>
              </w:rPr>
            </w:pPr>
          </w:p>
        </w:tc>
        <w:tc>
          <w:tcPr>
            <w:tcW w:w="709" w:type="dxa"/>
            <w:vMerge w:val="continue"/>
            <w:noWrap w:val="0"/>
            <w:vAlign w:val="center"/>
          </w:tcPr>
          <w:p>
            <w:pPr>
              <w:widowControl w:val="0"/>
              <w:spacing w:line="360" w:lineRule="exact"/>
              <w:jc w:val="center"/>
              <w:rPr>
                <w:rFonts w:cs="Arial"/>
                <w:sz w:val="21"/>
                <w:szCs w:val="21"/>
              </w:rPr>
            </w:pPr>
          </w:p>
        </w:tc>
        <w:tc>
          <w:tcPr>
            <w:tcW w:w="4772" w:type="dxa"/>
            <w:gridSpan w:val="2"/>
            <w:noWrap w:val="0"/>
            <w:vAlign w:val="center"/>
          </w:tcPr>
          <w:p>
            <w:pPr>
              <w:widowControl w:val="0"/>
              <w:spacing w:line="360" w:lineRule="exact"/>
              <w:rPr>
                <w:rFonts w:cs="Arial"/>
                <w:sz w:val="21"/>
                <w:szCs w:val="21"/>
              </w:rPr>
            </w:pPr>
            <w:r>
              <w:rPr>
                <w:rFonts w:cs="Arial"/>
                <w:w w:val="105"/>
                <w:sz w:val="21"/>
                <w:szCs w:val="21"/>
              </w:rPr>
              <w:t>重要时期或应甲方要求，临时增派运维人员，</w:t>
            </w:r>
            <w:r>
              <w:rPr>
                <w:rFonts w:hint="eastAsia" w:cs="Arial"/>
                <w:w w:val="105"/>
                <w:sz w:val="21"/>
                <w:szCs w:val="21"/>
                <w:lang w:eastAsia="zh-CN"/>
              </w:rPr>
              <w:t>未到</w:t>
            </w:r>
            <w:r>
              <w:rPr>
                <w:rFonts w:cs="Arial"/>
                <w:w w:val="110"/>
                <w:sz w:val="21"/>
                <w:szCs w:val="21"/>
              </w:rPr>
              <w:t>一次扣</w:t>
            </w:r>
            <w:r>
              <w:rPr>
                <w:rFonts w:hint="eastAsia" w:cs="Arial"/>
                <w:w w:val="110"/>
                <w:sz w:val="21"/>
                <w:szCs w:val="21"/>
              </w:rPr>
              <w:t>1</w:t>
            </w:r>
            <w:r>
              <w:rPr>
                <w:rFonts w:cs="Arial"/>
                <w:w w:val="110"/>
                <w:sz w:val="21"/>
                <w:szCs w:val="21"/>
              </w:rPr>
              <w:t>分</w:t>
            </w:r>
            <w:r>
              <w:rPr>
                <w:rFonts w:cs="Arial"/>
                <w:w w:val="105"/>
                <w:sz w:val="21"/>
                <w:szCs w:val="21"/>
              </w:rPr>
              <w:t>，扣完为止。（满</w:t>
            </w:r>
            <w:r>
              <w:rPr>
                <w:rFonts w:cs="Arial"/>
                <w:w w:val="115"/>
                <w:sz w:val="21"/>
                <w:szCs w:val="21"/>
              </w:rPr>
              <w:t>分</w:t>
            </w:r>
            <w:r>
              <w:rPr>
                <w:rFonts w:hint="eastAsia" w:cs="Arial"/>
                <w:w w:val="115"/>
                <w:sz w:val="21"/>
                <w:szCs w:val="21"/>
              </w:rPr>
              <w:t>5</w:t>
            </w:r>
            <w:r>
              <w:rPr>
                <w:rFonts w:cs="Arial"/>
                <w:w w:val="115"/>
                <w:sz w:val="21"/>
                <w:szCs w:val="21"/>
              </w:rPr>
              <w:t>分）</w:t>
            </w:r>
          </w:p>
        </w:tc>
        <w:tc>
          <w:tcPr>
            <w:tcW w:w="850" w:type="dxa"/>
            <w:noWrap w:val="0"/>
            <w:vAlign w:val="center"/>
          </w:tcPr>
          <w:p>
            <w:pPr>
              <w:widowControl w:val="0"/>
              <w:spacing w:line="360" w:lineRule="exact"/>
              <w:jc w:val="center"/>
              <w:rPr>
                <w:rFonts w:cs="Arial"/>
                <w:sz w:val="21"/>
                <w:szCs w:val="21"/>
              </w:rPr>
            </w:pPr>
          </w:p>
        </w:tc>
        <w:tc>
          <w:tcPr>
            <w:tcW w:w="679" w:type="dxa"/>
            <w:noWrap w:val="0"/>
            <w:vAlign w:val="center"/>
          </w:tcPr>
          <w:p>
            <w:pPr>
              <w:widowControl w:val="0"/>
              <w:spacing w:line="360" w:lineRule="exact"/>
              <w:jc w:val="center"/>
              <w:rPr>
                <w:rFonts w:cs="Arial"/>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noWrap w:val="0"/>
            <w:vAlign w:val="center"/>
          </w:tcPr>
          <w:p>
            <w:pPr>
              <w:widowControl w:val="0"/>
              <w:spacing w:line="360" w:lineRule="exact"/>
              <w:jc w:val="center"/>
              <w:rPr>
                <w:rFonts w:cs="Arial"/>
                <w:sz w:val="21"/>
                <w:szCs w:val="21"/>
              </w:rPr>
            </w:pPr>
          </w:p>
        </w:tc>
        <w:tc>
          <w:tcPr>
            <w:tcW w:w="1276" w:type="dxa"/>
            <w:vMerge w:val="continue"/>
            <w:noWrap w:val="0"/>
            <w:vAlign w:val="center"/>
          </w:tcPr>
          <w:p>
            <w:pPr>
              <w:widowControl w:val="0"/>
              <w:spacing w:line="360" w:lineRule="exact"/>
              <w:jc w:val="center"/>
              <w:rPr>
                <w:rFonts w:cs="Arial"/>
                <w:sz w:val="21"/>
                <w:szCs w:val="21"/>
              </w:rPr>
            </w:pPr>
          </w:p>
        </w:tc>
        <w:tc>
          <w:tcPr>
            <w:tcW w:w="709" w:type="dxa"/>
            <w:vMerge w:val="continue"/>
            <w:noWrap w:val="0"/>
            <w:vAlign w:val="center"/>
          </w:tcPr>
          <w:p>
            <w:pPr>
              <w:widowControl w:val="0"/>
              <w:spacing w:line="360" w:lineRule="exact"/>
              <w:jc w:val="center"/>
              <w:rPr>
                <w:rFonts w:cs="Arial"/>
                <w:sz w:val="21"/>
                <w:szCs w:val="21"/>
              </w:rPr>
            </w:pPr>
          </w:p>
        </w:tc>
        <w:tc>
          <w:tcPr>
            <w:tcW w:w="4772" w:type="dxa"/>
            <w:gridSpan w:val="2"/>
            <w:noWrap w:val="0"/>
            <w:vAlign w:val="center"/>
          </w:tcPr>
          <w:p>
            <w:pPr>
              <w:widowControl w:val="0"/>
              <w:spacing w:line="360" w:lineRule="exact"/>
              <w:rPr>
                <w:rFonts w:cs="Arial"/>
                <w:sz w:val="21"/>
                <w:szCs w:val="21"/>
              </w:rPr>
            </w:pPr>
            <w:r>
              <w:rPr>
                <w:rFonts w:cs="Arial"/>
                <w:w w:val="105"/>
                <w:sz w:val="21"/>
                <w:szCs w:val="21"/>
              </w:rPr>
              <w:t>甲方对此</w:t>
            </w:r>
            <w:r>
              <w:rPr>
                <w:rFonts w:hint="eastAsia" w:cs="Arial"/>
                <w:w w:val="105"/>
                <w:sz w:val="21"/>
                <w:szCs w:val="21"/>
                <w:lang w:eastAsia="zh-CN"/>
              </w:rPr>
              <w:t>运维</w:t>
            </w:r>
            <w:r>
              <w:rPr>
                <w:rFonts w:cs="Arial"/>
                <w:w w:val="105"/>
                <w:sz w:val="21"/>
                <w:szCs w:val="21"/>
              </w:rPr>
              <w:t>人员工作情况和工作满意度打分。（满分</w:t>
            </w:r>
            <w:r>
              <w:rPr>
                <w:rFonts w:hint="eastAsia" w:cs="Arial"/>
                <w:w w:val="105"/>
                <w:sz w:val="21"/>
                <w:szCs w:val="21"/>
              </w:rPr>
              <w:t>1</w:t>
            </w:r>
            <w:r>
              <w:rPr>
                <w:rFonts w:hint="eastAsia" w:cs="Arial"/>
                <w:w w:val="115"/>
                <w:sz w:val="21"/>
                <w:szCs w:val="21"/>
              </w:rPr>
              <w:t>5</w:t>
            </w:r>
            <w:r>
              <w:rPr>
                <w:rFonts w:cs="Arial"/>
                <w:w w:val="115"/>
                <w:sz w:val="21"/>
                <w:szCs w:val="21"/>
              </w:rPr>
              <w:t>分）</w:t>
            </w:r>
          </w:p>
        </w:tc>
        <w:tc>
          <w:tcPr>
            <w:tcW w:w="850" w:type="dxa"/>
            <w:noWrap w:val="0"/>
            <w:vAlign w:val="center"/>
          </w:tcPr>
          <w:p>
            <w:pPr>
              <w:widowControl w:val="0"/>
              <w:spacing w:line="360" w:lineRule="exact"/>
              <w:jc w:val="center"/>
              <w:rPr>
                <w:rFonts w:cs="Arial"/>
                <w:sz w:val="21"/>
                <w:szCs w:val="21"/>
              </w:rPr>
            </w:pPr>
          </w:p>
        </w:tc>
        <w:tc>
          <w:tcPr>
            <w:tcW w:w="679" w:type="dxa"/>
            <w:noWrap w:val="0"/>
            <w:vAlign w:val="center"/>
          </w:tcPr>
          <w:p>
            <w:pPr>
              <w:widowControl w:val="0"/>
              <w:spacing w:line="360" w:lineRule="exact"/>
              <w:jc w:val="center"/>
              <w:rPr>
                <w:rFonts w:cs="Arial"/>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center"/>
          </w:tcPr>
          <w:p>
            <w:pPr>
              <w:widowControl w:val="0"/>
              <w:spacing w:line="360" w:lineRule="exact"/>
              <w:jc w:val="center"/>
              <w:rPr>
                <w:rFonts w:cs="Arial"/>
                <w:sz w:val="21"/>
                <w:szCs w:val="21"/>
              </w:rPr>
            </w:pPr>
            <w:r>
              <w:rPr>
                <w:rFonts w:cs="Arial"/>
                <w:w w:val="133"/>
                <w:sz w:val="21"/>
                <w:szCs w:val="21"/>
              </w:rPr>
              <w:t>2</w:t>
            </w:r>
          </w:p>
        </w:tc>
        <w:tc>
          <w:tcPr>
            <w:tcW w:w="1276" w:type="dxa"/>
            <w:noWrap w:val="0"/>
            <w:vAlign w:val="center"/>
          </w:tcPr>
          <w:p>
            <w:pPr>
              <w:widowControl w:val="0"/>
              <w:spacing w:line="360" w:lineRule="exact"/>
              <w:jc w:val="center"/>
              <w:rPr>
                <w:rFonts w:cs="Arial"/>
                <w:sz w:val="21"/>
                <w:szCs w:val="21"/>
              </w:rPr>
            </w:pPr>
            <w:r>
              <w:rPr>
                <w:rFonts w:cs="Arial"/>
                <w:w w:val="105"/>
                <w:sz w:val="21"/>
                <w:szCs w:val="21"/>
              </w:rPr>
              <w:t>故障响应与解决时间</w:t>
            </w:r>
          </w:p>
        </w:tc>
        <w:tc>
          <w:tcPr>
            <w:tcW w:w="709" w:type="dxa"/>
            <w:noWrap w:val="0"/>
            <w:vAlign w:val="center"/>
          </w:tcPr>
          <w:p>
            <w:pPr>
              <w:widowControl w:val="0"/>
              <w:spacing w:line="360" w:lineRule="exact"/>
              <w:jc w:val="center"/>
              <w:rPr>
                <w:rFonts w:cs="Arial"/>
                <w:sz w:val="21"/>
                <w:szCs w:val="21"/>
              </w:rPr>
            </w:pPr>
            <w:r>
              <w:rPr>
                <w:rFonts w:cs="Arial"/>
                <w:w w:val="135"/>
                <w:sz w:val="21"/>
                <w:szCs w:val="21"/>
              </w:rPr>
              <w:t>15</w:t>
            </w:r>
          </w:p>
        </w:tc>
        <w:tc>
          <w:tcPr>
            <w:tcW w:w="4772" w:type="dxa"/>
            <w:gridSpan w:val="2"/>
            <w:noWrap w:val="0"/>
            <w:vAlign w:val="center"/>
          </w:tcPr>
          <w:p>
            <w:pPr>
              <w:widowControl w:val="0"/>
              <w:spacing w:line="360" w:lineRule="exact"/>
              <w:rPr>
                <w:rFonts w:cs="Arial"/>
                <w:sz w:val="21"/>
                <w:szCs w:val="21"/>
              </w:rPr>
            </w:pPr>
            <w:r>
              <w:rPr>
                <w:rFonts w:cs="Arial"/>
                <w:sz w:val="21"/>
                <w:szCs w:val="21"/>
              </w:rPr>
              <w:t>每次发生故障响应与解决时间超过合同规定。</w:t>
            </w:r>
            <w:r>
              <w:rPr>
                <w:rFonts w:hint="eastAsia" w:cs="Arial"/>
                <w:sz w:val="21"/>
                <w:szCs w:val="21"/>
                <w:lang w:eastAsia="zh-CN"/>
              </w:rPr>
              <w:t>紧急</w:t>
            </w:r>
            <w:r>
              <w:rPr>
                <w:rFonts w:cs="Arial"/>
                <w:sz w:val="21"/>
                <w:szCs w:val="21"/>
              </w:rPr>
              <w:t>级故障</w:t>
            </w:r>
            <w:r>
              <w:rPr>
                <w:rFonts w:cs="Arial"/>
                <w:w w:val="104"/>
                <w:sz w:val="21"/>
                <w:szCs w:val="21"/>
              </w:rPr>
              <w:t>扣</w:t>
            </w:r>
            <w:r>
              <w:rPr>
                <w:rFonts w:cs="Arial"/>
                <w:w w:val="133"/>
                <w:sz w:val="21"/>
                <w:szCs w:val="21"/>
              </w:rPr>
              <w:t>1</w:t>
            </w:r>
            <w:r>
              <w:rPr>
                <w:rFonts w:cs="Arial"/>
                <w:w w:val="104"/>
                <w:sz w:val="21"/>
                <w:szCs w:val="21"/>
              </w:rPr>
              <w:t>分，</w:t>
            </w:r>
            <w:r>
              <w:rPr>
                <w:rFonts w:hint="eastAsia" w:cs="Arial"/>
                <w:w w:val="104"/>
                <w:sz w:val="21"/>
                <w:szCs w:val="21"/>
                <w:lang w:eastAsia="zh-CN"/>
              </w:rPr>
              <w:t>一般级</w:t>
            </w:r>
            <w:r>
              <w:rPr>
                <w:rFonts w:cs="Arial"/>
                <w:w w:val="104"/>
                <w:sz w:val="21"/>
                <w:szCs w:val="21"/>
              </w:rPr>
              <w:t>故障</w:t>
            </w:r>
            <w:r>
              <w:rPr>
                <w:rFonts w:cs="Arial"/>
                <w:sz w:val="21"/>
                <w:szCs w:val="21"/>
              </w:rPr>
              <w:t>扣</w:t>
            </w:r>
            <w:r>
              <w:rPr>
                <w:rFonts w:hint="eastAsia" w:cs="Arial"/>
                <w:w w:val="130"/>
                <w:sz w:val="21"/>
                <w:szCs w:val="21"/>
              </w:rPr>
              <w:t>0.3</w:t>
            </w:r>
            <w:r>
              <w:rPr>
                <w:rFonts w:cs="Arial"/>
                <w:sz w:val="21"/>
                <w:szCs w:val="21"/>
              </w:rPr>
              <w:t>分，</w:t>
            </w:r>
            <w:r>
              <w:rPr>
                <w:rFonts w:hint="eastAsia" w:cs="Arial"/>
                <w:sz w:val="21"/>
                <w:szCs w:val="21"/>
                <w:lang w:eastAsia="zh-CN"/>
              </w:rPr>
              <w:t>轻微</w:t>
            </w:r>
            <w:r>
              <w:rPr>
                <w:rFonts w:cs="Arial"/>
                <w:sz w:val="21"/>
                <w:szCs w:val="21"/>
              </w:rPr>
              <w:t>级故障扣</w:t>
            </w:r>
            <w:r>
              <w:rPr>
                <w:rFonts w:hint="eastAsia" w:cs="Arial"/>
                <w:w w:val="130"/>
                <w:sz w:val="21"/>
                <w:szCs w:val="21"/>
              </w:rPr>
              <w:t>0.2</w:t>
            </w:r>
            <w:r>
              <w:rPr>
                <w:rFonts w:cs="Arial"/>
                <w:sz w:val="21"/>
                <w:szCs w:val="21"/>
              </w:rPr>
              <w:t>分。扣完</w:t>
            </w:r>
            <w:r>
              <w:rPr>
                <w:rFonts w:cs="Arial"/>
                <w:w w:val="105"/>
                <w:sz w:val="21"/>
                <w:szCs w:val="21"/>
              </w:rPr>
              <w:t>为止。</w:t>
            </w:r>
          </w:p>
        </w:tc>
        <w:tc>
          <w:tcPr>
            <w:tcW w:w="850" w:type="dxa"/>
            <w:noWrap w:val="0"/>
            <w:vAlign w:val="center"/>
          </w:tcPr>
          <w:p>
            <w:pPr>
              <w:widowControl w:val="0"/>
              <w:spacing w:line="360" w:lineRule="exact"/>
              <w:jc w:val="center"/>
              <w:rPr>
                <w:rFonts w:cs="Arial"/>
                <w:sz w:val="21"/>
                <w:szCs w:val="21"/>
              </w:rPr>
            </w:pPr>
          </w:p>
        </w:tc>
        <w:tc>
          <w:tcPr>
            <w:tcW w:w="679" w:type="dxa"/>
            <w:noWrap w:val="0"/>
            <w:vAlign w:val="center"/>
          </w:tcPr>
          <w:p>
            <w:pPr>
              <w:widowControl w:val="0"/>
              <w:spacing w:line="360" w:lineRule="exact"/>
              <w:jc w:val="center"/>
              <w:rPr>
                <w:rFonts w:cs="Arial"/>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restart"/>
            <w:noWrap w:val="0"/>
            <w:vAlign w:val="center"/>
          </w:tcPr>
          <w:p>
            <w:pPr>
              <w:widowControl w:val="0"/>
              <w:spacing w:line="360" w:lineRule="exact"/>
              <w:jc w:val="center"/>
              <w:rPr>
                <w:rFonts w:cs="Arial"/>
                <w:sz w:val="21"/>
                <w:szCs w:val="21"/>
              </w:rPr>
            </w:pPr>
            <w:r>
              <w:rPr>
                <w:rFonts w:cs="Arial"/>
                <w:w w:val="133"/>
                <w:sz w:val="21"/>
                <w:szCs w:val="21"/>
              </w:rPr>
              <w:t>3</w:t>
            </w:r>
          </w:p>
        </w:tc>
        <w:tc>
          <w:tcPr>
            <w:tcW w:w="1276" w:type="dxa"/>
            <w:vMerge w:val="restart"/>
            <w:noWrap w:val="0"/>
            <w:vAlign w:val="center"/>
          </w:tcPr>
          <w:p>
            <w:pPr>
              <w:widowControl w:val="0"/>
              <w:spacing w:line="360" w:lineRule="exact"/>
              <w:jc w:val="center"/>
              <w:rPr>
                <w:rFonts w:cs="Arial"/>
                <w:sz w:val="21"/>
                <w:szCs w:val="21"/>
              </w:rPr>
            </w:pPr>
            <w:r>
              <w:rPr>
                <w:rFonts w:cs="Arial"/>
                <w:w w:val="105"/>
                <w:sz w:val="21"/>
                <w:szCs w:val="21"/>
              </w:rPr>
              <w:t>日常工作考核</w:t>
            </w:r>
          </w:p>
        </w:tc>
        <w:tc>
          <w:tcPr>
            <w:tcW w:w="709" w:type="dxa"/>
            <w:vMerge w:val="restart"/>
            <w:noWrap w:val="0"/>
            <w:vAlign w:val="center"/>
          </w:tcPr>
          <w:p>
            <w:pPr>
              <w:widowControl w:val="0"/>
              <w:spacing w:line="360" w:lineRule="exact"/>
              <w:jc w:val="center"/>
              <w:rPr>
                <w:rFonts w:cs="Arial"/>
                <w:sz w:val="21"/>
                <w:szCs w:val="21"/>
              </w:rPr>
            </w:pPr>
            <w:r>
              <w:rPr>
                <w:rFonts w:cs="Arial"/>
                <w:w w:val="135"/>
                <w:sz w:val="21"/>
                <w:szCs w:val="21"/>
              </w:rPr>
              <w:t>25</w:t>
            </w:r>
          </w:p>
        </w:tc>
        <w:tc>
          <w:tcPr>
            <w:tcW w:w="4772" w:type="dxa"/>
            <w:gridSpan w:val="2"/>
            <w:noWrap w:val="0"/>
            <w:vAlign w:val="center"/>
          </w:tcPr>
          <w:p>
            <w:pPr>
              <w:widowControl w:val="0"/>
              <w:spacing w:line="360" w:lineRule="exact"/>
              <w:rPr>
                <w:rFonts w:cs="Arial"/>
                <w:sz w:val="21"/>
                <w:szCs w:val="21"/>
              </w:rPr>
            </w:pPr>
            <w:r>
              <w:rPr>
                <w:rFonts w:hint="eastAsia" w:cs="Arial"/>
                <w:w w:val="110"/>
                <w:sz w:val="21"/>
                <w:szCs w:val="21"/>
              </w:rPr>
              <w:t>1</w:t>
            </w:r>
            <w:r>
              <w:rPr>
                <w:rFonts w:cs="Arial"/>
                <w:w w:val="110"/>
                <w:sz w:val="21"/>
                <w:szCs w:val="21"/>
              </w:rPr>
              <w:t>、故障归档管理</w:t>
            </w:r>
            <w:r>
              <w:rPr>
                <w:rFonts w:cs="Arial"/>
                <w:w w:val="105"/>
                <w:sz w:val="21"/>
                <w:szCs w:val="21"/>
              </w:rPr>
              <w:t>，故障发生后应及时整理故障情况、解决方案以及解决情况，归档并及时书面反馈。（共</w:t>
            </w:r>
            <w:r>
              <w:rPr>
                <w:rFonts w:hint="eastAsia" w:cs="Arial"/>
                <w:w w:val="115"/>
                <w:sz w:val="21"/>
                <w:szCs w:val="21"/>
              </w:rPr>
              <w:t>5</w:t>
            </w:r>
            <w:r>
              <w:rPr>
                <w:rFonts w:cs="Arial"/>
                <w:w w:val="105"/>
                <w:sz w:val="21"/>
                <w:szCs w:val="21"/>
              </w:rPr>
              <w:t>分）</w:t>
            </w:r>
          </w:p>
        </w:tc>
        <w:tc>
          <w:tcPr>
            <w:tcW w:w="850" w:type="dxa"/>
            <w:vMerge w:val="restart"/>
            <w:noWrap w:val="0"/>
            <w:vAlign w:val="center"/>
          </w:tcPr>
          <w:p>
            <w:pPr>
              <w:widowControl w:val="0"/>
              <w:spacing w:line="360" w:lineRule="exact"/>
              <w:jc w:val="center"/>
              <w:rPr>
                <w:rFonts w:cs="Arial"/>
                <w:sz w:val="21"/>
                <w:szCs w:val="21"/>
              </w:rPr>
            </w:pPr>
          </w:p>
        </w:tc>
        <w:tc>
          <w:tcPr>
            <w:tcW w:w="679" w:type="dxa"/>
            <w:vMerge w:val="restart"/>
            <w:noWrap w:val="0"/>
            <w:vAlign w:val="center"/>
          </w:tcPr>
          <w:p>
            <w:pPr>
              <w:widowControl w:val="0"/>
              <w:spacing w:line="360" w:lineRule="exact"/>
              <w:jc w:val="center"/>
              <w:rPr>
                <w:rFonts w:cs="Arial"/>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noWrap w:val="0"/>
            <w:vAlign w:val="center"/>
          </w:tcPr>
          <w:p>
            <w:pPr>
              <w:widowControl w:val="0"/>
              <w:spacing w:line="360" w:lineRule="exact"/>
              <w:jc w:val="center"/>
              <w:rPr>
                <w:rFonts w:cs="Arial"/>
                <w:sz w:val="21"/>
                <w:szCs w:val="21"/>
              </w:rPr>
            </w:pPr>
          </w:p>
        </w:tc>
        <w:tc>
          <w:tcPr>
            <w:tcW w:w="1276" w:type="dxa"/>
            <w:vMerge w:val="continue"/>
            <w:noWrap w:val="0"/>
            <w:vAlign w:val="center"/>
          </w:tcPr>
          <w:p>
            <w:pPr>
              <w:widowControl w:val="0"/>
              <w:spacing w:line="360" w:lineRule="exact"/>
              <w:jc w:val="center"/>
              <w:rPr>
                <w:rFonts w:cs="Arial"/>
                <w:sz w:val="21"/>
                <w:szCs w:val="21"/>
              </w:rPr>
            </w:pPr>
          </w:p>
        </w:tc>
        <w:tc>
          <w:tcPr>
            <w:tcW w:w="709" w:type="dxa"/>
            <w:vMerge w:val="continue"/>
            <w:noWrap w:val="0"/>
            <w:vAlign w:val="center"/>
          </w:tcPr>
          <w:p>
            <w:pPr>
              <w:widowControl w:val="0"/>
              <w:spacing w:line="360" w:lineRule="exact"/>
              <w:jc w:val="center"/>
              <w:rPr>
                <w:rFonts w:cs="Arial"/>
                <w:sz w:val="21"/>
                <w:szCs w:val="21"/>
              </w:rPr>
            </w:pPr>
          </w:p>
        </w:tc>
        <w:tc>
          <w:tcPr>
            <w:tcW w:w="4772" w:type="dxa"/>
            <w:gridSpan w:val="2"/>
            <w:noWrap w:val="0"/>
            <w:vAlign w:val="center"/>
          </w:tcPr>
          <w:p>
            <w:pPr>
              <w:widowControl w:val="0"/>
              <w:spacing w:line="360" w:lineRule="exact"/>
              <w:rPr>
                <w:rFonts w:cs="Arial"/>
                <w:sz w:val="21"/>
                <w:szCs w:val="21"/>
              </w:rPr>
            </w:pPr>
            <w:r>
              <w:rPr>
                <w:rFonts w:hint="eastAsia" w:cs="Arial"/>
                <w:w w:val="115"/>
                <w:sz w:val="21"/>
                <w:szCs w:val="21"/>
              </w:rPr>
              <w:t>2</w:t>
            </w:r>
            <w:r>
              <w:rPr>
                <w:rFonts w:cs="Arial"/>
                <w:w w:val="105"/>
                <w:sz w:val="21"/>
                <w:szCs w:val="21"/>
              </w:rPr>
              <w:t>、系统日台账运行资料整理，计入</w:t>
            </w:r>
            <w:r>
              <w:rPr>
                <w:rFonts w:cs="Arial"/>
                <w:w w:val="115"/>
                <w:sz w:val="21"/>
                <w:szCs w:val="21"/>
              </w:rPr>
              <w:t>。（共</w:t>
            </w:r>
            <w:r>
              <w:rPr>
                <w:rFonts w:hint="eastAsia" w:cs="Arial"/>
                <w:w w:val="115"/>
                <w:sz w:val="21"/>
                <w:szCs w:val="21"/>
              </w:rPr>
              <w:t>5</w:t>
            </w:r>
            <w:r>
              <w:rPr>
                <w:rFonts w:cs="Arial"/>
                <w:w w:val="115"/>
                <w:sz w:val="21"/>
                <w:szCs w:val="21"/>
              </w:rPr>
              <w:t>分）</w:t>
            </w:r>
          </w:p>
        </w:tc>
        <w:tc>
          <w:tcPr>
            <w:tcW w:w="850" w:type="dxa"/>
            <w:vMerge w:val="continue"/>
            <w:noWrap w:val="0"/>
            <w:vAlign w:val="center"/>
          </w:tcPr>
          <w:p>
            <w:pPr>
              <w:widowControl w:val="0"/>
              <w:spacing w:line="360" w:lineRule="exact"/>
              <w:jc w:val="center"/>
              <w:rPr>
                <w:rFonts w:cs="Arial"/>
                <w:sz w:val="21"/>
                <w:szCs w:val="21"/>
              </w:rPr>
            </w:pPr>
          </w:p>
        </w:tc>
        <w:tc>
          <w:tcPr>
            <w:tcW w:w="679" w:type="dxa"/>
            <w:vMerge w:val="continue"/>
            <w:noWrap w:val="0"/>
            <w:vAlign w:val="center"/>
          </w:tcPr>
          <w:p>
            <w:pPr>
              <w:widowControl w:val="0"/>
              <w:spacing w:line="360" w:lineRule="exact"/>
              <w:jc w:val="center"/>
              <w:rPr>
                <w:rFonts w:cs="Arial"/>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noWrap w:val="0"/>
            <w:vAlign w:val="center"/>
          </w:tcPr>
          <w:p>
            <w:pPr>
              <w:widowControl w:val="0"/>
              <w:spacing w:line="360" w:lineRule="exact"/>
              <w:jc w:val="center"/>
              <w:rPr>
                <w:rFonts w:cs="Arial"/>
                <w:sz w:val="21"/>
                <w:szCs w:val="21"/>
              </w:rPr>
            </w:pPr>
          </w:p>
        </w:tc>
        <w:tc>
          <w:tcPr>
            <w:tcW w:w="1276" w:type="dxa"/>
            <w:vMerge w:val="continue"/>
            <w:noWrap w:val="0"/>
            <w:vAlign w:val="center"/>
          </w:tcPr>
          <w:p>
            <w:pPr>
              <w:widowControl w:val="0"/>
              <w:spacing w:line="360" w:lineRule="exact"/>
              <w:jc w:val="center"/>
              <w:rPr>
                <w:rFonts w:cs="Arial"/>
                <w:sz w:val="21"/>
                <w:szCs w:val="21"/>
              </w:rPr>
            </w:pPr>
          </w:p>
        </w:tc>
        <w:tc>
          <w:tcPr>
            <w:tcW w:w="709" w:type="dxa"/>
            <w:vMerge w:val="continue"/>
            <w:noWrap w:val="0"/>
            <w:vAlign w:val="center"/>
          </w:tcPr>
          <w:p>
            <w:pPr>
              <w:widowControl w:val="0"/>
              <w:spacing w:line="360" w:lineRule="exact"/>
              <w:jc w:val="center"/>
              <w:rPr>
                <w:rFonts w:cs="Arial"/>
                <w:sz w:val="21"/>
                <w:szCs w:val="21"/>
              </w:rPr>
            </w:pPr>
          </w:p>
        </w:tc>
        <w:tc>
          <w:tcPr>
            <w:tcW w:w="4772" w:type="dxa"/>
            <w:gridSpan w:val="2"/>
            <w:noWrap w:val="0"/>
            <w:vAlign w:val="center"/>
          </w:tcPr>
          <w:p>
            <w:pPr>
              <w:widowControl w:val="0"/>
              <w:spacing w:line="360" w:lineRule="exact"/>
              <w:rPr>
                <w:rFonts w:cs="Arial"/>
                <w:sz w:val="21"/>
                <w:szCs w:val="21"/>
              </w:rPr>
            </w:pPr>
            <w:r>
              <w:rPr>
                <w:rFonts w:hint="eastAsia" w:cs="Arial"/>
                <w:w w:val="115"/>
                <w:sz w:val="21"/>
                <w:szCs w:val="21"/>
              </w:rPr>
              <w:t>3</w:t>
            </w:r>
            <w:r>
              <w:rPr>
                <w:rFonts w:cs="Arial"/>
                <w:w w:val="105"/>
                <w:sz w:val="21"/>
                <w:szCs w:val="21"/>
              </w:rPr>
              <w:t>、日常数据库整理入库存档工作。</w:t>
            </w:r>
            <w:r>
              <w:rPr>
                <w:rFonts w:cs="Arial"/>
                <w:w w:val="115"/>
                <w:sz w:val="21"/>
                <w:szCs w:val="21"/>
              </w:rPr>
              <w:t>（共</w:t>
            </w:r>
            <w:r>
              <w:rPr>
                <w:rFonts w:hint="eastAsia" w:cs="Arial"/>
                <w:w w:val="115"/>
                <w:sz w:val="21"/>
                <w:szCs w:val="21"/>
              </w:rPr>
              <w:t>5</w:t>
            </w:r>
            <w:r>
              <w:rPr>
                <w:rFonts w:cs="Arial"/>
                <w:w w:val="115"/>
                <w:sz w:val="21"/>
                <w:szCs w:val="21"/>
              </w:rPr>
              <w:t>分）</w:t>
            </w:r>
          </w:p>
        </w:tc>
        <w:tc>
          <w:tcPr>
            <w:tcW w:w="850" w:type="dxa"/>
            <w:vMerge w:val="continue"/>
            <w:noWrap w:val="0"/>
            <w:vAlign w:val="center"/>
          </w:tcPr>
          <w:p>
            <w:pPr>
              <w:widowControl w:val="0"/>
              <w:spacing w:line="360" w:lineRule="exact"/>
              <w:jc w:val="center"/>
              <w:rPr>
                <w:rFonts w:cs="Arial"/>
                <w:sz w:val="21"/>
                <w:szCs w:val="21"/>
              </w:rPr>
            </w:pPr>
          </w:p>
        </w:tc>
        <w:tc>
          <w:tcPr>
            <w:tcW w:w="679" w:type="dxa"/>
            <w:vMerge w:val="continue"/>
            <w:noWrap w:val="0"/>
            <w:vAlign w:val="center"/>
          </w:tcPr>
          <w:p>
            <w:pPr>
              <w:widowControl w:val="0"/>
              <w:spacing w:line="360" w:lineRule="exact"/>
              <w:jc w:val="center"/>
              <w:rPr>
                <w:rFonts w:cs="Arial"/>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noWrap w:val="0"/>
            <w:vAlign w:val="center"/>
          </w:tcPr>
          <w:p>
            <w:pPr>
              <w:widowControl w:val="0"/>
              <w:spacing w:line="360" w:lineRule="exact"/>
              <w:jc w:val="center"/>
              <w:rPr>
                <w:rFonts w:cs="Arial"/>
                <w:sz w:val="21"/>
                <w:szCs w:val="21"/>
              </w:rPr>
            </w:pPr>
          </w:p>
        </w:tc>
        <w:tc>
          <w:tcPr>
            <w:tcW w:w="1276" w:type="dxa"/>
            <w:vMerge w:val="continue"/>
            <w:noWrap w:val="0"/>
            <w:vAlign w:val="center"/>
          </w:tcPr>
          <w:p>
            <w:pPr>
              <w:widowControl w:val="0"/>
              <w:spacing w:line="360" w:lineRule="exact"/>
              <w:jc w:val="center"/>
              <w:rPr>
                <w:rFonts w:cs="Arial"/>
                <w:sz w:val="21"/>
                <w:szCs w:val="21"/>
              </w:rPr>
            </w:pPr>
          </w:p>
        </w:tc>
        <w:tc>
          <w:tcPr>
            <w:tcW w:w="709" w:type="dxa"/>
            <w:vMerge w:val="continue"/>
            <w:noWrap w:val="0"/>
            <w:vAlign w:val="center"/>
          </w:tcPr>
          <w:p>
            <w:pPr>
              <w:widowControl w:val="0"/>
              <w:spacing w:line="360" w:lineRule="exact"/>
              <w:jc w:val="center"/>
              <w:rPr>
                <w:rFonts w:cs="Arial"/>
                <w:sz w:val="21"/>
                <w:szCs w:val="21"/>
              </w:rPr>
            </w:pPr>
          </w:p>
        </w:tc>
        <w:tc>
          <w:tcPr>
            <w:tcW w:w="4772" w:type="dxa"/>
            <w:gridSpan w:val="2"/>
            <w:noWrap w:val="0"/>
            <w:vAlign w:val="center"/>
          </w:tcPr>
          <w:p>
            <w:pPr>
              <w:widowControl w:val="0"/>
              <w:spacing w:line="360" w:lineRule="exact"/>
              <w:rPr>
                <w:rFonts w:cs="Arial"/>
                <w:sz w:val="21"/>
                <w:szCs w:val="21"/>
              </w:rPr>
            </w:pPr>
            <w:r>
              <w:rPr>
                <w:rFonts w:hint="eastAsia" w:cs="Arial"/>
                <w:w w:val="110"/>
                <w:sz w:val="21"/>
                <w:szCs w:val="21"/>
              </w:rPr>
              <w:t>4</w:t>
            </w:r>
            <w:r>
              <w:rPr>
                <w:rFonts w:cs="Arial"/>
                <w:w w:val="110"/>
                <w:sz w:val="21"/>
                <w:szCs w:val="21"/>
              </w:rPr>
              <w:t>、系统</w:t>
            </w:r>
            <w:r>
              <w:rPr>
                <w:rFonts w:hint="eastAsia" w:cs="Arial"/>
                <w:w w:val="110"/>
                <w:sz w:val="21"/>
                <w:szCs w:val="21"/>
                <w:lang w:eastAsia="zh-CN"/>
              </w:rPr>
              <w:t>季度</w:t>
            </w:r>
            <w:r>
              <w:rPr>
                <w:rFonts w:cs="Arial"/>
                <w:w w:val="105"/>
                <w:sz w:val="21"/>
                <w:szCs w:val="21"/>
              </w:rPr>
              <w:t>情况总结。（共</w:t>
            </w:r>
            <w:r>
              <w:rPr>
                <w:rFonts w:hint="eastAsia" w:cs="Arial"/>
                <w:w w:val="105"/>
                <w:sz w:val="21"/>
                <w:szCs w:val="21"/>
              </w:rPr>
              <w:t>5</w:t>
            </w:r>
            <w:r>
              <w:rPr>
                <w:rFonts w:cs="Arial"/>
                <w:w w:val="115"/>
                <w:sz w:val="21"/>
                <w:szCs w:val="21"/>
              </w:rPr>
              <w:t>分）</w:t>
            </w:r>
          </w:p>
        </w:tc>
        <w:tc>
          <w:tcPr>
            <w:tcW w:w="850" w:type="dxa"/>
            <w:vMerge w:val="continue"/>
            <w:noWrap w:val="0"/>
            <w:vAlign w:val="center"/>
          </w:tcPr>
          <w:p>
            <w:pPr>
              <w:widowControl w:val="0"/>
              <w:spacing w:line="360" w:lineRule="exact"/>
              <w:jc w:val="center"/>
              <w:rPr>
                <w:rFonts w:cs="Arial"/>
                <w:sz w:val="21"/>
                <w:szCs w:val="21"/>
              </w:rPr>
            </w:pPr>
          </w:p>
        </w:tc>
        <w:tc>
          <w:tcPr>
            <w:tcW w:w="679" w:type="dxa"/>
            <w:vMerge w:val="continue"/>
            <w:noWrap w:val="0"/>
            <w:vAlign w:val="center"/>
          </w:tcPr>
          <w:p>
            <w:pPr>
              <w:widowControl w:val="0"/>
              <w:spacing w:line="360" w:lineRule="exact"/>
              <w:jc w:val="center"/>
              <w:rPr>
                <w:rFonts w:cs="Arial"/>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noWrap w:val="0"/>
            <w:vAlign w:val="center"/>
          </w:tcPr>
          <w:p>
            <w:pPr>
              <w:widowControl w:val="0"/>
              <w:spacing w:line="360" w:lineRule="exact"/>
              <w:jc w:val="center"/>
              <w:rPr>
                <w:rFonts w:cs="Arial"/>
                <w:sz w:val="21"/>
                <w:szCs w:val="21"/>
              </w:rPr>
            </w:pPr>
          </w:p>
        </w:tc>
        <w:tc>
          <w:tcPr>
            <w:tcW w:w="1276" w:type="dxa"/>
            <w:vMerge w:val="continue"/>
            <w:noWrap w:val="0"/>
            <w:vAlign w:val="center"/>
          </w:tcPr>
          <w:p>
            <w:pPr>
              <w:widowControl w:val="0"/>
              <w:spacing w:line="360" w:lineRule="exact"/>
              <w:jc w:val="center"/>
              <w:rPr>
                <w:rFonts w:cs="Arial"/>
                <w:sz w:val="21"/>
                <w:szCs w:val="21"/>
              </w:rPr>
            </w:pPr>
          </w:p>
        </w:tc>
        <w:tc>
          <w:tcPr>
            <w:tcW w:w="709" w:type="dxa"/>
            <w:vMerge w:val="continue"/>
            <w:noWrap w:val="0"/>
            <w:vAlign w:val="center"/>
          </w:tcPr>
          <w:p>
            <w:pPr>
              <w:widowControl w:val="0"/>
              <w:spacing w:line="360" w:lineRule="exact"/>
              <w:jc w:val="center"/>
              <w:rPr>
                <w:rFonts w:cs="Arial"/>
                <w:sz w:val="21"/>
                <w:szCs w:val="21"/>
              </w:rPr>
            </w:pPr>
          </w:p>
        </w:tc>
        <w:tc>
          <w:tcPr>
            <w:tcW w:w="4772" w:type="dxa"/>
            <w:gridSpan w:val="2"/>
            <w:noWrap w:val="0"/>
            <w:vAlign w:val="center"/>
          </w:tcPr>
          <w:p>
            <w:pPr>
              <w:widowControl w:val="0"/>
              <w:spacing w:line="360" w:lineRule="exact"/>
              <w:rPr>
                <w:rFonts w:cs="Arial"/>
                <w:sz w:val="21"/>
                <w:szCs w:val="21"/>
              </w:rPr>
            </w:pPr>
            <w:r>
              <w:rPr>
                <w:rFonts w:hint="eastAsia" w:cs="Arial"/>
                <w:w w:val="115"/>
                <w:sz w:val="21"/>
                <w:szCs w:val="21"/>
              </w:rPr>
              <w:t>5</w:t>
            </w:r>
            <w:r>
              <w:rPr>
                <w:rFonts w:cs="Arial"/>
                <w:w w:val="105"/>
                <w:sz w:val="21"/>
                <w:szCs w:val="21"/>
              </w:rPr>
              <w:t>、甲方交办运维</w:t>
            </w:r>
            <w:r>
              <w:rPr>
                <w:rFonts w:cs="Arial"/>
                <w:spacing w:val="-3"/>
                <w:sz w:val="21"/>
                <w:szCs w:val="21"/>
              </w:rPr>
              <w:t>相关任务完成情况</w:t>
            </w:r>
            <w:r>
              <w:rPr>
                <w:rFonts w:cs="Arial"/>
                <w:spacing w:val="-5"/>
                <w:w w:val="105"/>
                <w:sz w:val="21"/>
                <w:szCs w:val="21"/>
              </w:rPr>
              <w:t>打分。</w:t>
            </w:r>
            <w:r>
              <w:rPr>
                <w:rFonts w:cs="Arial"/>
                <w:w w:val="105"/>
                <w:sz w:val="21"/>
                <w:szCs w:val="21"/>
              </w:rPr>
              <w:t>（共</w:t>
            </w:r>
            <w:r>
              <w:rPr>
                <w:rFonts w:hint="eastAsia" w:cs="Arial"/>
                <w:w w:val="105"/>
                <w:sz w:val="21"/>
                <w:szCs w:val="21"/>
              </w:rPr>
              <w:t>5</w:t>
            </w:r>
            <w:r>
              <w:rPr>
                <w:rFonts w:cs="Arial"/>
                <w:w w:val="105"/>
                <w:sz w:val="21"/>
                <w:szCs w:val="21"/>
              </w:rPr>
              <w:t>分）</w:t>
            </w:r>
          </w:p>
        </w:tc>
        <w:tc>
          <w:tcPr>
            <w:tcW w:w="850" w:type="dxa"/>
            <w:vMerge w:val="continue"/>
            <w:noWrap w:val="0"/>
            <w:vAlign w:val="center"/>
          </w:tcPr>
          <w:p>
            <w:pPr>
              <w:widowControl w:val="0"/>
              <w:spacing w:line="360" w:lineRule="exact"/>
              <w:jc w:val="center"/>
              <w:rPr>
                <w:rFonts w:cs="Arial"/>
                <w:sz w:val="21"/>
                <w:szCs w:val="21"/>
              </w:rPr>
            </w:pPr>
          </w:p>
        </w:tc>
        <w:tc>
          <w:tcPr>
            <w:tcW w:w="679" w:type="dxa"/>
            <w:vMerge w:val="continue"/>
            <w:noWrap w:val="0"/>
            <w:vAlign w:val="center"/>
          </w:tcPr>
          <w:p>
            <w:pPr>
              <w:widowControl w:val="0"/>
              <w:spacing w:line="360" w:lineRule="exact"/>
              <w:jc w:val="center"/>
              <w:rPr>
                <w:rFonts w:cs="Arial"/>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restart"/>
            <w:noWrap w:val="0"/>
            <w:vAlign w:val="center"/>
          </w:tcPr>
          <w:p>
            <w:pPr>
              <w:widowControl w:val="0"/>
              <w:spacing w:line="360" w:lineRule="exact"/>
              <w:jc w:val="center"/>
              <w:rPr>
                <w:rFonts w:cs="Arial"/>
                <w:sz w:val="21"/>
                <w:szCs w:val="21"/>
              </w:rPr>
            </w:pPr>
            <w:r>
              <w:rPr>
                <w:rFonts w:cs="Arial"/>
                <w:w w:val="133"/>
                <w:sz w:val="21"/>
                <w:szCs w:val="21"/>
              </w:rPr>
              <w:t>4</w:t>
            </w:r>
          </w:p>
        </w:tc>
        <w:tc>
          <w:tcPr>
            <w:tcW w:w="1276" w:type="dxa"/>
            <w:vMerge w:val="restart"/>
            <w:noWrap w:val="0"/>
            <w:vAlign w:val="center"/>
          </w:tcPr>
          <w:p>
            <w:pPr>
              <w:widowControl w:val="0"/>
              <w:spacing w:line="360" w:lineRule="exact"/>
              <w:jc w:val="center"/>
              <w:rPr>
                <w:rFonts w:cs="Arial"/>
                <w:sz w:val="21"/>
                <w:szCs w:val="21"/>
              </w:rPr>
            </w:pPr>
            <w:r>
              <w:rPr>
                <w:rFonts w:cs="Arial"/>
                <w:w w:val="105"/>
                <w:sz w:val="21"/>
                <w:szCs w:val="21"/>
              </w:rPr>
              <w:t>系统平台运行状态</w:t>
            </w:r>
          </w:p>
        </w:tc>
        <w:tc>
          <w:tcPr>
            <w:tcW w:w="709" w:type="dxa"/>
            <w:vMerge w:val="restart"/>
            <w:noWrap w:val="0"/>
            <w:vAlign w:val="center"/>
          </w:tcPr>
          <w:p>
            <w:pPr>
              <w:widowControl w:val="0"/>
              <w:spacing w:line="360" w:lineRule="exact"/>
              <w:jc w:val="center"/>
              <w:rPr>
                <w:rFonts w:cs="Arial"/>
                <w:sz w:val="21"/>
                <w:szCs w:val="21"/>
              </w:rPr>
            </w:pPr>
            <w:r>
              <w:rPr>
                <w:rFonts w:cs="Arial"/>
                <w:w w:val="133"/>
                <w:sz w:val="21"/>
                <w:szCs w:val="21"/>
              </w:rPr>
              <w:t>5</w:t>
            </w:r>
          </w:p>
        </w:tc>
        <w:tc>
          <w:tcPr>
            <w:tcW w:w="4772" w:type="dxa"/>
            <w:gridSpan w:val="2"/>
            <w:noWrap w:val="0"/>
            <w:vAlign w:val="center"/>
          </w:tcPr>
          <w:p>
            <w:pPr>
              <w:widowControl w:val="0"/>
              <w:spacing w:line="360" w:lineRule="exact"/>
              <w:rPr>
                <w:rFonts w:cs="Arial"/>
                <w:sz w:val="21"/>
                <w:szCs w:val="21"/>
              </w:rPr>
            </w:pPr>
            <w:r>
              <w:rPr>
                <w:rFonts w:hint="eastAsia" w:cs="Arial"/>
                <w:w w:val="115"/>
                <w:sz w:val="21"/>
                <w:szCs w:val="21"/>
              </w:rPr>
              <w:t>1</w:t>
            </w:r>
            <w:r>
              <w:rPr>
                <w:rFonts w:cs="Arial"/>
                <w:w w:val="105"/>
                <w:sz w:val="21"/>
                <w:szCs w:val="21"/>
              </w:rPr>
              <w:t>、校核云平台数据是否异常，并及时反馈。（共</w:t>
            </w:r>
            <w:r>
              <w:rPr>
                <w:rFonts w:hint="eastAsia" w:cs="Arial"/>
                <w:w w:val="115"/>
                <w:sz w:val="21"/>
                <w:szCs w:val="21"/>
              </w:rPr>
              <w:t>3</w:t>
            </w:r>
            <w:r>
              <w:rPr>
                <w:rFonts w:cs="Arial"/>
                <w:w w:val="115"/>
                <w:sz w:val="21"/>
                <w:szCs w:val="21"/>
              </w:rPr>
              <w:t>分）</w:t>
            </w:r>
          </w:p>
        </w:tc>
        <w:tc>
          <w:tcPr>
            <w:tcW w:w="850" w:type="dxa"/>
            <w:noWrap w:val="0"/>
            <w:vAlign w:val="center"/>
          </w:tcPr>
          <w:p>
            <w:pPr>
              <w:widowControl w:val="0"/>
              <w:spacing w:line="360" w:lineRule="exact"/>
              <w:jc w:val="center"/>
              <w:rPr>
                <w:rFonts w:cs="Arial"/>
                <w:sz w:val="21"/>
                <w:szCs w:val="21"/>
              </w:rPr>
            </w:pPr>
          </w:p>
        </w:tc>
        <w:tc>
          <w:tcPr>
            <w:tcW w:w="679" w:type="dxa"/>
            <w:noWrap w:val="0"/>
            <w:vAlign w:val="center"/>
          </w:tcPr>
          <w:p>
            <w:pPr>
              <w:widowControl w:val="0"/>
              <w:spacing w:line="360" w:lineRule="exact"/>
              <w:jc w:val="center"/>
              <w:rPr>
                <w:rFonts w:cs="Arial"/>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noWrap w:val="0"/>
            <w:vAlign w:val="center"/>
          </w:tcPr>
          <w:p>
            <w:pPr>
              <w:widowControl w:val="0"/>
              <w:spacing w:line="360" w:lineRule="exact"/>
              <w:jc w:val="center"/>
              <w:rPr>
                <w:rFonts w:cs="Arial"/>
                <w:sz w:val="21"/>
                <w:szCs w:val="21"/>
              </w:rPr>
            </w:pPr>
          </w:p>
        </w:tc>
        <w:tc>
          <w:tcPr>
            <w:tcW w:w="1276" w:type="dxa"/>
            <w:vMerge w:val="continue"/>
            <w:noWrap w:val="0"/>
            <w:vAlign w:val="center"/>
          </w:tcPr>
          <w:p>
            <w:pPr>
              <w:widowControl w:val="0"/>
              <w:spacing w:line="360" w:lineRule="exact"/>
              <w:jc w:val="center"/>
              <w:rPr>
                <w:rFonts w:cs="Arial"/>
                <w:sz w:val="21"/>
                <w:szCs w:val="21"/>
              </w:rPr>
            </w:pPr>
          </w:p>
        </w:tc>
        <w:tc>
          <w:tcPr>
            <w:tcW w:w="709" w:type="dxa"/>
            <w:vMerge w:val="continue"/>
            <w:noWrap w:val="0"/>
            <w:vAlign w:val="center"/>
          </w:tcPr>
          <w:p>
            <w:pPr>
              <w:widowControl w:val="0"/>
              <w:spacing w:line="360" w:lineRule="exact"/>
              <w:jc w:val="center"/>
              <w:rPr>
                <w:rFonts w:cs="Arial"/>
                <w:sz w:val="21"/>
                <w:szCs w:val="21"/>
              </w:rPr>
            </w:pPr>
          </w:p>
        </w:tc>
        <w:tc>
          <w:tcPr>
            <w:tcW w:w="4772" w:type="dxa"/>
            <w:gridSpan w:val="2"/>
            <w:noWrap w:val="0"/>
            <w:vAlign w:val="center"/>
          </w:tcPr>
          <w:p>
            <w:pPr>
              <w:widowControl w:val="0"/>
              <w:spacing w:line="360" w:lineRule="exact"/>
              <w:rPr>
                <w:rFonts w:cs="Arial"/>
                <w:sz w:val="21"/>
                <w:szCs w:val="21"/>
              </w:rPr>
            </w:pPr>
            <w:r>
              <w:rPr>
                <w:rFonts w:hint="eastAsia" w:cs="Arial"/>
                <w:w w:val="105"/>
                <w:sz w:val="21"/>
                <w:szCs w:val="21"/>
              </w:rPr>
              <w:t>2</w:t>
            </w:r>
            <w:r>
              <w:rPr>
                <w:rFonts w:cs="Arial"/>
                <w:w w:val="105"/>
                <w:sz w:val="21"/>
                <w:szCs w:val="21"/>
              </w:rPr>
              <w:t>、服务器巡</w:t>
            </w:r>
            <w:r>
              <w:rPr>
                <w:rFonts w:cs="Arial"/>
                <w:w w:val="110"/>
                <w:sz w:val="21"/>
                <w:szCs w:val="21"/>
              </w:rPr>
              <w:t>检如有故障</w:t>
            </w:r>
            <w:r>
              <w:rPr>
                <w:rFonts w:hint="eastAsia" w:cs="Arial"/>
                <w:w w:val="110"/>
                <w:sz w:val="21"/>
                <w:szCs w:val="21"/>
              </w:rPr>
              <w:t>12</w:t>
            </w:r>
            <w:r>
              <w:rPr>
                <w:rFonts w:cs="Arial"/>
                <w:w w:val="110"/>
                <w:sz w:val="21"/>
                <w:szCs w:val="21"/>
              </w:rPr>
              <w:t>小</w:t>
            </w:r>
            <w:r>
              <w:rPr>
                <w:rFonts w:cs="Arial"/>
                <w:w w:val="105"/>
                <w:sz w:val="21"/>
                <w:szCs w:val="21"/>
              </w:rPr>
              <w:t>时内上报。（共</w:t>
            </w:r>
            <w:r>
              <w:rPr>
                <w:rFonts w:hint="eastAsia" w:cs="Arial"/>
                <w:w w:val="105"/>
                <w:sz w:val="21"/>
                <w:szCs w:val="21"/>
              </w:rPr>
              <w:t>2</w:t>
            </w:r>
            <w:r>
              <w:rPr>
                <w:rFonts w:cs="Arial"/>
                <w:w w:val="105"/>
                <w:sz w:val="21"/>
                <w:szCs w:val="21"/>
              </w:rPr>
              <w:t>分）</w:t>
            </w:r>
          </w:p>
        </w:tc>
        <w:tc>
          <w:tcPr>
            <w:tcW w:w="850" w:type="dxa"/>
            <w:noWrap w:val="0"/>
            <w:vAlign w:val="center"/>
          </w:tcPr>
          <w:p>
            <w:pPr>
              <w:widowControl w:val="0"/>
              <w:spacing w:line="360" w:lineRule="exact"/>
              <w:jc w:val="center"/>
              <w:rPr>
                <w:rFonts w:cs="Arial"/>
                <w:sz w:val="21"/>
                <w:szCs w:val="21"/>
              </w:rPr>
            </w:pPr>
          </w:p>
        </w:tc>
        <w:tc>
          <w:tcPr>
            <w:tcW w:w="679" w:type="dxa"/>
            <w:noWrap w:val="0"/>
            <w:vAlign w:val="center"/>
          </w:tcPr>
          <w:p>
            <w:pPr>
              <w:widowControl w:val="0"/>
              <w:spacing w:line="360" w:lineRule="exact"/>
              <w:jc w:val="center"/>
              <w:rPr>
                <w:rFonts w:cs="Arial"/>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noWrap w:val="0"/>
            <w:vAlign w:val="center"/>
          </w:tcPr>
          <w:p>
            <w:pPr>
              <w:widowControl w:val="0"/>
              <w:spacing w:line="360" w:lineRule="exact"/>
              <w:jc w:val="center"/>
              <w:rPr>
                <w:rFonts w:cs="Arial"/>
                <w:sz w:val="21"/>
                <w:szCs w:val="21"/>
              </w:rPr>
            </w:pPr>
          </w:p>
        </w:tc>
        <w:tc>
          <w:tcPr>
            <w:tcW w:w="1276" w:type="dxa"/>
            <w:noWrap w:val="0"/>
            <w:vAlign w:val="center"/>
          </w:tcPr>
          <w:p>
            <w:pPr>
              <w:widowControl w:val="0"/>
              <w:spacing w:line="360" w:lineRule="exact"/>
              <w:jc w:val="center"/>
              <w:rPr>
                <w:rFonts w:cs="Arial"/>
                <w:sz w:val="21"/>
                <w:szCs w:val="21"/>
              </w:rPr>
            </w:pPr>
            <w:r>
              <w:rPr>
                <w:rFonts w:cs="Arial"/>
                <w:w w:val="105"/>
                <w:sz w:val="21"/>
                <w:szCs w:val="21"/>
              </w:rPr>
              <w:t>投诉或通报情况</w:t>
            </w:r>
          </w:p>
        </w:tc>
        <w:tc>
          <w:tcPr>
            <w:tcW w:w="709" w:type="dxa"/>
            <w:noWrap w:val="0"/>
            <w:vAlign w:val="center"/>
          </w:tcPr>
          <w:p>
            <w:pPr>
              <w:widowControl w:val="0"/>
              <w:spacing w:line="360" w:lineRule="exact"/>
              <w:jc w:val="center"/>
              <w:rPr>
                <w:rFonts w:cs="Arial"/>
                <w:sz w:val="21"/>
                <w:szCs w:val="21"/>
              </w:rPr>
            </w:pPr>
            <w:r>
              <w:rPr>
                <w:rFonts w:cs="Arial"/>
                <w:w w:val="135"/>
                <w:sz w:val="21"/>
                <w:szCs w:val="21"/>
              </w:rPr>
              <w:t>10</w:t>
            </w:r>
          </w:p>
        </w:tc>
        <w:tc>
          <w:tcPr>
            <w:tcW w:w="4772" w:type="dxa"/>
            <w:gridSpan w:val="2"/>
            <w:noWrap w:val="0"/>
            <w:vAlign w:val="center"/>
          </w:tcPr>
          <w:p>
            <w:pPr>
              <w:widowControl w:val="0"/>
              <w:spacing w:line="360" w:lineRule="exact"/>
              <w:rPr>
                <w:rFonts w:cs="Arial"/>
                <w:sz w:val="21"/>
                <w:szCs w:val="21"/>
              </w:rPr>
            </w:pPr>
            <w:r>
              <w:rPr>
                <w:rFonts w:cs="Arial"/>
                <w:spacing w:val="-3"/>
                <w:w w:val="105"/>
                <w:sz w:val="21"/>
                <w:szCs w:val="21"/>
              </w:rPr>
              <w:t>收到一次投诉扣一分，扣完为止；甲方</w:t>
            </w:r>
            <w:r>
              <w:rPr>
                <w:rFonts w:cs="Arial"/>
                <w:spacing w:val="-3"/>
                <w:sz w:val="21"/>
                <w:szCs w:val="21"/>
              </w:rPr>
              <w:t>被网信、国安</w:t>
            </w:r>
            <w:r>
              <w:rPr>
                <w:rFonts w:cs="Arial"/>
                <w:sz w:val="21"/>
                <w:szCs w:val="21"/>
              </w:rPr>
              <w:t>、网安等部门通报</w:t>
            </w:r>
            <w:r>
              <w:rPr>
                <w:rFonts w:cs="Arial"/>
                <w:w w:val="115"/>
                <w:sz w:val="21"/>
                <w:szCs w:val="21"/>
              </w:rPr>
              <w:t>，</w:t>
            </w:r>
            <w:r>
              <w:rPr>
                <w:rFonts w:cs="Arial"/>
                <w:iCs/>
                <w:sz w:val="21"/>
                <w:szCs w:val="21"/>
              </w:rPr>
              <w:t>每收到</w:t>
            </w:r>
            <w:r>
              <w:rPr>
                <w:rFonts w:hint="eastAsia" w:cs="Arial"/>
                <w:iCs/>
                <w:sz w:val="21"/>
                <w:szCs w:val="21"/>
              </w:rPr>
              <w:t>1</w:t>
            </w:r>
            <w:r>
              <w:rPr>
                <w:rFonts w:cs="Arial"/>
                <w:iCs/>
                <w:sz w:val="21"/>
                <w:szCs w:val="21"/>
              </w:rPr>
              <w:t>次扣</w:t>
            </w:r>
            <w:r>
              <w:rPr>
                <w:rFonts w:hint="eastAsia" w:cs="Arial"/>
                <w:iCs/>
                <w:sz w:val="21"/>
                <w:szCs w:val="21"/>
              </w:rPr>
              <w:t>3</w:t>
            </w:r>
            <w:r>
              <w:rPr>
                <w:rFonts w:cs="Arial"/>
                <w:iCs/>
                <w:sz w:val="21"/>
                <w:szCs w:val="21"/>
              </w:rPr>
              <w:t>分，</w:t>
            </w:r>
            <w:r>
              <w:rPr>
                <w:rFonts w:cs="Arial"/>
                <w:w w:val="105"/>
                <w:sz w:val="21"/>
                <w:szCs w:val="21"/>
              </w:rPr>
              <w:t>扣完为止。（</w:t>
            </w:r>
            <w:r>
              <w:rPr>
                <w:rFonts w:hint="eastAsia" w:cs="Arial"/>
                <w:w w:val="115"/>
                <w:sz w:val="21"/>
                <w:szCs w:val="21"/>
              </w:rPr>
              <w:t>10</w:t>
            </w:r>
            <w:r>
              <w:rPr>
                <w:rFonts w:cs="Arial"/>
                <w:w w:val="115"/>
                <w:sz w:val="21"/>
                <w:szCs w:val="21"/>
              </w:rPr>
              <w:t>分）</w:t>
            </w:r>
          </w:p>
        </w:tc>
        <w:tc>
          <w:tcPr>
            <w:tcW w:w="850" w:type="dxa"/>
            <w:noWrap w:val="0"/>
            <w:vAlign w:val="center"/>
          </w:tcPr>
          <w:p>
            <w:pPr>
              <w:widowControl w:val="0"/>
              <w:spacing w:line="360" w:lineRule="exact"/>
              <w:jc w:val="center"/>
              <w:rPr>
                <w:rFonts w:cs="Arial"/>
                <w:sz w:val="21"/>
                <w:szCs w:val="21"/>
              </w:rPr>
            </w:pPr>
          </w:p>
        </w:tc>
        <w:tc>
          <w:tcPr>
            <w:tcW w:w="679" w:type="dxa"/>
            <w:noWrap w:val="0"/>
            <w:vAlign w:val="center"/>
          </w:tcPr>
          <w:p>
            <w:pPr>
              <w:widowControl w:val="0"/>
              <w:spacing w:line="360" w:lineRule="exact"/>
              <w:jc w:val="center"/>
              <w:rPr>
                <w:rFonts w:cs="Arial"/>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center"/>
          </w:tcPr>
          <w:p>
            <w:pPr>
              <w:widowControl w:val="0"/>
              <w:spacing w:line="360" w:lineRule="exact"/>
              <w:jc w:val="center"/>
              <w:rPr>
                <w:rFonts w:cs="Arial"/>
                <w:sz w:val="21"/>
                <w:szCs w:val="21"/>
              </w:rPr>
            </w:pPr>
            <w:r>
              <w:rPr>
                <w:rFonts w:cs="Arial"/>
                <w:w w:val="105"/>
                <w:sz w:val="21"/>
                <w:szCs w:val="21"/>
              </w:rPr>
              <w:t>合计</w:t>
            </w:r>
          </w:p>
        </w:tc>
        <w:tc>
          <w:tcPr>
            <w:tcW w:w="1276" w:type="dxa"/>
            <w:noWrap w:val="0"/>
            <w:vAlign w:val="center"/>
          </w:tcPr>
          <w:p>
            <w:pPr>
              <w:widowControl w:val="0"/>
              <w:spacing w:line="360" w:lineRule="exact"/>
              <w:jc w:val="center"/>
              <w:rPr>
                <w:rFonts w:cs="Arial"/>
                <w:sz w:val="21"/>
                <w:szCs w:val="21"/>
              </w:rPr>
            </w:pPr>
            <w:r>
              <w:rPr>
                <w:rFonts w:cs="Arial"/>
                <w:w w:val="135"/>
                <w:sz w:val="21"/>
                <w:szCs w:val="21"/>
              </w:rPr>
              <w:t>100</w:t>
            </w:r>
          </w:p>
        </w:tc>
        <w:tc>
          <w:tcPr>
            <w:tcW w:w="709" w:type="dxa"/>
            <w:noWrap w:val="0"/>
            <w:vAlign w:val="center"/>
          </w:tcPr>
          <w:p>
            <w:pPr>
              <w:widowControl w:val="0"/>
              <w:spacing w:line="360" w:lineRule="exact"/>
              <w:jc w:val="center"/>
              <w:rPr>
                <w:rFonts w:cs="Arial"/>
                <w:sz w:val="21"/>
                <w:szCs w:val="21"/>
              </w:rPr>
            </w:pPr>
            <w:r>
              <w:rPr>
                <w:rFonts w:cs="Arial"/>
                <w:w w:val="135"/>
                <w:sz w:val="21"/>
                <w:szCs w:val="21"/>
              </w:rPr>
              <w:t>100</w:t>
            </w:r>
          </w:p>
        </w:tc>
        <w:tc>
          <w:tcPr>
            <w:tcW w:w="4772" w:type="dxa"/>
            <w:gridSpan w:val="2"/>
            <w:noWrap w:val="0"/>
            <w:vAlign w:val="center"/>
          </w:tcPr>
          <w:p>
            <w:pPr>
              <w:widowControl w:val="0"/>
              <w:spacing w:line="360" w:lineRule="exact"/>
              <w:jc w:val="center"/>
              <w:rPr>
                <w:rFonts w:cs="Arial"/>
                <w:sz w:val="21"/>
                <w:szCs w:val="21"/>
              </w:rPr>
            </w:pPr>
          </w:p>
        </w:tc>
        <w:tc>
          <w:tcPr>
            <w:tcW w:w="850" w:type="dxa"/>
            <w:noWrap w:val="0"/>
            <w:vAlign w:val="center"/>
          </w:tcPr>
          <w:p>
            <w:pPr>
              <w:widowControl w:val="0"/>
              <w:spacing w:line="360" w:lineRule="exact"/>
              <w:jc w:val="center"/>
              <w:rPr>
                <w:rFonts w:cs="Arial"/>
                <w:sz w:val="21"/>
                <w:szCs w:val="21"/>
              </w:rPr>
            </w:pPr>
          </w:p>
        </w:tc>
        <w:tc>
          <w:tcPr>
            <w:tcW w:w="679" w:type="dxa"/>
            <w:noWrap w:val="0"/>
            <w:vAlign w:val="center"/>
          </w:tcPr>
          <w:p>
            <w:pPr>
              <w:widowControl w:val="0"/>
              <w:spacing w:line="360" w:lineRule="exact"/>
              <w:jc w:val="center"/>
              <w:rPr>
                <w:rFonts w:cs="Arial"/>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61" w:type="dxa"/>
            <w:gridSpan w:val="7"/>
            <w:noWrap w:val="0"/>
            <w:vAlign w:val="center"/>
          </w:tcPr>
          <w:p>
            <w:pPr>
              <w:widowControl w:val="0"/>
              <w:spacing w:line="360" w:lineRule="exact"/>
              <w:jc w:val="center"/>
              <w:rPr>
                <w:rFonts w:cs="Arial"/>
                <w:sz w:val="21"/>
                <w:szCs w:val="21"/>
              </w:rPr>
            </w:pPr>
            <w:r>
              <w:rPr>
                <w:rFonts w:cs="Arial"/>
                <w:w w:val="105"/>
                <w:sz w:val="21"/>
                <w:szCs w:val="21"/>
              </w:rPr>
              <w:t>双方项目管理人员意见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12" w:type="dxa"/>
            <w:gridSpan w:val="4"/>
            <w:noWrap w:val="0"/>
            <w:vAlign w:val="center"/>
          </w:tcPr>
          <w:p>
            <w:pPr>
              <w:widowControl w:val="0"/>
              <w:spacing w:line="360" w:lineRule="exact"/>
              <w:rPr>
                <w:rFonts w:cs="Arial"/>
                <w:sz w:val="21"/>
                <w:szCs w:val="21"/>
              </w:rPr>
            </w:pPr>
            <w:r>
              <w:rPr>
                <w:rFonts w:cs="Arial"/>
                <w:w w:val="105"/>
                <w:sz w:val="21"/>
                <w:szCs w:val="21"/>
              </w:rPr>
              <w:t>甲方</w:t>
            </w:r>
          </w:p>
        </w:tc>
        <w:tc>
          <w:tcPr>
            <w:tcW w:w="4549" w:type="dxa"/>
            <w:gridSpan w:val="3"/>
            <w:noWrap w:val="0"/>
            <w:vAlign w:val="center"/>
          </w:tcPr>
          <w:p>
            <w:pPr>
              <w:widowControl w:val="0"/>
              <w:spacing w:line="360" w:lineRule="exact"/>
              <w:rPr>
                <w:rFonts w:cs="Arial"/>
                <w:sz w:val="21"/>
                <w:szCs w:val="21"/>
              </w:rPr>
            </w:pPr>
            <w:r>
              <w:rPr>
                <w:rFonts w:cs="Arial"/>
                <w:w w:val="105"/>
                <w:sz w:val="21"/>
                <w:szCs w:val="21"/>
              </w:rPr>
              <w:t>乙方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3" w:hRule="atLeast"/>
        </w:trPr>
        <w:tc>
          <w:tcPr>
            <w:tcW w:w="4412" w:type="dxa"/>
            <w:gridSpan w:val="4"/>
            <w:noWrap w:val="0"/>
            <w:vAlign w:val="center"/>
          </w:tcPr>
          <w:p>
            <w:pPr>
              <w:widowControl w:val="0"/>
              <w:spacing w:line="360" w:lineRule="exact"/>
              <w:rPr>
                <w:rFonts w:hint="eastAsia"/>
                <w:sz w:val="21"/>
              </w:rPr>
            </w:pPr>
          </w:p>
        </w:tc>
        <w:tc>
          <w:tcPr>
            <w:tcW w:w="4549" w:type="dxa"/>
            <w:gridSpan w:val="3"/>
            <w:noWrap w:val="0"/>
            <w:vAlign w:val="center"/>
          </w:tcPr>
          <w:p>
            <w:pPr>
              <w:widowControl w:val="0"/>
              <w:spacing w:line="360" w:lineRule="exact"/>
              <w:rPr>
                <w:rFonts w:cs="Arial"/>
                <w:w w:val="105"/>
                <w:sz w:val="21"/>
                <w:szCs w:val="21"/>
              </w:rPr>
            </w:pPr>
          </w:p>
        </w:tc>
      </w:tr>
    </w:tbl>
    <w:p>
      <w:pPr>
        <w:keepNext w:val="0"/>
        <w:keepLines w:val="0"/>
        <w:pageBreakBefore w:val="0"/>
        <w:widowControl/>
        <w:kinsoku/>
        <w:wordWrap w:val="0"/>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b w:val="0"/>
          <w:bCs w:val="0"/>
          <w:color w:val="FF0000"/>
          <w:kern w:val="0"/>
          <w:sz w:val="32"/>
          <w:szCs w:val="32"/>
        </w:rPr>
      </w:pPr>
      <w:r>
        <w:rPr>
          <w:rFonts w:hint="eastAsia" w:ascii="黑体" w:hAnsi="黑体" w:eastAsia="黑体" w:cs="黑体"/>
          <w:b w:val="0"/>
          <w:bCs w:val="0"/>
          <w:color w:val="333333"/>
          <w:kern w:val="0"/>
          <w:sz w:val="32"/>
          <w:szCs w:val="32"/>
          <w:lang w:val="en-US" w:eastAsia="zh-CN"/>
        </w:rPr>
        <w:t>四、</w:t>
      </w:r>
      <w:r>
        <w:rPr>
          <w:rFonts w:hint="eastAsia" w:ascii="黑体" w:hAnsi="黑体" w:eastAsia="黑体" w:cs="黑体"/>
          <w:b w:val="0"/>
          <w:bCs w:val="0"/>
          <w:kern w:val="0"/>
          <w:sz w:val="32"/>
          <w:szCs w:val="32"/>
        </w:rPr>
        <w:t>网络安全及数据安全</w:t>
      </w:r>
    </w:p>
    <w:p>
      <w:pPr>
        <w:keepNext w:val="0"/>
        <w:keepLines w:val="0"/>
        <w:pageBreakBefore w:val="0"/>
        <w:widowControl/>
        <w:kinsoku/>
        <w:wordWrap w:val="0"/>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1.</w:t>
      </w:r>
      <w:r>
        <w:rPr>
          <w:rFonts w:hint="eastAsia" w:ascii="仿宋_GB2312" w:hAnsi="仿宋_GB2312" w:eastAsia="仿宋_GB2312" w:cs="仿宋_GB2312"/>
          <w:kern w:val="0"/>
          <w:sz w:val="32"/>
          <w:szCs w:val="32"/>
        </w:rPr>
        <w:t>甲乙双方应严格遵守《中华人民共和国网络安全法》、《中华人民共和国数据安全法》、《中华人民共和国个人信息保护法》、《关键信息基础设施安全保护条例》、《中华人民共和国计算机信息系统安全保护条例》和《信息安全等级保护管理办法》及有关法律、法规和行政规章制度、文件规定。</w:t>
      </w:r>
    </w:p>
    <w:p>
      <w:pPr>
        <w:keepNext w:val="0"/>
        <w:keepLines w:val="0"/>
        <w:pageBreakBefore w:val="0"/>
        <w:widowControl/>
        <w:kinsoku/>
        <w:wordWrap w:val="0"/>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w:t>
      </w:r>
      <w:r>
        <w:rPr>
          <w:rFonts w:hint="eastAsia" w:ascii="仿宋_GB2312" w:hAnsi="仿宋_GB2312" w:eastAsia="仿宋_GB2312" w:cs="仿宋_GB2312"/>
          <w:kern w:val="0"/>
          <w:sz w:val="32"/>
          <w:szCs w:val="32"/>
          <w:lang w:val="en-US" w:eastAsia="zh-CN"/>
        </w:rPr>
        <w:t>.</w:t>
      </w:r>
      <w:r>
        <w:rPr>
          <w:rFonts w:hint="eastAsia" w:ascii="仿宋_GB2312" w:hAnsi="仿宋_GB2312" w:eastAsia="仿宋_GB2312" w:cs="仿宋_GB2312"/>
          <w:kern w:val="0"/>
          <w:sz w:val="32"/>
          <w:szCs w:val="32"/>
        </w:rPr>
        <w:t>乙方在本项目服务期间严格遵守福建省水利厅网络安全有关规定的各项要求，遵循诚实守信原则，开展相关工作。</w:t>
      </w:r>
    </w:p>
    <w:p>
      <w:pPr>
        <w:keepNext w:val="0"/>
        <w:keepLines w:val="0"/>
        <w:pageBreakBefore w:val="0"/>
        <w:widowControl/>
        <w:kinsoku/>
        <w:wordWrap w:val="0"/>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w:t>
      </w:r>
      <w:r>
        <w:rPr>
          <w:rFonts w:hint="eastAsia" w:ascii="仿宋_GB2312" w:hAnsi="仿宋_GB2312" w:eastAsia="仿宋_GB2312" w:cs="仿宋_GB2312"/>
          <w:kern w:val="0"/>
          <w:sz w:val="32"/>
          <w:szCs w:val="32"/>
          <w:lang w:val="en-US" w:eastAsia="zh-CN"/>
        </w:rPr>
        <w:t>.</w:t>
      </w:r>
      <w:r>
        <w:rPr>
          <w:rFonts w:hint="eastAsia" w:ascii="仿宋_GB2312" w:hAnsi="仿宋_GB2312" w:eastAsia="仿宋_GB2312" w:cs="仿宋_GB2312"/>
          <w:kern w:val="0"/>
          <w:sz w:val="32"/>
          <w:szCs w:val="32"/>
        </w:rPr>
        <w:t>乙方在本项目服务期间不利用水利质量检测监管平台系统模块相关资产、信息危害国家安全、泄露国家秘密、不侵犯国家的、社会的、集体的利益和第三方的合法权益，不从事违法犯罪活动。</w:t>
      </w:r>
    </w:p>
    <w:p>
      <w:pPr>
        <w:keepNext w:val="0"/>
        <w:keepLines w:val="0"/>
        <w:pageBreakBefore w:val="0"/>
        <w:widowControl/>
        <w:kinsoku/>
        <w:wordWrap w:val="0"/>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4.</w:t>
      </w:r>
      <w:r>
        <w:rPr>
          <w:rFonts w:hint="eastAsia" w:ascii="仿宋_GB2312" w:hAnsi="仿宋_GB2312" w:eastAsia="仿宋_GB2312" w:cs="仿宋_GB2312"/>
          <w:kern w:val="0"/>
          <w:sz w:val="32"/>
          <w:szCs w:val="32"/>
        </w:rPr>
        <w:t>乙方做好水利质量检测监管平台系统模块日常网络安全监测、定期安全漏洞扫描、定期补丁修复、数据安全保护、重要敏感数据加密存储和传输，并完善日常安全防护工作台账登记，每季度将相关安全运维记录提交甲方指定人员存档备案。</w:t>
      </w:r>
    </w:p>
    <w:p>
      <w:pPr>
        <w:keepNext w:val="0"/>
        <w:keepLines w:val="0"/>
        <w:pageBreakBefore w:val="0"/>
        <w:widowControl/>
        <w:kinsoku/>
        <w:wordWrap w:val="0"/>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5.</w:t>
      </w:r>
      <w:r>
        <w:rPr>
          <w:rFonts w:hint="eastAsia" w:ascii="仿宋_GB2312" w:hAnsi="仿宋_GB2312" w:eastAsia="仿宋_GB2312" w:cs="仿宋_GB2312"/>
          <w:kern w:val="0"/>
          <w:sz w:val="32"/>
          <w:szCs w:val="32"/>
        </w:rPr>
        <w:t>乙方自觉接受甲方的监督和管理，甲方有权定期指派网络安全服务商对水利质量检测监管平台</w:t>
      </w:r>
      <w:r>
        <w:rPr>
          <w:rFonts w:hint="eastAsia" w:ascii="仿宋_GB2312" w:hAnsi="仿宋_GB2312" w:eastAsia="仿宋_GB2312" w:cs="仿宋_GB2312"/>
          <w:kern w:val="0"/>
          <w:sz w:val="32"/>
          <w:szCs w:val="32"/>
          <w:lang w:val="en-US" w:eastAsia="zh-CN"/>
        </w:rPr>
        <w:t>系统</w:t>
      </w:r>
      <w:r>
        <w:rPr>
          <w:rFonts w:hint="eastAsia" w:ascii="仿宋_GB2312" w:hAnsi="仿宋_GB2312" w:eastAsia="仿宋_GB2312" w:cs="仿宋_GB2312"/>
          <w:kern w:val="0"/>
          <w:sz w:val="32"/>
          <w:szCs w:val="32"/>
        </w:rPr>
        <w:t>开展安全检查，对发现的安全隐患</w:t>
      </w:r>
      <w:r>
        <w:rPr>
          <w:rFonts w:hint="eastAsia" w:ascii="仿宋_GB2312" w:hAnsi="仿宋_GB2312" w:eastAsia="仿宋_GB2312" w:cs="仿宋_GB2312"/>
          <w:kern w:val="0"/>
          <w:sz w:val="32"/>
          <w:szCs w:val="32"/>
          <w:lang w:eastAsia="zh-CN"/>
        </w:rPr>
        <w:t>乙</w:t>
      </w:r>
      <w:r>
        <w:rPr>
          <w:rFonts w:hint="eastAsia" w:ascii="仿宋_GB2312" w:hAnsi="仿宋_GB2312" w:eastAsia="仿宋_GB2312" w:cs="仿宋_GB2312"/>
          <w:kern w:val="0"/>
          <w:sz w:val="32"/>
          <w:szCs w:val="32"/>
        </w:rPr>
        <w:t>方应组织技术力量在10个工作</w:t>
      </w:r>
      <w:r>
        <w:rPr>
          <w:rFonts w:hint="eastAsia" w:ascii="仿宋_GB2312" w:hAnsi="仿宋_GB2312" w:eastAsia="仿宋_GB2312" w:cs="仿宋_GB2312"/>
          <w:kern w:val="0"/>
          <w:sz w:val="32"/>
          <w:szCs w:val="32"/>
          <w:lang w:eastAsia="zh-CN"/>
        </w:rPr>
        <w:t>日</w:t>
      </w:r>
      <w:r>
        <w:rPr>
          <w:rFonts w:hint="eastAsia" w:ascii="仿宋_GB2312" w:hAnsi="仿宋_GB2312" w:eastAsia="仿宋_GB2312" w:cs="仿宋_GB2312"/>
          <w:kern w:val="0"/>
          <w:sz w:val="32"/>
          <w:szCs w:val="32"/>
        </w:rPr>
        <w:t>内进行修复，确保甲方系统使用和数据安全。</w:t>
      </w:r>
    </w:p>
    <w:p>
      <w:pPr>
        <w:keepNext w:val="0"/>
        <w:keepLines w:val="0"/>
        <w:pageBreakBefore w:val="0"/>
        <w:widowControl/>
        <w:kinsoku/>
        <w:wordWrap w:val="0"/>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b w:val="0"/>
          <w:bCs w:val="0"/>
          <w:kern w:val="0"/>
          <w:sz w:val="32"/>
          <w:szCs w:val="32"/>
        </w:rPr>
      </w:pPr>
      <w:r>
        <w:rPr>
          <w:rFonts w:hint="eastAsia" w:ascii="黑体" w:hAnsi="黑体" w:eastAsia="黑体" w:cs="黑体"/>
          <w:b w:val="0"/>
          <w:bCs w:val="0"/>
          <w:kern w:val="0"/>
          <w:sz w:val="32"/>
          <w:szCs w:val="32"/>
          <w:lang w:eastAsia="zh-CN"/>
        </w:rPr>
        <w:t>五、</w:t>
      </w:r>
      <w:r>
        <w:rPr>
          <w:rFonts w:hint="eastAsia" w:ascii="黑体" w:hAnsi="黑体" w:eastAsia="黑体" w:cs="黑体"/>
          <w:b w:val="0"/>
          <w:bCs w:val="0"/>
          <w:kern w:val="0"/>
          <w:sz w:val="32"/>
          <w:szCs w:val="32"/>
        </w:rPr>
        <w:t>保密条款</w:t>
      </w:r>
    </w:p>
    <w:p>
      <w:pPr>
        <w:keepNext w:val="0"/>
        <w:keepLines w:val="0"/>
        <w:pageBreakBefore w:val="0"/>
        <w:widowControl/>
        <w:kinsoku/>
        <w:wordWrap w:val="0"/>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w:t>
      </w:r>
      <w:r>
        <w:rPr>
          <w:rFonts w:hint="eastAsia" w:ascii="仿宋_GB2312" w:hAnsi="仿宋_GB2312" w:eastAsia="仿宋_GB2312" w:cs="仿宋_GB2312"/>
          <w:kern w:val="0"/>
          <w:sz w:val="32"/>
          <w:szCs w:val="32"/>
          <w:lang w:val="en-US" w:eastAsia="zh-CN"/>
        </w:rPr>
        <w:t>.</w:t>
      </w:r>
      <w:r>
        <w:rPr>
          <w:rFonts w:hint="eastAsia" w:ascii="仿宋_GB2312" w:hAnsi="仿宋_GB2312" w:eastAsia="仿宋_GB2312" w:cs="仿宋_GB2312"/>
          <w:kern w:val="0"/>
          <w:sz w:val="32"/>
          <w:szCs w:val="32"/>
        </w:rPr>
        <w:t>本协议中所涉及的保密信息为所有甲方提供给乙方的信息资料，以及乙方在为甲方提供技术服务过程中知悉的各类信息，包括但不限于如下信息：甲方通讯录、人员信息、</w:t>
      </w:r>
      <w:r>
        <w:rPr>
          <w:rFonts w:hint="eastAsia" w:ascii="仿宋_GB2312" w:hAnsi="仿宋_GB2312" w:eastAsia="仿宋_GB2312" w:cs="仿宋_GB2312"/>
          <w:kern w:val="0"/>
          <w:sz w:val="32"/>
          <w:szCs w:val="32"/>
          <w:lang w:eastAsia="zh-CN"/>
        </w:rPr>
        <w:t>项目信息、</w:t>
      </w:r>
      <w:r>
        <w:rPr>
          <w:rFonts w:hint="eastAsia" w:ascii="仿宋_GB2312" w:hAnsi="仿宋_GB2312" w:eastAsia="仿宋_GB2312" w:cs="仿宋_GB2312"/>
          <w:kern w:val="0"/>
          <w:sz w:val="32"/>
          <w:szCs w:val="32"/>
        </w:rPr>
        <w:t>办公文件、会议材料、技术信息、工作信息。</w:t>
      </w:r>
    </w:p>
    <w:p>
      <w:pPr>
        <w:keepNext w:val="0"/>
        <w:keepLines w:val="0"/>
        <w:pageBreakBefore w:val="0"/>
        <w:widowControl/>
        <w:kinsoku/>
        <w:wordWrap w:val="0"/>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2.</w:t>
      </w:r>
      <w:r>
        <w:rPr>
          <w:rFonts w:hint="eastAsia" w:ascii="仿宋_GB2312" w:hAnsi="仿宋_GB2312" w:eastAsia="仿宋_GB2312" w:cs="仿宋_GB2312"/>
          <w:kern w:val="0"/>
          <w:sz w:val="32"/>
          <w:szCs w:val="32"/>
        </w:rPr>
        <w:t>甲乙双方均要遵守国家保密法及有关规定。</w:t>
      </w:r>
    </w:p>
    <w:p>
      <w:pPr>
        <w:keepNext w:val="0"/>
        <w:keepLines w:val="0"/>
        <w:pageBreakBefore w:val="0"/>
        <w:widowControl/>
        <w:kinsoku/>
        <w:wordWrap w:val="0"/>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w:t>
      </w:r>
      <w:r>
        <w:rPr>
          <w:rFonts w:hint="eastAsia" w:ascii="仿宋_GB2312" w:hAnsi="仿宋_GB2312" w:eastAsia="仿宋_GB2312" w:cs="仿宋_GB2312"/>
          <w:kern w:val="0"/>
          <w:sz w:val="32"/>
          <w:szCs w:val="32"/>
          <w:lang w:val="en-US" w:eastAsia="zh-CN"/>
        </w:rPr>
        <w:t>.</w:t>
      </w:r>
      <w:r>
        <w:rPr>
          <w:rFonts w:hint="eastAsia" w:ascii="仿宋_GB2312" w:hAnsi="仿宋_GB2312" w:eastAsia="仿宋_GB2312" w:cs="仿宋_GB2312"/>
          <w:kern w:val="0"/>
          <w:sz w:val="32"/>
          <w:szCs w:val="32"/>
        </w:rPr>
        <w:t>乙方应采取周密的措施对所有来自甲方的信息严格保密，包括执行有效的安全措施和操作规程。</w:t>
      </w:r>
    </w:p>
    <w:p>
      <w:pPr>
        <w:keepNext w:val="0"/>
        <w:keepLines w:val="0"/>
        <w:pageBreakBefore w:val="0"/>
        <w:widowControl/>
        <w:kinsoku/>
        <w:wordWrap w:val="0"/>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333333"/>
          <w:kern w:val="0"/>
          <w:sz w:val="32"/>
          <w:szCs w:val="32"/>
          <w:lang w:val="en-US" w:eastAsia="zh-CN"/>
        </w:rPr>
      </w:pPr>
      <w:r>
        <w:rPr>
          <w:rFonts w:hint="eastAsia" w:ascii="仿宋_GB2312" w:hAnsi="仿宋_GB2312" w:eastAsia="仿宋_GB2312" w:cs="仿宋_GB2312"/>
          <w:kern w:val="0"/>
          <w:sz w:val="32"/>
          <w:szCs w:val="32"/>
        </w:rPr>
        <w:t>4</w:t>
      </w:r>
      <w:r>
        <w:rPr>
          <w:rFonts w:hint="eastAsia" w:ascii="仿宋_GB2312" w:hAnsi="仿宋_GB2312" w:eastAsia="仿宋_GB2312" w:cs="仿宋_GB2312"/>
          <w:kern w:val="0"/>
          <w:sz w:val="32"/>
          <w:szCs w:val="32"/>
          <w:lang w:val="en-US" w:eastAsia="zh-CN"/>
        </w:rPr>
        <w:t>.</w:t>
      </w:r>
      <w:r>
        <w:rPr>
          <w:rFonts w:hint="eastAsia" w:ascii="仿宋_GB2312" w:hAnsi="仿宋_GB2312" w:eastAsia="仿宋_GB2312" w:cs="仿宋_GB2312"/>
          <w:kern w:val="0"/>
          <w:sz w:val="32"/>
          <w:szCs w:val="32"/>
        </w:rPr>
        <w:t>乙方应负责做好技术服务人员的教育、管理工作：建立健全的工作制度，加强对技术服务人员的管理。乙方不可把秘密泄露给第三方，只允许把信息透露给乙方因履行本协议而接触信息的工作人员</w:t>
      </w:r>
      <w:r>
        <w:rPr>
          <w:rFonts w:hint="eastAsia" w:ascii="仿宋_GB2312" w:hAnsi="仿宋_GB2312" w:eastAsia="仿宋_GB2312" w:cs="仿宋_GB2312"/>
          <w:kern w:val="0"/>
          <w:sz w:val="32"/>
          <w:szCs w:val="32"/>
          <w:lang w:eastAsia="zh-CN"/>
        </w:rPr>
        <w:t>。</w:t>
      </w:r>
    </w:p>
    <w:p>
      <w:pPr>
        <w:pStyle w:val="9"/>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225" w:line="560" w:lineRule="exact"/>
        <w:ind w:leftChars="0" w:firstLine="640" w:firstLineChars="200"/>
        <w:textAlignment w:val="auto"/>
        <w:rPr>
          <w:rFonts w:hint="eastAsia" w:ascii="黑体" w:hAnsi="黑体" w:eastAsia="黑体" w:cs="黑体"/>
          <w:color w:val="333333"/>
          <w:kern w:val="0"/>
          <w:sz w:val="32"/>
          <w:szCs w:val="32"/>
        </w:rPr>
      </w:pPr>
      <w:r>
        <w:rPr>
          <w:rFonts w:hint="eastAsia" w:ascii="黑体" w:hAnsi="黑体" w:eastAsia="黑体" w:cs="黑体"/>
          <w:color w:val="333333"/>
          <w:kern w:val="0"/>
          <w:sz w:val="32"/>
          <w:szCs w:val="32"/>
          <w:lang w:val="en-US" w:eastAsia="zh-CN"/>
        </w:rPr>
        <w:t>六、</w:t>
      </w:r>
      <w:r>
        <w:rPr>
          <w:rFonts w:hint="eastAsia" w:ascii="黑体" w:hAnsi="黑体" w:eastAsia="黑体" w:cs="黑体"/>
          <w:color w:val="333333"/>
          <w:kern w:val="0"/>
          <w:sz w:val="32"/>
          <w:szCs w:val="32"/>
        </w:rPr>
        <w:t>服务期限</w:t>
      </w:r>
    </w:p>
    <w:p>
      <w:pPr>
        <w:keepNext w:val="0"/>
        <w:keepLines w:val="0"/>
        <w:pageBreakBefore w:val="0"/>
        <w:widowControl/>
        <w:shd w:val="clear" w:color="auto" w:fill="FFFFFF"/>
        <w:kinsoku/>
        <w:wordWrap/>
        <w:overflowPunct/>
        <w:topLinePunct w:val="0"/>
        <w:autoSpaceDE/>
        <w:autoSpaceDN/>
        <w:bidi w:val="0"/>
        <w:adjustRightInd/>
        <w:snapToGrid/>
        <w:spacing w:before="225" w:line="560" w:lineRule="exact"/>
        <w:ind w:firstLine="640" w:firstLineChars="200"/>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维护服务期一年。</w:t>
      </w:r>
    </w:p>
    <w:p>
      <w:pPr>
        <w:pStyle w:val="2"/>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黑体" w:hAnsi="黑体" w:eastAsia="黑体" w:cs="黑体"/>
          <w:color w:val="000000"/>
          <w:kern w:val="0"/>
          <w:sz w:val="32"/>
          <w:szCs w:val="32"/>
          <w:lang w:eastAsia="zh-CN"/>
        </w:rPr>
      </w:pPr>
    </w:p>
    <w:p/>
    <w:sectPr>
      <w:footerReference r:id="rId3" w:type="default"/>
      <w:pgSz w:w="11906" w:h="16838"/>
      <w:pgMar w:top="1701" w:right="1417" w:bottom="1701" w:left="1417"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MingLiU">
    <w:panose1 w:val="02020509000000000000"/>
    <w:charset w:val="88"/>
    <w:family w:val="modern"/>
    <w:pitch w:val="default"/>
    <w:sig w:usb0="A00002FF" w:usb1="28CFFCFA" w:usb2="00000016" w:usb3="00000000" w:csb0="0010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rFonts w:ascii="宋体" w:hAnsi="宋体"/>
        <w:sz w:val="24"/>
        <w:szCs w:val="24"/>
      </w:rPr>
    </w:pPr>
  </w:p>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B3EF713"/>
    <w:multiLevelType w:val="singleLevel"/>
    <w:tmpl w:val="2B3EF713"/>
    <w:lvl w:ilvl="0" w:tentative="0">
      <w:start w:val="1"/>
      <w:numFmt w:val="chineseCounting"/>
      <w:suff w:val="nothing"/>
      <w:lvlText w:val="%1、"/>
      <w:lvlJc w:val="left"/>
      <w:rPr>
        <w:rFonts w:hint="eastAsia"/>
      </w:rPr>
    </w:lvl>
  </w:abstractNum>
  <w:abstractNum w:abstractNumId="1">
    <w:nsid w:val="2CC96708"/>
    <w:multiLevelType w:val="multilevel"/>
    <w:tmpl w:val="2CC96708"/>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49668EF"/>
    <w:multiLevelType w:val="multilevel"/>
    <w:tmpl w:val="449668EF"/>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BC1BBD"/>
    <w:rsid w:val="03372A1A"/>
    <w:rsid w:val="0A534E29"/>
    <w:rsid w:val="0BD635EA"/>
    <w:rsid w:val="0CA17BC7"/>
    <w:rsid w:val="18062253"/>
    <w:rsid w:val="1E726D03"/>
    <w:rsid w:val="22BC1BBD"/>
    <w:rsid w:val="2618250D"/>
    <w:rsid w:val="28061D38"/>
    <w:rsid w:val="29AA70BF"/>
    <w:rsid w:val="3032606E"/>
    <w:rsid w:val="339616AF"/>
    <w:rsid w:val="3822798F"/>
    <w:rsid w:val="39695F7D"/>
    <w:rsid w:val="3B7F4E06"/>
    <w:rsid w:val="40DD6179"/>
    <w:rsid w:val="43F15787"/>
    <w:rsid w:val="45670792"/>
    <w:rsid w:val="46523C6D"/>
    <w:rsid w:val="4BFC3701"/>
    <w:rsid w:val="518F15DB"/>
    <w:rsid w:val="580A069B"/>
    <w:rsid w:val="59E512D7"/>
    <w:rsid w:val="5A8D1E01"/>
    <w:rsid w:val="5B77571F"/>
    <w:rsid w:val="5D751961"/>
    <w:rsid w:val="5ED760F0"/>
    <w:rsid w:val="628841B8"/>
    <w:rsid w:val="6B5B2936"/>
    <w:rsid w:val="6E2A7DFB"/>
    <w:rsid w:val="6F1D2190"/>
    <w:rsid w:val="6FC24699"/>
    <w:rsid w:val="71943B66"/>
    <w:rsid w:val="72FC55D6"/>
    <w:rsid w:val="73F15E96"/>
    <w:rsid w:val="7CCC223C"/>
    <w:rsid w:val="7EFD71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tabs>
        <w:tab w:val="left" w:pos="0"/>
        <w:tab w:val="left" w:pos="993"/>
        <w:tab w:val="left" w:pos="1134"/>
      </w:tabs>
      <w:ind w:firstLine="420"/>
    </w:pPr>
    <w:rPr>
      <w:rFonts w:ascii="Times New Roman" w:hAnsi="Times New Roman"/>
    </w:rPr>
  </w:style>
  <w:style w:type="paragraph" w:styleId="3">
    <w:name w:val="Body Text Indent"/>
    <w:basedOn w:val="1"/>
    <w:qFormat/>
    <w:uiPriority w:val="0"/>
    <w:pPr>
      <w:widowControl/>
      <w:tabs>
        <w:tab w:val="left" w:pos="0"/>
        <w:tab w:val="left" w:pos="993"/>
        <w:tab w:val="left" w:pos="1134"/>
      </w:tabs>
      <w:spacing w:line="500" w:lineRule="exact"/>
      <w:ind w:firstLine="567"/>
    </w:pPr>
    <w:rPr>
      <w:rFonts w:ascii="宋体"/>
      <w:sz w:val="28"/>
    </w:rPr>
  </w:style>
  <w:style w:type="paragraph" w:styleId="4">
    <w:name w:val="Body Text"/>
    <w:basedOn w:val="1"/>
    <w:next w:val="5"/>
    <w:qFormat/>
    <w:uiPriority w:val="0"/>
    <w:pPr>
      <w:shd w:val="clear" w:color="auto" w:fill="FFFFFF"/>
      <w:spacing w:before="1140" w:beforeLines="0" w:after="1680" w:afterLines="0" w:line="240" w:lineRule="atLeast"/>
      <w:jc w:val="distribute"/>
    </w:pPr>
    <w:rPr>
      <w:rFonts w:hint="eastAsia" w:ascii="MingLiU" w:hAnsi="MingLiU" w:eastAsia="MingLiU"/>
      <w:spacing w:val="30"/>
      <w:sz w:val="29"/>
    </w:rPr>
  </w:style>
  <w:style w:type="paragraph" w:styleId="5">
    <w:name w:val="Body Text 2"/>
    <w:basedOn w:val="1"/>
    <w:next w:val="4"/>
    <w:qFormat/>
    <w:uiPriority w:val="0"/>
    <w:pPr>
      <w:spacing w:after="120" w:line="480" w:lineRule="auto"/>
    </w:pPr>
  </w:style>
  <w:style w:type="paragraph" w:styleId="6">
    <w:name w:val="footer"/>
    <w:basedOn w:val="1"/>
    <w:qFormat/>
    <w:uiPriority w:val="0"/>
    <w:pPr>
      <w:tabs>
        <w:tab w:val="center" w:pos="4153"/>
        <w:tab w:val="right" w:pos="8306"/>
      </w:tabs>
      <w:snapToGrid w:val="0"/>
      <w:jc w:val="left"/>
    </w:pPr>
    <w:rPr>
      <w:sz w:val="18"/>
      <w:szCs w:val="18"/>
    </w:rPr>
  </w:style>
  <w:style w:type="paragraph" w:styleId="9">
    <w:name w:val="List Paragraph"/>
    <w:basedOn w:val="1"/>
    <w:qFormat/>
    <w:uiPriority w:val="34"/>
    <w:pPr>
      <w:ind w:firstLine="420" w:firstLineChars="200"/>
    </w:pPr>
  </w:style>
  <w:style w:type="table" w:customStyle="1" w:styleId="10">
    <w:name w:val="网格型1"/>
    <w:basedOn w:val="7"/>
    <w:qFormat/>
    <w:uiPriority w:val="3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8</TotalTime>
  <ScaleCrop>false</ScaleCrop>
  <LinksUpToDate>false</LinksUpToDate>
  <CharactersWithSpaces>0</CharactersWithSpaces>
  <Application>WPS Office_11.8.2.11716_F1E327BC-269C-435d-A152-05C5408002CA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2025-05-21T16:50:00Z</dcterms:created>
  <dc:creator>Administrator</dc:creator>
  <cp:lastModifiedBy>Administrator</cp:lastModifiedBy>
  <cp:lastPrinted>2025-05-23T10:00:00Z</cp:lastPrinted>
  <dcterms:modified xsi:type="dcterms:W3CDTF">2025-08-07T08:23:59Z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2052-11.8.2.11716</vt:lpwstr>
  </property>
  <property fmtid="{D5CDD505-2E9C-101B-9397-08002B2CF9AE}" pid="3" name="ICV">
    <vt:lpwstr>BB941EFAF1B84A3E8D8226CEA73579DC_11</vt:lpwstr>
  </property>
  <property fmtid="{D5CDD505-2E9C-101B-9397-08002B2CF9AE}" pid="4" name="KSOTemplateDocerSaveRecord">
    <vt:lpwstr>eyJoZGlkIjoiNWVhMTg4MWRlMWNjNGQ0NTQ2NDJiMWFkOGM2NzM3MzAiLCJ1c2VySWQiOiIzMTM2ODQ4MTUifQ==</vt:lpwstr>
  </property>
</Properties>
</file>