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2</w:t>
      </w:r>
      <w:r>
        <w:rPr>
          <w:rFonts w:hint="eastAsia" w:ascii="黑体" w:hAnsi="黑体" w:eastAsia="黑体" w:cs="黑体"/>
          <w:color w:val="000000"/>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eastAsia="zh-CN"/>
        </w:rPr>
      </w:pPr>
      <w:bookmarkStart w:id="0" w:name="_GoBack"/>
      <w:r>
        <w:rPr>
          <w:rFonts w:hint="eastAsia" w:ascii="方正小标宋简体" w:hAnsi="方正小标宋简体" w:eastAsia="方正小标宋简体" w:cs="方正小标宋简体"/>
          <w:color w:val="000000"/>
          <w:sz w:val="44"/>
          <w:szCs w:val="44"/>
        </w:rPr>
        <w:t>水利质量检测监管平台运行维护</w:t>
      </w:r>
      <w:r>
        <w:rPr>
          <w:rFonts w:hint="eastAsia" w:ascii="方正小标宋简体" w:hAnsi="方正小标宋简体" w:eastAsia="方正小标宋简体" w:cs="方正小标宋简体"/>
          <w:color w:val="000000"/>
          <w:kern w:val="0"/>
          <w:sz w:val="44"/>
          <w:szCs w:val="44"/>
          <w:lang w:eastAsia="zh-CN"/>
        </w:rPr>
        <w:t>服务要求</w:t>
      </w:r>
    </w:p>
    <w:bookmarkEnd w:id="0"/>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本项目提供基于福建省水利质量检测监管平台的日常运维服务，确保系统顺利运行使用。</w:t>
      </w:r>
    </w:p>
    <w:p>
      <w:pPr>
        <w:pStyle w:val="2"/>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运维服务内容</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00" w:lineRule="exact"/>
        <w:ind w:leftChars="0" w:firstLine="642" w:firstLineChars="200"/>
        <w:textAlignment w:val="auto"/>
        <w:rPr>
          <w:rFonts w:hint="eastAsia" w:ascii="黑体" w:hAnsi="黑体" w:eastAsia="楷体_GB2312" w:cs="黑体"/>
          <w:color w:val="333333"/>
          <w:sz w:val="32"/>
          <w:szCs w:val="32"/>
          <w:shd w:val="clear" w:color="auto" w:fill="FFFFFF"/>
          <w:lang w:eastAsia="zh-CN"/>
        </w:rPr>
      </w:pP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lang w:val="en-US" w:eastAsia="zh-CN"/>
        </w:rPr>
        <w:t>一</w:t>
      </w:r>
      <w:r>
        <w:rPr>
          <w:rFonts w:hint="eastAsia" w:ascii="楷体_GB2312" w:hAnsi="楷体_GB2312" w:eastAsia="楷体_GB2312" w:cs="楷体_GB2312"/>
          <w:b/>
          <w:bCs/>
          <w:color w:val="333333"/>
          <w:kern w:val="0"/>
          <w:sz w:val="32"/>
          <w:szCs w:val="32"/>
          <w:lang w:eastAsia="zh-CN"/>
        </w:rPr>
        <w:t>）支持服务</w:t>
      </w:r>
    </w:p>
    <w:tbl>
      <w:tblPr>
        <w:tblStyle w:val="10"/>
        <w:tblW w:w="82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701"/>
        <w:gridCol w:w="5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1701"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服务项</w:t>
            </w:r>
          </w:p>
        </w:tc>
        <w:tc>
          <w:tcPr>
            <w:tcW w:w="5528"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服务内容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日常巡检</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关键服务巡检：可用性、响应速度、稳定性等方面的巡检。</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核心系统功能巡检：对服务内的重要业务功能进行巡检，</w:t>
            </w:r>
            <w:r>
              <w:rPr>
                <w:rFonts w:hint="eastAsia" w:ascii="宋体" w:hAnsi="宋体" w:eastAsia="宋体" w:cs="宋体"/>
                <w:kern w:val="0"/>
                <w:sz w:val="21"/>
                <w:szCs w:val="21"/>
                <w:lang w:eastAsia="zh-CN"/>
              </w:rPr>
              <w:t>包括</w:t>
            </w:r>
            <w:r>
              <w:rPr>
                <w:rFonts w:hint="eastAsia" w:ascii="宋体" w:hAnsi="宋体" w:eastAsia="宋体" w:cs="宋体"/>
                <w:kern w:val="0"/>
                <w:sz w:val="21"/>
                <w:szCs w:val="21"/>
              </w:rPr>
              <w:t>水利</w:t>
            </w:r>
            <w:r>
              <w:rPr>
                <w:rFonts w:hint="eastAsia" w:ascii="宋体" w:hAnsi="宋体" w:cs="宋体"/>
                <w:kern w:val="0"/>
                <w:sz w:val="21"/>
                <w:szCs w:val="21"/>
                <w:lang w:val="en-US" w:eastAsia="zh-CN"/>
              </w:rPr>
              <w:t>质量检测数字管理子系统</w:t>
            </w:r>
            <w:r>
              <w:rPr>
                <w:rFonts w:hint="eastAsia" w:ascii="宋体" w:hAnsi="宋体" w:eastAsia="宋体" w:cs="宋体"/>
                <w:kern w:val="0"/>
                <w:sz w:val="21"/>
                <w:szCs w:val="21"/>
              </w:rPr>
              <w:t>、</w:t>
            </w:r>
            <w:r>
              <w:rPr>
                <w:rFonts w:hint="eastAsia" w:ascii="宋体" w:hAnsi="宋体" w:cs="宋体"/>
                <w:kern w:val="0"/>
                <w:sz w:val="21"/>
                <w:szCs w:val="21"/>
                <w:lang w:val="en-US" w:eastAsia="zh-CN"/>
              </w:rPr>
              <w:t>水利工程检测平台</w:t>
            </w:r>
            <w:r>
              <w:rPr>
                <w:rFonts w:hint="eastAsia" w:ascii="宋体" w:hAnsi="宋体" w:eastAsia="宋体" w:cs="宋体"/>
                <w:kern w:val="0"/>
                <w:sz w:val="21"/>
                <w:szCs w:val="21"/>
              </w:rPr>
              <w:t>子系统、</w:t>
            </w:r>
            <w:r>
              <w:rPr>
                <w:rFonts w:hint="eastAsia" w:ascii="宋体" w:hAnsi="宋体" w:cs="宋体"/>
                <w:kern w:val="0"/>
                <w:sz w:val="21"/>
                <w:szCs w:val="21"/>
                <w:lang w:val="en-US" w:eastAsia="zh-CN"/>
              </w:rPr>
              <w:t>智慧检</w:t>
            </w:r>
            <w:r>
              <w:rPr>
                <w:rFonts w:hint="eastAsia" w:ascii="宋体" w:hAnsi="宋体" w:eastAsia="宋体" w:cs="宋体"/>
                <w:kern w:val="0"/>
                <w:sz w:val="21"/>
                <w:szCs w:val="21"/>
              </w:rPr>
              <w:t>子系统、综合展示子系统，以及系统运行所需的系统管理子系统</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验证其可用性。</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涉及到的服务器巡检：对本服务涉及到的服务器的CPU、内存、硬盘等使用情况进行日常巡检。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需求变更</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接收标准服务内的需求变更工单处理。接收到用户标准服务内的需求变更申请后，在24小时内响应，并给予处理反馈意见及处理办法。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技术支持</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对服务内遇到的技术问题提供24小时技术支持，包括电话技术支持、远程技术支持，若以上方式无法解决时，提供现场技术支持。支持内容包括平台运行基础环境、平台软件系统本身的操作及系统配置、协助系统接入、扩容、安全部署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系统升级</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云协同提供系统功能的持续升级，并根据三级等保的要求，持续升级系统安全防护措施。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故障处理</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遇到故障第一时间</w:t>
            </w:r>
            <w:r>
              <w:rPr>
                <w:rFonts w:hint="eastAsia" w:ascii="宋体" w:hAnsi="宋体" w:eastAsia="宋体" w:cs="宋体"/>
                <w:kern w:val="0"/>
                <w:sz w:val="21"/>
                <w:szCs w:val="21"/>
                <w:lang w:eastAsia="zh-CN"/>
              </w:rPr>
              <w:t>进行</w:t>
            </w:r>
            <w:r>
              <w:rPr>
                <w:rFonts w:hint="eastAsia" w:ascii="宋体" w:hAnsi="宋体" w:eastAsia="宋体" w:cs="宋体"/>
                <w:kern w:val="0"/>
                <w:sz w:val="21"/>
                <w:szCs w:val="21"/>
              </w:rPr>
              <w:t>处理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在故障响应时间内检查反映的问题，第一时间接入处理并按时维护，保证平台正常运行，用户正常使用，并且记录问题原因和处理过程。对系统平台的运行情况进行分析，及时发现并排除故障，</w:t>
            </w:r>
            <w:r>
              <w:rPr>
                <w:rFonts w:hint="eastAsia" w:ascii="宋体" w:hAnsi="宋体" w:eastAsia="宋体" w:cs="宋体"/>
                <w:kern w:val="0"/>
                <w:sz w:val="21"/>
                <w:szCs w:val="21"/>
                <w:lang w:eastAsia="zh-CN"/>
              </w:rPr>
              <w:t>每季度</w:t>
            </w:r>
            <w:r>
              <w:rPr>
                <w:rFonts w:hint="eastAsia" w:ascii="宋体" w:hAnsi="宋体" w:eastAsia="宋体" w:cs="宋体"/>
                <w:kern w:val="0"/>
                <w:sz w:val="21"/>
                <w:szCs w:val="21"/>
              </w:rPr>
              <w:t>提交一份系统维护记录，根据系统经常出现的情况或者有可能出现的情况及时提出日常维护和日常使用建议。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个性化功能</w:t>
            </w:r>
            <w:r>
              <w:rPr>
                <w:rFonts w:hint="eastAsia" w:ascii="宋体" w:hAnsi="宋体" w:eastAsia="宋体" w:cs="宋体"/>
                <w:kern w:val="0"/>
                <w:sz w:val="21"/>
                <w:szCs w:val="21"/>
                <w:lang w:eastAsia="zh-CN"/>
              </w:rPr>
              <w:t>定制优化和</w:t>
            </w:r>
            <w:r>
              <w:rPr>
                <w:rFonts w:hint="eastAsia" w:ascii="宋体" w:hAnsi="宋体" w:eastAsia="宋体" w:cs="宋体"/>
                <w:kern w:val="0"/>
                <w:sz w:val="21"/>
                <w:szCs w:val="21"/>
              </w:rPr>
              <w:t>运维服务</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系统使用过程中，</w:t>
            </w:r>
            <w:r>
              <w:rPr>
                <w:rFonts w:hint="eastAsia" w:ascii="宋体" w:hAnsi="宋体" w:eastAsia="宋体" w:cs="宋体"/>
                <w:kern w:val="0"/>
                <w:sz w:val="21"/>
                <w:szCs w:val="21"/>
                <w:lang w:val="en-US" w:eastAsia="zh-CN"/>
              </w:rPr>
              <w:t>根据业主要求</w:t>
            </w:r>
            <w:r>
              <w:rPr>
                <w:rFonts w:hint="eastAsia" w:ascii="宋体" w:hAnsi="宋体" w:eastAsia="宋体" w:cs="宋体"/>
                <w:kern w:val="0"/>
                <w:sz w:val="21"/>
                <w:szCs w:val="21"/>
              </w:rPr>
              <w:t>基于水利质量检测监管平台，提供简易个性化</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扩展</w:t>
            </w:r>
            <w:r>
              <w:rPr>
                <w:rFonts w:hint="eastAsia" w:ascii="宋体" w:hAnsi="宋体" w:eastAsia="宋体" w:cs="宋体"/>
                <w:kern w:val="0"/>
                <w:sz w:val="21"/>
                <w:szCs w:val="21"/>
                <w:lang w:val="en-US" w:eastAsia="zh-CN"/>
              </w:rPr>
              <w:t>定制或优化</w:t>
            </w:r>
            <w:r>
              <w:rPr>
                <w:rFonts w:hint="eastAsia" w:ascii="宋体" w:hAnsi="宋体" w:eastAsia="宋体" w:cs="宋体"/>
                <w:kern w:val="0"/>
                <w:sz w:val="21"/>
                <w:szCs w:val="21"/>
              </w:rPr>
              <w:t>服务，</w:t>
            </w:r>
            <w:r>
              <w:rPr>
                <w:rFonts w:hint="eastAsia" w:ascii="宋体" w:hAnsi="宋体" w:eastAsia="宋体" w:cs="宋体"/>
                <w:kern w:val="0"/>
                <w:sz w:val="21"/>
                <w:szCs w:val="21"/>
                <w:lang w:val="en-US" w:eastAsia="zh-CN"/>
              </w:rPr>
              <w:t>并开展日常运维。</w:t>
            </w: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2" w:firstLineChars="200"/>
        <w:textAlignment w:val="auto"/>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lang w:val="en-US" w:eastAsia="zh-CN"/>
        </w:rPr>
        <w:t>二</w:t>
      </w: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rPr>
        <w:t>服务</w:t>
      </w:r>
      <w:r>
        <w:rPr>
          <w:rFonts w:hint="eastAsia" w:ascii="楷体_GB2312" w:hAnsi="楷体_GB2312" w:eastAsia="楷体_GB2312" w:cs="楷体_GB2312"/>
          <w:b/>
          <w:bCs/>
          <w:color w:val="333333"/>
          <w:kern w:val="0"/>
          <w:sz w:val="32"/>
          <w:szCs w:val="32"/>
          <w:lang w:eastAsia="zh-CN"/>
        </w:rPr>
        <w:t>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1.软件缺陷修复服务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乙方提供的软件缺陷修复服务包括：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1)因软件存在补丁或Bug缺陷问题，乙方与用户通告升级事宜，并进行免费升级。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2)在升级前乙方应认真核查系统状况，制定升级方案，包括升级范围、升级详细步骤及升级失败后的恢复措施，尽可能将升级对网络运行的影响降低。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3)升级前乙方配合用户共同做好系统备份和业务数据备份以及系统状态日志备份工作。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4)如果升级失败，乙方负责完成恢复工作，保证业务正常运行。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2.安全加固服务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乙方提供的安全加固服务包括：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1)根据安全厂商提供的漏洞整改意见，乙方提交应用漏洞至开发侧评估整改，并配合主机、数据库、中间件等安全加固工作。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2)根据最新发布的版本，向甲方提出补丁升级申请，进行数据备份后对业务系统补丁进行升级。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3.数据备份服务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乙方技术工程师根据甲方需求和实际情况，定期对应用软件、数据、环境配置等进行安全备份，并做备份完整性、有效性检查。主要包括：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1)制定完善的备份策略，确保发生严重故障时，能够通过备份，快速恢复系统中的数据。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2)定期检查备份执行情况，对备份失败的情况进行处理和解决。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3)定期对备份的数据的可用性进行数据验证，确保数据备份的有效性。备份系统的故障及备份策略失败的受理。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4.运维团队人员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1)乙方提供1名运维支持服务人员。具备2年以上信息系统运维项目的从业经验、技术专业，操作熟练、严谨、规范，能独立完成系统的环境搭建和维护，对数据进行分析、校核。</w:t>
      </w:r>
      <w:r>
        <w:rPr>
          <w:rFonts w:hint="eastAsia" w:ascii="仿宋_GB2312" w:hAnsi="仿宋_GB2312" w:eastAsia="仿宋_GB2312" w:cs="仿宋_GB2312"/>
          <w:color w:val="auto"/>
          <w:sz w:val="32"/>
          <w:szCs w:val="32"/>
          <w:lang w:val="en-US" w:eastAsia="zh-CN"/>
        </w:rPr>
        <w:t>并</w:t>
      </w:r>
      <w:r>
        <w:rPr>
          <w:rFonts w:hint="default" w:ascii="仿宋_GB2312" w:hAnsi="仿宋_GB2312" w:eastAsia="仿宋_GB2312" w:cs="仿宋_GB2312"/>
          <w:color w:val="auto"/>
          <w:sz w:val="32"/>
          <w:szCs w:val="32"/>
          <w:highlight w:val="none"/>
          <w:lang w:val="en-US" w:eastAsia="zh-CN"/>
        </w:rPr>
        <w:t>提供</w:t>
      </w:r>
      <w:r>
        <w:rPr>
          <w:rFonts w:hint="eastAsia" w:ascii="仿宋_GB2312" w:hAnsi="仿宋_GB2312" w:eastAsia="仿宋_GB2312" w:cs="仿宋_GB2312"/>
          <w:color w:val="auto"/>
          <w:sz w:val="32"/>
          <w:szCs w:val="32"/>
          <w:highlight w:val="none"/>
          <w:lang w:val="en-US" w:eastAsia="zh-CN"/>
        </w:rPr>
        <w:t>每月1次</w:t>
      </w:r>
      <w:r>
        <w:rPr>
          <w:rFonts w:hint="default"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lang w:val="en-US" w:eastAsia="zh-CN"/>
        </w:rPr>
        <w:t>现场巡检服务。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同签订后，乙方提供运维团队人员清单、社保证明材料至甲方指定人员处备案。项目服务期内，乙方运维支持服务人员不应变动，若确实需要变动，乙方应提前15天向甲方提出书面申请，经过甲方同意后方能更换。</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二、</w:t>
      </w:r>
      <w:r>
        <w:rPr>
          <w:rFonts w:hint="eastAsia" w:ascii="黑体" w:hAnsi="黑体" w:eastAsia="黑体" w:cs="黑体"/>
          <w:color w:val="333333"/>
          <w:kern w:val="0"/>
          <w:sz w:val="32"/>
          <w:szCs w:val="32"/>
          <w:lang w:eastAsia="zh-CN"/>
        </w:rPr>
        <w:t>服务</w:t>
      </w:r>
      <w:r>
        <w:rPr>
          <w:rFonts w:hint="eastAsia" w:ascii="黑体" w:hAnsi="黑体" w:eastAsia="黑体" w:cs="黑体"/>
          <w:color w:val="333333"/>
          <w:kern w:val="0"/>
          <w:sz w:val="32"/>
          <w:szCs w:val="32"/>
        </w:rPr>
        <w:t>响应</w:t>
      </w:r>
      <w:r>
        <w:rPr>
          <w:rFonts w:hint="eastAsia" w:ascii="黑体" w:hAnsi="黑体" w:eastAsia="黑体" w:cs="黑体"/>
          <w:color w:val="333333"/>
          <w:kern w:val="0"/>
          <w:sz w:val="32"/>
          <w:szCs w:val="32"/>
          <w:lang w:eastAsia="zh-CN"/>
        </w:rPr>
        <w:t>要求</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000000"/>
          <w:sz w:val="32"/>
          <w:szCs w:val="32"/>
        </w:rPr>
        <w:t>提供7*24小时远程技术支持响应服务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应在15分钟内对用户所提出的应用软件平台运维相关服务要求做出实质性响应。</w:t>
      </w:r>
      <w:r>
        <w:rPr>
          <w:rFonts w:hint="eastAsia" w:ascii="仿宋_GB2312" w:hAnsi="仿宋_GB2312" w:eastAsia="仿宋_GB2312" w:cs="仿宋_GB2312"/>
          <w:color w:val="333333"/>
          <w:kern w:val="0"/>
          <w:sz w:val="32"/>
          <w:szCs w:val="32"/>
        </w:rPr>
        <w:t>供应商</w:t>
      </w:r>
      <w:r>
        <w:rPr>
          <w:rFonts w:hint="eastAsia" w:ascii="仿宋_GB2312" w:hAnsi="仿宋_GB2312" w:eastAsia="仿宋_GB2312" w:cs="仿宋_GB2312"/>
          <w:color w:val="333333"/>
          <w:kern w:val="0"/>
          <w:sz w:val="32"/>
          <w:szCs w:val="32"/>
          <w:lang w:eastAsia="zh-CN"/>
        </w:rPr>
        <w:t>出具承诺函并加盖公章，承诺</w:t>
      </w:r>
      <w:r>
        <w:rPr>
          <w:rFonts w:hint="eastAsia" w:ascii="仿宋_GB2312" w:hAnsi="仿宋_GB2312" w:eastAsia="仿宋_GB2312" w:cs="仿宋_GB2312"/>
          <w:color w:val="333333"/>
          <w:kern w:val="0"/>
          <w:sz w:val="32"/>
          <w:szCs w:val="32"/>
        </w:rPr>
        <w:t>具有</w:t>
      </w:r>
      <w:r>
        <w:rPr>
          <w:rFonts w:hint="eastAsia" w:ascii="仿宋_GB2312" w:hAnsi="仿宋_GB2312" w:eastAsia="仿宋_GB2312" w:cs="仿宋_GB2312"/>
          <w:color w:val="333333"/>
          <w:kern w:val="0"/>
          <w:sz w:val="32"/>
          <w:szCs w:val="32"/>
          <w:lang w:eastAsia="zh-CN"/>
        </w:rPr>
        <w:t>相关</w:t>
      </w:r>
      <w:r>
        <w:rPr>
          <w:rFonts w:hint="eastAsia" w:ascii="仿宋_GB2312" w:hAnsi="仿宋_GB2312" w:eastAsia="仿宋_GB2312" w:cs="仿宋_GB2312"/>
          <w:color w:val="333333"/>
          <w:kern w:val="0"/>
          <w:sz w:val="32"/>
          <w:szCs w:val="32"/>
        </w:rPr>
        <w:t>运维服务能力</w:t>
      </w:r>
      <w:r>
        <w:rPr>
          <w:rFonts w:hint="eastAsia" w:ascii="仿宋_GB2312" w:hAnsi="仿宋_GB2312" w:eastAsia="仿宋_GB2312" w:cs="仿宋_GB2312"/>
          <w:color w:val="333333"/>
          <w:kern w:val="0"/>
          <w:sz w:val="32"/>
          <w:szCs w:val="32"/>
          <w:lang w:eastAsia="zh-CN"/>
        </w:rPr>
        <w:t>，满足下表应急响应要求。</w:t>
      </w:r>
    </w:p>
    <w:tbl>
      <w:tblPr>
        <w:tblStyle w:val="7"/>
        <w:tblW w:w="8464" w:type="dxa"/>
        <w:tblCellSpacing w:w="1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51"/>
        <w:gridCol w:w="4103"/>
        <w:gridCol w:w="1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故障级别</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故障主要特征</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响应时间</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恢复时间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82"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紧急</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系统出现宕机等严重问题；系统无法启用；系统崩溃导致业务停止、数据丢失</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出现关键业务故障；系统故障可能造成重大安全事故或损失。</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15分钟，2小时内提交故障处理方案。</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82"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一般</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系统基本正常，出现非致命性、非关键业务错误，但影响用户工作。</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15分钟，</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小时内提交故障处理方案。</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24小时</w:t>
            </w:r>
            <w:r>
              <w:rPr>
                <w:rFonts w:hint="eastAsia" w:ascii="宋体" w:hAnsi="宋体" w:eastAsia="宋体" w:cs="宋体"/>
                <w:kern w:val="0"/>
                <w:sz w:val="21"/>
                <w:szCs w:val="21"/>
              </w:rPr>
              <w:t>内（具体要视问题解决的难易程度和限制条件定）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033"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轻微</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其他非功能性问题，如用户认为操作不方便、不够友好而要求改进。</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按需</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按需</w:t>
            </w: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三、服务考核内容及标准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bidi="ar"/>
        </w:rPr>
        <w:t>在服务期内，甲方将对乙方提供的服务进行考核，单次考核期分数仅在本次考核期内有效，不影响下次考核期的评分，单次考核分数总分为100分。</w:t>
      </w:r>
      <w:r>
        <w:rPr>
          <w:rFonts w:hint="eastAsia" w:ascii="仿宋_GB2312" w:hAnsi="仿宋_GB2312" w:eastAsia="仿宋_GB2312" w:cs="仿宋_GB2312"/>
          <w:sz w:val="32"/>
          <w:szCs w:val="32"/>
          <w:lang w:eastAsia="zh-CN" w:bidi="ar"/>
        </w:rPr>
        <w:t>前半年</w:t>
      </w:r>
      <w:r>
        <w:rPr>
          <w:rFonts w:hint="eastAsia" w:ascii="仿宋_GB2312" w:hAnsi="仿宋_GB2312" w:eastAsia="仿宋_GB2312" w:cs="仿宋_GB2312"/>
          <w:sz w:val="32"/>
          <w:szCs w:val="32"/>
          <w:lang w:eastAsia="zh-Hans" w:bidi="ar"/>
        </w:rPr>
        <w:t>考核分数（</w:t>
      </w:r>
      <w:r>
        <w:rPr>
          <w:rFonts w:hint="eastAsia" w:ascii="仿宋_GB2312" w:hAnsi="仿宋_GB2312" w:eastAsia="仿宋_GB2312" w:cs="仿宋_GB2312"/>
          <w:sz w:val="32"/>
          <w:szCs w:val="32"/>
          <w:lang w:eastAsia="zh-CN" w:bidi="ar"/>
        </w:rPr>
        <w:t>服务期的第一季度考核分数和第二季度考核分数的平均值</w:t>
      </w:r>
      <w:r>
        <w:rPr>
          <w:rFonts w:hint="eastAsia" w:ascii="仿宋_GB2312" w:hAnsi="仿宋_GB2312" w:eastAsia="仿宋_GB2312" w:cs="仿宋_GB2312"/>
          <w:sz w:val="32"/>
          <w:szCs w:val="32"/>
          <w:lang w:eastAsia="zh-Hans" w:bidi="ar"/>
        </w:rPr>
        <w:t>）和</w:t>
      </w:r>
      <w:r>
        <w:rPr>
          <w:rFonts w:hint="eastAsia" w:ascii="仿宋_GB2312" w:hAnsi="仿宋_GB2312" w:eastAsia="仿宋_GB2312" w:cs="仿宋_GB2312"/>
          <w:sz w:val="32"/>
          <w:szCs w:val="32"/>
          <w:lang w:eastAsia="zh-CN" w:bidi="ar"/>
        </w:rPr>
        <w:t>后半年</w:t>
      </w:r>
      <w:r>
        <w:rPr>
          <w:rFonts w:hint="eastAsia" w:ascii="仿宋_GB2312" w:hAnsi="仿宋_GB2312" w:eastAsia="仿宋_GB2312" w:cs="仿宋_GB2312"/>
          <w:sz w:val="32"/>
          <w:szCs w:val="32"/>
          <w:lang w:eastAsia="zh-Hans" w:bidi="ar"/>
        </w:rPr>
        <w:t>考核分数（</w:t>
      </w:r>
      <w:r>
        <w:rPr>
          <w:rFonts w:hint="eastAsia" w:ascii="仿宋_GB2312" w:hAnsi="仿宋_GB2312" w:eastAsia="仿宋_GB2312" w:cs="仿宋_GB2312"/>
          <w:sz w:val="32"/>
          <w:szCs w:val="32"/>
          <w:lang w:eastAsia="zh-CN" w:bidi="ar"/>
        </w:rPr>
        <w:t>服务期的第三季度考核分数和第四季度考核分数的平均值</w:t>
      </w:r>
      <w:r>
        <w:rPr>
          <w:rFonts w:hint="eastAsia" w:ascii="仿宋_GB2312" w:hAnsi="仿宋_GB2312" w:eastAsia="仿宋_GB2312" w:cs="仿宋_GB2312"/>
          <w:sz w:val="32"/>
          <w:szCs w:val="32"/>
          <w:lang w:eastAsia="zh-Hans" w:bidi="ar"/>
        </w:rPr>
        <w:t>）直接与服务费用支付挂钩，评分内容及评分标准详见“水利质量检测监管平台运维考核评分表”，评分办法如下：</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考核分数为90分以上，</w:t>
      </w:r>
      <w:r>
        <w:rPr>
          <w:rFonts w:hint="eastAsia" w:ascii="仿宋_GB2312" w:hAnsi="仿宋_GB2312" w:eastAsia="仿宋_GB2312" w:cs="仿宋_GB2312"/>
          <w:sz w:val="32"/>
          <w:szCs w:val="32"/>
          <w:lang w:val="en-US" w:eastAsia="zh-CN"/>
        </w:rPr>
        <w:t>支付全部</w:t>
      </w:r>
      <w:r>
        <w:rPr>
          <w:rFonts w:hint="eastAsia" w:ascii="仿宋_GB2312" w:hAnsi="仿宋_GB2312" w:eastAsia="仿宋_GB2312" w:cs="仿宋_GB2312"/>
          <w:sz w:val="32"/>
          <w:szCs w:val="32"/>
          <w:lang w:eastAsia="zh-Hans"/>
        </w:rPr>
        <w:t>服务费用。</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考核分数为90分及以下，</w:t>
      </w:r>
      <w:r>
        <w:rPr>
          <w:rFonts w:hint="eastAsia" w:ascii="仿宋_GB2312" w:hAnsi="仿宋_GB2312" w:eastAsia="仿宋_GB2312" w:cs="仿宋_GB2312"/>
          <w:sz w:val="32"/>
          <w:szCs w:val="32"/>
          <w:lang w:val="en-US" w:eastAsia="zh-CN"/>
        </w:rPr>
        <w:t>支付所得分数相对应的服务费用的百分比</w:t>
      </w:r>
      <w:r>
        <w:rPr>
          <w:rFonts w:hint="eastAsia" w:ascii="仿宋_GB2312" w:hAnsi="仿宋_GB2312" w:eastAsia="仿宋_GB2312" w:cs="仿宋_GB2312"/>
          <w:sz w:val="32"/>
          <w:szCs w:val="32"/>
          <w:lang w:eastAsia="zh-Hans"/>
        </w:rPr>
        <w:t>（如考核分数为85分，则支付对应批次服务费用的85%）。</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若考核分数低于80分，则支付对应批次服务费用的50%。</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若考核分数低于60分或发生重大事故两次，经认定责任方为乙方的，则甲方有权拒绝支付剩余服务费用并保留取消合同的权利。</w:t>
      </w:r>
    </w:p>
    <w:p>
      <w:pPr>
        <w:widowControl w:val="0"/>
        <w:tabs>
          <w:tab w:val="left" w:pos="426"/>
        </w:tabs>
        <w:adjustRightInd w:val="0"/>
        <w:snapToGrid w:val="0"/>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bidi="ar"/>
        </w:rPr>
        <w:t>水利质量检测监管平台运</w:t>
      </w:r>
      <w:r>
        <w:rPr>
          <w:rFonts w:hint="eastAsia" w:ascii="黑体" w:hAnsi="黑体" w:eastAsia="黑体" w:cs="黑体"/>
          <w:sz w:val="32"/>
          <w:szCs w:val="32"/>
          <w:lang w:eastAsia="zh-CN" w:bidi="ar"/>
        </w:rPr>
        <w:t>行</w:t>
      </w:r>
      <w:r>
        <w:rPr>
          <w:rFonts w:hint="eastAsia" w:ascii="黑体" w:hAnsi="黑体" w:eastAsia="黑体" w:cs="黑体"/>
          <w:sz w:val="32"/>
          <w:szCs w:val="32"/>
          <w:lang w:eastAsia="zh-Hans" w:bidi="ar"/>
        </w:rPr>
        <w:t>维</w:t>
      </w:r>
      <w:r>
        <w:rPr>
          <w:rFonts w:hint="eastAsia" w:ascii="黑体" w:hAnsi="黑体" w:eastAsia="黑体" w:cs="黑体"/>
          <w:sz w:val="32"/>
          <w:szCs w:val="32"/>
          <w:lang w:eastAsia="zh-CN" w:bidi="ar"/>
        </w:rPr>
        <w:t>护</w:t>
      </w:r>
      <w:r>
        <w:rPr>
          <w:rFonts w:hint="eastAsia" w:ascii="黑体" w:hAnsi="黑体" w:eastAsia="黑体" w:cs="黑体"/>
          <w:sz w:val="32"/>
          <w:szCs w:val="32"/>
          <w:lang w:eastAsia="zh-Hans" w:bidi="ar"/>
        </w:rPr>
        <w:t>考核评分表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09"/>
        <w:gridCol w:w="1752"/>
        <w:gridCol w:w="3020"/>
        <w:gridCol w:w="85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spacing w:line="360" w:lineRule="exact"/>
              <w:jc w:val="center"/>
              <w:rPr>
                <w:rFonts w:cs="Arial"/>
                <w:bCs/>
                <w:sz w:val="21"/>
                <w:szCs w:val="21"/>
              </w:rPr>
            </w:pPr>
            <w:r>
              <w:rPr>
                <w:rFonts w:cs="Arial"/>
                <w:bCs/>
                <w:w w:val="105"/>
                <w:sz w:val="21"/>
                <w:szCs w:val="21"/>
              </w:rPr>
              <w:t>序号</w:t>
            </w:r>
          </w:p>
        </w:tc>
        <w:tc>
          <w:tcPr>
            <w:tcW w:w="1276" w:type="dxa"/>
            <w:noWrap w:val="0"/>
            <w:vAlign w:val="center"/>
          </w:tcPr>
          <w:p>
            <w:pPr>
              <w:widowControl w:val="0"/>
              <w:spacing w:line="360" w:lineRule="exact"/>
              <w:jc w:val="center"/>
              <w:rPr>
                <w:rFonts w:cs="Arial"/>
                <w:bCs/>
                <w:sz w:val="21"/>
                <w:szCs w:val="21"/>
              </w:rPr>
            </w:pPr>
            <w:r>
              <w:rPr>
                <w:rFonts w:cs="Arial"/>
                <w:bCs/>
                <w:w w:val="105"/>
                <w:sz w:val="21"/>
                <w:szCs w:val="21"/>
              </w:rPr>
              <w:t>指标名称</w:t>
            </w:r>
          </w:p>
        </w:tc>
        <w:tc>
          <w:tcPr>
            <w:tcW w:w="709" w:type="dxa"/>
            <w:noWrap w:val="0"/>
            <w:vAlign w:val="center"/>
          </w:tcPr>
          <w:p>
            <w:pPr>
              <w:widowControl w:val="0"/>
              <w:spacing w:line="360" w:lineRule="exact"/>
              <w:jc w:val="center"/>
              <w:rPr>
                <w:rFonts w:cs="Arial"/>
                <w:bCs/>
                <w:sz w:val="21"/>
                <w:szCs w:val="21"/>
              </w:rPr>
            </w:pPr>
            <w:r>
              <w:rPr>
                <w:rFonts w:cs="Arial"/>
                <w:bCs/>
                <w:w w:val="105"/>
                <w:sz w:val="21"/>
                <w:szCs w:val="21"/>
              </w:rPr>
              <w:t>分值</w:t>
            </w:r>
          </w:p>
        </w:tc>
        <w:tc>
          <w:tcPr>
            <w:tcW w:w="4772" w:type="dxa"/>
            <w:gridSpan w:val="2"/>
            <w:noWrap w:val="0"/>
            <w:vAlign w:val="center"/>
          </w:tcPr>
          <w:p>
            <w:pPr>
              <w:widowControl w:val="0"/>
              <w:spacing w:line="360" w:lineRule="exact"/>
              <w:jc w:val="center"/>
              <w:rPr>
                <w:rFonts w:cs="Arial"/>
                <w:bCs/>
                <w:sz w:val="21"/>
                <w:szCs w:val="21"/>
              </w:rPr>
            </w:pPr>
            <w:r>
              <w:rPr>
                <w:rFonts w:cs="Arial"/>
                <w:bCs/>
                <w:w w:val="105"/>
                <w:sz w:val="21"/>
                <w:szCs w:val="21"/>
              </w:rPr>
              <w:t>考核内容及标准</w:t>
            </w:r>
          </w:p>
        </w:tc>
        <w:tc>
          <w:tcPr>
            <w:tcW w:w="850" w:type="dxa"/>
            <w:noWrap w:val="0"/>
            <w:vAlign w:val="center"/>
          </w:tcPr>
          <w:p>
            <w:pPr>
              <w:widowControl w:val="0"/>
              <w:spacing w:line="360" w:lineRule="exact"/>
              <w:jc w:val="center"/>
              <w:rPr>
                <w:rFonts w:cs="Arial"/>
                <w:bCs/>
                <w:sz w:val="21"/>
                <w:szCs w:val="21"/>
              </w:rPr>
            </w:pPr>
            <w:r>
              <w:rPr>
                <w:rFonts w:cs="Arial"/>
                <w:bCs/>
                <w:w w:val="105"/>
                <w:sz w:val="21"/>
                <w:szCs w:val="21"/>
              </w:rPr>
              <w:t>评分</w:t>
            </w:r>
          </w:p>
        </w:tc>
        <w:tc>
          <w:tcPr>
            <w:tcW w:w="679" w:type="dxa"/>
            <w:noWrap w:val="0"/>
            <w:vAlign w:val="center"/>
          </w:tcPr>
          <w:p>
            <w:pPr>
              <w:widowControl w:val="0"/>
              <w:spacing w:line="360" w:lineRule="exact"/>
              <w:jc w:val="center"/>
              <w:rPr>
                <w:rFonts w:cs="Arial"/>
                <w:bCs/>
                <w:sz w:val="21"/>
                <w:szCs w:val="21"/>
              </w:rPr>
            </w:pPr>
            <w:r>
              <w:rPr>
                <w:rFonts w:cs="Arial"/>
                <w:bCs/>
                <w:w w:val="105"/>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pPr>
              <w:widowControl w:val="0"/>
              <w:spacing w:line="360" w:lineRule="exact"/>
              <w:jc w:val="center"/>
              <w:rPr>
                <w:rFonts w:cs="Arial"/>
                <w:sz w:val="21"/>
                <w:szCs w:val="21"/>
              </w:rPr>
            </w:pPr>
            <w:r>
              <w:rPr>
                <w:rFonts w:cs="Arial"/>
                <w:w w:val="133"/>
                <w:sz w:val="21"/>
                <w:szCs w:val="21"/>
              </w:rPr>
              <w:t>1</w:t>
            </w:r>
          </w:p>
        </w:tc>
        <w:tc>
          <w:tcPr>
            <w:tcW w:w="1276" w:type="dxa"/>
            <w:vMerge w:val="restart"/>
            <w:noWrap w:val="0"/>
            <w:vAlign w:val="center"/>
          </w:tcPr>
          <w:p>
            <w:pPr>
              <w:widowControl w:val="0"/>
              <w:spacing w:line="360" w:lineRule="exact"/>
              <w:jc w:val="center"/>
              <w:rPr>
                <w:rFonts w:cs="Arial"/>
                <w:w w:val="105"/>
                <w:sz w:val="21"/>
                <w:szCs w:val="21"/>
              </w:rPr>
            </w:pPr>
            <w:r>
              <w:rPr>
                <w:rFonts w:cs="Arial"/>
                <w:w w:val="105"/>
                <w:sz w:val="21"/>
                <w:szCs w:val="21"/>
              </w:rPr>
              <w:t>人员</w:t>
            </w:r>
          </w:p>
          <w:p>
            <w:pPr>
              <w:widowControl w:val="0"/>
              <w:spacing w:line="360" w:lineRule="exact"/>
              <w:jc w:val="center"/>
              <w:rPr>
                <w:rFonts w:cs="Arial"/>
                <w:sz w:val="21"/>
                <w:szCs w:val="21"/>
              </w:rPr>
            </w:pPr>
            <w:r>
              <w:rPr>
                <w:rFonts w:cs="Arial"/>
                <w:w w:val="105"/>
                <w:sz w:val="21"/>
                <w:szCs w:val="21"/>
              </w:rPr>
              <w:t>考核</w:t>
            </w:r>
          </w:p>
        </w:tc>
        <w:tc>
          <w:tcPr>
            <w:tcW w:w="709" w:type="dxa"/>
            <w:vMerge w:val="restart"/>
            <w:noWrap w:val="0"/>
            <w:vAlign w:val="center"/>
          </w:tcPr>
          <w:p>
            <w:pPr>
              <w:widowControl w:val="0"/>
              <w:spacing w:line="360" w:lineRule="exact"/>
              <w:jc w:val="center"/>
              <w:rPr>
                <w:rFonts w:cs="Arial"/>
                <w:sz w:val="21"/>
                <w:szCs w:val="21"/>
              </w:rPr>
            </w:pPr>
            <w:r>
              <w:rPr>
                <w:rFonts w:cs="Arial"/>
                <w:w w:val="135"/>
                <w:sz w:val="21"/>
                <w:szCs w:val="21"/>
              </w:rPr>
              <w:t>45</w:t>
            </w:r>
          </w:p>
        </w:tc>
        <w:tc>
          <w:tcPr>
            <w:tcW w:w="4772" w:type="dxa"/>
            <w:gridSpan w:val="2"/>
            <w:noWrap w:val="0"/>
            <w:vAlign w:val="center"/>
          </w:tcPr>
          <w:p>
            <w:pPr>
              <w:widowControl w:val="0"/>
              <w:spacing w:line="360" w:lineRule="exact"/>
              <w:rPr>
                <w:rFonts w:cs="Arial"/>
                <w:sz w:val="21"/>
                <w:szCs w:val="21"/>
              </w:rPr>
            </w:pPr>
            <w:r>
              <w:rPr>
                <w:rFonts w:cs="Arial"/>
                <w:w w:val="110"/>
                <w:sz w:val="21"/>
                <w:szCs w:val="21"/>
              </w:rPr>
              <w:t>无故</w:t>
            </w:r>
            <w:r>
              <w:rPr>
                <w:rFonts w:hint="eastAsia" w:cs="Arial"/>
                <w:w w:val="105"/>
                <w:sz w:val="21"/>
                <w:szCs w:val="21"/>
                <w:lang w:eastAsia="zh-CN"/>
              </w:rPr>
              <w:t>不及时联络</w:t>
            </w:r>
            <w:r>
              <w:rPr>
                <w:rFonts w:cs="Arial"/>
                <w:w w:val="105"/>
                <w:sz w:val="21"/>
                <w:szCs w:val="21"/>
              </w:rPr>
              <w:t>，每人每次</w:t>
            </w:r>
            <w:r>
              <w:rPr>
                <w:rFonts w:cs="Arial"/>
                <w:w w:val="110"/>
                <w:sz w:val="21"/>
                <w:szCs w:val="21"/>
              </w:rPr>
              <w:t>扣</w:t>
            </w:r>
            <w:r>
              <w:rPr>
                <w:rFonts w:hint="eastAsia" w:cs="Arial"/>
                <w:w w:val="110"/>
                <w:sz w:val="21"/>
                <w:szCs w:val="21"/>
              </w:rPr>
              <w:t>1</w:t>
            </w:r>
            <w:r>
              <w:rPr>
                <w:rFonts w:cs="Arial"/>
                <w:w w:val="110"/>
                <w:sz w:val="21"/>
                <w:szCs w:val="21"/>
              </w:rPr>
              <w:t>分，扣完为止</w:t>
            </w:r>
            <w:r>
              <w:rPr>
                <w:rFonts w:cs="Arial"/>
                <w:w w:val="115"/>
                <w:sz w:val="21"/>
                <w:szCs w:val="21"/>
              </w:rPr>
              <w:t>。（满分</w:t>
            </w:r>
            <w:r>
              <w:rPr>
                <w:rFonts w:hint="eastAsia" w:cs="Arial"/>
                <w:w w:val="115"/>
                <w:sz w:val="21"/>
                <w:szCs w:val="21"/>
              </w:rPr>
              <w:t>10</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vMerge w:val="restart"/>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cs="Arial"/>
                <w:w w:val="105"/>
                <w:sz w:val="21"/>
                <w:szCs w:val="21"/>
              </w:rPr>
              <w:t>未经甲方同意，中途更换主要技术人员，每次</w:t>
            </w:r>
            <w:r>
              <w:rPr>
                <w:rFonts w:cs="Arial"/>
                <w:w w:val="110"/>
                <w:sz w:val="21"/>
                <w:szCs w:val="21"/>
              </w:rPr>
              <w:t>扣</w:t>
            </w:r>
            <w:r>
              <w:rPr>
                <w:rFonts w:hint="eastAsia" w:cs="Arial"/>
                <w:w w:val="110"/>
                <w:sz w:val="21"/>
                <w:szCs w:val="21"/>
              </w:rPr>
              <w:t>5</w:t>
            </w:r>
            <w:r>
              <w:rPr>
                <w:rFonts w:cs="Arial"/>
                <w:w w:val="110"/>
                <w:sz w:val="21"/>
                <w:szCs w:val="21"/>
              </w:rPr>
              <w:t>分，扣完为止</w:t>
            </w:r>
            <w:r>
              <w:rPr>
                <w:rFonts w:cs="Arial"/>
                <w:w w:val="115"/>
                <w:sz w:val="21"/>
                <w:szCs w:val="21"/>
              </w:rPr>
              <w:t>。（满分</w:t>
            </w:r>
            <w:r>
              <w:rPr>
                <w:rFonts w:hint="eastAsia" w:cs="Arial"/>
                <w:w w:val="115"/>
                <w:sz w:val="21"/>
                <w:szCs w:val="21"/>
              </w:rPr>
              <w:t>15</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cs="Arial"/>
                <w:w w:val="105"/>
                <w:sz w:val="21"/>
                <w:szCs w:val="21"/>
              </w:rPr>
              <w:t>重要时期或应甲方要求，临时增派运维人员，</w:t>
            </w:r>
            <w:r>
              <w:rPr>
                <w:rFonts w:hint="eastAsia" w:cs="Arial"/>
                <w:w w:val="105"/>
                <w:sz w:val="21"/>
                <w:szCs w:val="21"/>
                <w:lang w:eastAsia="zh-CN"/>
              </w:rPr>
              <w:t>未到</w:t>
            </w:r>
            <w:r>
              <w:rPr>
                <w:rFonts w:cs="Arial"/>
                <w:w w:val="110"/>
                <w:sz w:val="21"/>
                <w:szCs w:val="21"/>
              </w:rPr>
              <w:t>一次扣</w:t>
            </w:r>
            <w:r>
              <w:rPr>
                <w:rFonts w:hint="eastAsia" w:cs="Arial"/>
                <w:w w:val="110"/>
                <w:sz w:val="21"/>
                <w:szCs w:val="21"/>
              </w:rPr>
              <w:t>1</w:t>
            </w:r>
            <w:r>
              <w:rPr>
                <w:rFonts w:cs="Arial"/>
                <w:w w:val="110"/>
                <w:sz w:val="21"/>
                <w:szCs w:val="21"/>
              </w:rPr>
              <w:t>分</w:t>
            </w:r>
            <w:r>
              <w:rPr>
                <w:rFonts w:cs="Arial"/>
                <w:w w:val="105"/>
                <w:sz w:val="21"/>
                <w:szCs w:val="21"/>
              </w:rPr>
              <w:t>，扣完为止。（满</w:t>
            </w:r>
            <w:r>
              <w:rPr>
                <w:rFonts w:cs="Arial"/>
                <w:w w:val="115"/>
                <w:sz w:val="21"/>
                <w:szCs w:val="21"/>
              </w:rPr>
              <w:t>分</w:t>
            </w:r>
            <w:r>
              <w:rPr>
                <w:rFonts w:hint="eastAsia" w:cs="Arial"/>
                <w:w w:val="115"/>
                <w:sz w:val="21"/>
                <w:szCs w:val="21"/>
              </w:rPr>
              <w:t>5</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cs="Arial"/>
                <w:w w:val="105"/>
                <w:sz w:val="21"/>
                <w:szCs w:val="21"/>
              </w:rPr>
              <w:t>甲方对此</w:t>
            </w:r>
            <w:r>
              <w:rPr>
                <w:rFonts w:hint="eastAsia" w:cs="Arial"/>
                <w:w w:val="105"/>
                <w:sz w:val="21"/>
                <w:szCs w:val="21"/>
                <w:lang w:eastAsia="zh-CN"/>
              </w:rPr>
              <w:t>运维</w:t>
            </w:r>
            <w:r>
              <w:rPr>
                <w:rFonts w:cs="Arial"/>
                <w:w w:val="105"/>
                <w:sz w:val="21"/>
                <w:szCs w:val="21"/>
              </w:rPr>
              <w:t>人员工作情况和工作满意度打分。（满分</w:t>
            </w:r>
            <w:r>
              <w:rPr>
                <w:rFonts w:hint="eastAsia" w:cs="Arial"/>
                <w:w w:val="105"/>
                <w:sz w:val="21"/>
                <w:szCs w:val="21"/>
              </w:rPr>
              <w:t>1</w:t>
            </w:r>
            <w:r>
              <w:rPr>
                <w:rFonts w:hint="eastAsia" w:cs="Arial"/>
                <w:w w:val="115"/>
                <w:sz w:val="21"/>
                <w:szCs w:val="21"/>
              </w:rPr>
              <w:t>5</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spacing w:line="360" w:lineRule="exact"/>
              <w:jc w:val="center"/>
              <w:rPr>
                <w:rFonts w:cs="Arial"/>
                <w:sz w:val="21"/>
                <w:szCs w:val="21"/>
              </w:rPr>
            </w:pPr>
            <w:r>
              <w:rPr>
                <w:rFonts w:cs="Arial"/>
                <w:w w:val="133"/>
                <w:sz w:val="21"/>
                <w:szCs w:val="21"/>
              </w:rPr>
              <w:t>2</w:t>
            </w:r>
          </w:p>
        </w:tc>
        <w:tc>
          <w:tcPr>
            <w:tcW w:w="1276" w:type="dxa"/>
            <w:noWrap w:val="0"/>
            <w:vAlign w:val="center"/>
          </w:tcPr>
          <w:p>
            <w:pPr>
              <w:widowControl w:val="0"/>
              <w:spacing w:line="360" w:lineRule="exact"/>
              <w:jc w:val="center"/>
              <w:rPr>
                <w:rFonts w:cs="Arial"/>
                <w:sz w:val="21"/>
                <w:szCs w:val="21"/>
              </w:rPr>
            </w:pPr>
            <w:r>
              <w:rPr>
                <w:rFonts w:cs="Arial"/>
                <w:w w:val="105"/>
                <w:sz w:val="21"/>
                <w:szCs w:val="21"/>
              </w:rPr>
              <w:t>故障响应与解决时间</w:t>
            </w:r>
          </w:p>
        </w:tc>
        <w:tc>
          <w:tcPr>
            <w:tcW w:w="709" w:type="dxa"/>
            <w:noWrap w:val="0"/>
            <w:vAlign w:val="center"/>
          </w:tcPr>
          <w:p>
            <w:pPr>
              <w:widowControl w:val="0"/>
              <w:spacing w:line="360" w:lineRule="exact"/>
              <w:jc w:val="center"/>
              <w:rPr>
                <w:rFonts w:cs="Arial"/>
                <w:sz w:val="21"/>
                <w:szCs w:val="21"/>
              </w:rPr>
            </w:pPr>
            <w:r>
              <w:rPr>
                <w:rFonts w:cs="Arial"/>
                <w:w w:val="135"/>
                <w:sz w:val="21"/>
                <w:szCs w:val="21"/>
              </w:rPr>
              <w:t>15</w:t>
            </w:r>
          </w:p>
        </w:tc>
        <w:tc>
          <w:tcPr>
            <w:tcW w:w="4772" w:type="dxa"/>
            <w:gridSpan w:val="2"/>
            <w:noWrap w:val="0"/>
            <w:vAlign w:val="center"/>
          </w:tcPr>
          <w:p>
            <w:pPr>
              <w:widowControl w:val="0"/>
              <w:spacing w:line="360" w:lineRule="exact"/>
              <w:rPr>
                <w:rFonts w:cs="Arial"/>
                <w:sz w:val="21"/>
                <w:szCs w:val="21"/>
              </w:rPr>
            </w:pPr>
            <w:r>
              <w:rPr>
                <w:rFonts w:cs="Arial"/>
                <w:sz w:val="21"/>
                <w:szCs w:val="21"/>
              </w:rPr>
              <w:t>每次发生故障响应与解决时间超过合同规定。</w:t>
            </w:r>
            <w:r>
              <w:rPr>
                <w:rFonts w:hint="eastAsia" w:cs="Arial"/>
                <w:sz w:val="21"/>
                <w:szCs w:val="21"/>
                <w:lang w:eastAsia="zh-CN"/>
              </w:rPr>
              <w:t>紧急</w:t>
            </w:r>
            <w:r>
              <w:rPr>
                <w:rFonts w:cs="Arial"/>
                <w:sz w:val="21"/>
                <w:szCs w:val="21"/>
              </w:rPr>
              <w:t>级故障</w:t>
            </w:r>
            <w:r>
              <w:rPr>
                <w:rFonts w:cs="Arial"/>
                <w:w w:val="104"/>
                <w:sz w:val="21"/>
                <w:szCs w:val="21"/>
              </w:rPr>
              <w:t>扣</w:t>
            </w:r>
            <w:r>
              <w:rPr>
                <w:rFonts w:cs="Arial"/>
                <w:w w:val="133"/>
                <w:sz w:val="21"/>
                <w:szCs w:val="21"/>
              </w:rPr>
              <w:t>1</w:t>
            </w:r>
            <w:r>
              <w:rPr>
                <w:rFonts w:cs="Arial"/>
                <w:w w:val="104"/>
                <w:sz w:val="21"/>
                <w:szCs w:val="21"/>
              </w:rPr>
              <w:t>分，</w:t>
            </w:r>
            <w:r>
              <w:rPr>
                <w:rFonts w:hint="eastAsia" w:cs="Arial"/>
                <w:w w:val="104"/>
                <w:sz w:val="21"/>
                <w:szCs w:val="21"/>
                <w:lang w:eastAsia="zh-CN"/>
              </w:rPr>
              <w:t>一般级</w:t>
            </w:r>
            <w:r>
              <w:rPr>
                <w:rFonts w:cs="Arial"/>
                <w:w w:val="104"/>
                <w:sz w:val="21"/>
                <w:szCs w:val="21"/>
              </w:rPr>
              <w:t>故障</w:t>
            </w:r>
            <w:r>
              <w:rPr>
                <w:rFonts w:cs="Arial"/>
                <w:sz w:val="21"/>
                <w:szCs w:val="21"/>
              </w:rPr>
              <w:t>扣</w:t>
            </w:r>
            <w:r>
              <w:rPr>
                <w:rFonts w:hint="eastAsia" w:cs="Arial"/>
                <w:w w:val="130"/>
                <w:sz w:val="21"/>
                <w:szCs w:val="21"/>
              </w:rPr>
              <w:t>0.3</w:t>
            </w:r>
            <w:r>
              <w:rPr>
                <w:rFonts w:cs="Arial"/>
                <w:sz w:val="21"/>
                <w:szCs w:val="21"/>
              </w:rPr>
              <w:t>分，</w:t>
            </w:r>
            <w:r>
              <w:rPr>
                <w:rFonts w:hint="eastAsia" w:cs="Arial"/>
                <w:sz w:val="21"/>
                <w:szCs w:val="21"/>
                <w:lang w:eastAsia="zh-CN"/>
              </w:rPr>
              <w:t>轻微</w:t>
            </w:r>
            <w:r>
              <w:rPr>
                <w:rFonts w:cs="Arial"/>
                <w:sz w:val="21"/>
                <w:szCs w:val="21"/>
              </w:rPr>
              <w:t>级故障扣</w:t>
            </w:r>
            <w:r>
              <w:rPr>
                <w:rFonts w:hint="eastAsia" w:cs="Arial"/>
                <w:w w:val="130"/>
                <w:sz w:val="21"/>
                <w:szCs w:val="21"/>
              </w:rPr>
              <w:t>0.2</w:t>
            </w:r>
            <w:r>
              <w:rPr>
                <w:rFonts w:cs="Arial"/>
                <w:sz w:val="21"/>
                <w:szCs w:val="21"/>
              </w:rPr>
              <w:t>分。扣完</w:t>
            </w:r>
            <w:r>
              <w:rPr>
                <w:rFonts w:cs="Arial"/>
                <w:w w:val="105"/>
                <w:sz w:val="21"/>
                <w:szCs w:val="21"/>
              </w:rPr>
              <w:t>为止。</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widowControl w:val="0"/>
              <w:spacing w:line="360" w:lineRule="exact"/>
              <w:jc w:val="center"/>
              <w:rPr>
                <w:rFonts w:cs="Arial"/>
                <w:sz w:val="21"/>
                <w:szCs w:val="21"/>
              </w:rPr>
            </w:pPr>
            <w:r>
              <w:rPr>
                <w:rFonts w:cs="Arial"/>
                <w:w w:val="133"/>
                <w:sz w:val="21"/>
                <w:szCs w:val="21"/>
              </w:rPr>
              <w:t>3</w:t>
            </w:r>
          </w:p>
        </w:tc>
        <w:tc>
          <w:tcPr>
            <w:tcW w:w="1276" w:type="dxa"/>
            <w:vMerge w:val="restart"/>
            <w:noWrap w:val="0"/>
            <w:vAlign w:val="center"/>
          </w:tcPr>
          <w:p>
            <w:pPr>
              <w:widowControl w:val="0"/>
              <w:spacing w:line="360" w:lineRule="exact"/>
              <w:jc w:val="center"/>
              <w:rPr>
                <w:rFonts w:cs="Arial"/>
                <w:sz w:val="21"/>
                <w:szCs w:val="21"/>
              </w:rPr>
            </w:pPr>
            <w:r>
              <w:rPr>
                <w:rFonts w:cs="Arial"/>
                <w:w w:val="105"/>
                <w:sz w:val="21"/>
                <w:szCs w:val="21"/>
              </w:rPr>
              <w:t>日常工作考核</w:t>
            </w:r>
          </w:p>
        </w:tc>
        <w:tc>
          <w:tcPr>
            <w:tcW w:w="709" w:type="dxa"/>
            <w:vMerge w:val="restart"/>
            <w:noWrap w:val="0"/>
            <w:vAlign w:val="center"/>
          </w:tcPr>
          <w:p>
            <w:pPr>
              <w:widowControl w:val="0"/>
              <w:spacing w:line="360" w:lineRule="exact"/>
              <w:jc w:val="center"/>
              <w:rPr>
                <w:rFonts w:cs="Arial"/>
                <w:sz w:val="21"/>
                <w:szCs w:val="21"/>
              </w:rPr>
            </w:pPr>
            <w:r>
              <w:rPr>
                <w:rFonts w:cs="Arial"/>
                <w:w w:val="135"/>
                <w:sz w:val="21"/>
                <w:szCs w:val="21"/>
              </w:rPr>
              <w:t>25</w:t>
            </w:r>
          </w:p>
        </w:tc>
        <w:tc>
          <w:tcPr>
            <w:tcW w:w="4772" w:type="dxa"/>
            <w:gridSpan w:val="2"/>
            <w:noWrap w:val="0"/>
            <w:vAlign w:val="center"/>
          </w:tcPr>
          <w:p>
            <w:pPr>
              <w:widowControl w:val="0"/>
              <w:spacing w:line="360" w:lineRule="exact"/>
              <w:rPr>
                <w:rFonts w:cs="Arial"/>
                <w:sz w:val="21"/>
                <w:szCs w:val="21"/>
              </w:rPr>
            </w:pPr>
            <w:r>
              <w:rPr>
                <w:rFonts w:hint="eastAsia" w:cs="Arial"/>
                <w:w w:val="110"/>
                <w:sz w:val="21"/>
                <w:szCs w:val="21"/>
              </w:rPr>
              <w:t>1</w:t>
            </w:r>
            <w:r>
              <w:rPr>
                <w:rFonts w:cs="Arial"/>
                <w:w w:val="110"/>
                <w:sz w:val="21"/>
                <w:szCs w:val="21"/>
              </w:rPr>
              <w:t>、故障归档管理</w:t>
            </w:r>
            <w:r>
              <w:rPr>
                <w:rFonts w:cs="Arial"/>
                <w:w w:val="105"/>
                <w:sz w:val="21"/>
                <w:szCs w:val="21"/>
              </w:rPr>
              <w:t>，故障发生后应及时整理故障情况、解决方案以及解决情况，归档并及时书面反馈。（共</w:t>
            </w:r>
            <w:r>
              <w:rPr>
                <w:rFonts w:hint="eastAsia" w:cs="Arial"/>
                <w:w w:val="115"/>
                <w:sz w:val="21"/>
                <w:szCs w:val="21"/>
              </w:rPr>
              <w:t>5</w:t>
            </w:r>
            <w:r>
              <w:rPr>
                <w:rFonts w:cs="Arial"/>
                <w:w w:val="105"/>
                <w:sz w:val="21"/>
                <w:szCs w:val="21"/>
              </w:rPr>
              <w:t>分）</w:t>
            </w:r>
          </w:p>
        </w:tc>
        <w:tc>
          <w:tcPr>
            <w:tcW w:w="850" w:type="dxa"/>
            <w:vMerge w:val="restart"/>
            <w:noWrap w:val="0"/>
            <w:vAlign w:val="center"/>
          </w:tcPr>
          <w:p>
            <w:pPr>
              <w:widowControl w:val="0"/>
              <w:spacing w:line="360" w:lineRule="exact"/>
              <w:jc w:val="center"/>
              <w:rPr>
                <w:rFonts w:cs="Arial"/>
                <w:sz w:val="21"/>
                <w:szCs w:val="21"/>
              </w:rPr>
            </w:pPr>
          </w:p>
        </w:tc>
        <w:tc>
          <w:tcPr>
            <w:tcW w:w="679" w:type="dxa"/>
            <w:vMerge w:val="restart"/>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2</w:t>
            </w:r>
            <w:r>
              <w:rPr>
                <w:rFonts w:cs="Arial"/>
                <w:w w:val="105"/>
                <w:sz w:val="21"/>
                <w:szCs w:val="21"/>
              </w:rPr>
              <w:t>、系统日台账运行资料整理，计入</w:t>
            </w:r>
            <w:r>
              <w:rPr>
                <w:rFonts w:cs="Arial"/>
                <w:w w:val="115"/>
                <w:sz w:val="21"/>
                <w:szCs w:val="21"/>
              </w:rPr>
              <w:t>。（共</w:t>
            </w:r>
            <w:r>
              <w:rPr>
                <w:rFonts w:hint="eastAsia" w:cs="Arial"/>
                <w:w w:val="115"/>
                <w:sz w:val="21"/>
                <w:szCs w:val="21"/>
              </w:rPr>
              <w:t>5</w:t>
            </w:r>
            <w:r>
              <w:rPr>
                <w:rFonts w:cs="Arial"/>
                <w:w w:val="11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3</w:t>
            </w:r>
            <w:r>
              <w:rPr>
                <w:rFonts w:cs="Arial"/>
                <w:w w:val="105"/>
                <w:sz w:val="21"/>
                <w:szCs w:val="21"/>
              </w:rPr>
              <w:t>、日常数据库整理入库存档工作。</w:t>
            </w:r>
            <w:r>
              <w:rPr>
                <w:rFonts w:cs="Arial"/>
                <w:w w:val="115"/>
                <w:sz w:val="21"/>
                <w:szCs w:val="21"/>
              </w:rPr>
              <w:t>（共</w:t>
            </w:r>
            <w:r>
              <w:rPr>
                <w:rFonts w:hint="eastAsia" w:cs="Arial"/>
                <w:w w:val="115"/>
                <w:sz w:val="21"/>
                <w:szCs w:val="21"/>
              </w:rPr>
              <w:t>5</w:t>
            </w:r>
            <w:r>
              <w:rPr>
                <w:rFonts w:cs="Arial"/>
                <w:w w:val="11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0"/>
                <w:sz w:val="21"/>
                <w:szCs w:val="21"/>
              </w:rPr>
              <w:t>4</w:t>
            </w:r>
            <w:r>
              <w:rPr>
                <w:rFonts w:cs="Arial"/>
                <w:w w:val="110"/>
                <w:sz w:val="21"/>
                <w:szCs w:val="21"/>
              </w:rPr>
              <w:t>、系统</w:t>
            </w:r>
            <w:r>
              <w:rPr>
                <w:rFonts w:hint="eastAsia" w:cs="Arial"/>
                <w:w w:val="110"/>
                <w:sz w:val="21"/>
                <w:szCs w:val="21"/>
                <w:lang w:eastAsia="zh-CN"/>
              </w:rPr>
              <w:t>季度</w:t>
            </w:r>
            <w:r>
              <w:rPr>
                <w:rFonts w:cs="Arial"/>
                <w:w w:val="105"/>
                <w:sz w:val="21"/>
                <w:szCs w:val="21"/>
              </w:rPr>
              <w:t>情况总结。（共</w:t>
            </w:r>
            <w:r>
              <w:rPr>
                <w:rFonts w:hint="eastAsia" w:cs="Arial"/>
                <w:w w:val="105"/>
                <w:sz w:val="21"/>
                <w:szCs w:val="21"/>
              </w:rPr>
              <w:t>5</w:t>
            </w:r>
            <w:r>
              <w:rPr>
                <w:rFonts w:cs="Arial"/>
                <w:w w:val="11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5</w:t>
            </w:r>
            <w:r>
              <w:rPr>
                <w:rFonts w:cs="Arial"/>
                <w:w w:val="105"/>
                <w:sz w:val="21"/>
                <w:szCs w:val="21"/>
              </w:rPr>
              <w:t>、甲方交办运维</w:t>
            </w:r>
            <w:r>
              <w:rPr>
                <w:rFonts w:cs="Arial"/>
                <w:spacing w:val="-3"/>
                <w:sz w:val="21"/>
                <w:szCs w:val="21"/>
              </w:rPr>
              <w:t>相关任务完成情况</w:t>
            </w:r>
            <w:r>
              <w:rPr>
                <w:rFonts w:cs="Arial"/>
                <w:spacing w:val="-5"/>
                <w:w w:val="105"/>
                <w:sz w:val="21"/>
                <w:szCs w:val="21"/>
              </w:rPr>
              <w:t>打分。</w:t>
            </w:r>
            <w:r>
              <w:rPr>
                <w:rFonts w:cs="Arial"/>
                <w:w w:val="105"/>
                <w:sz w:val="21"/>
                <w:szCs w:val="21"/>
              </w:rPr>
              <w:t>（共</w:t>
            </w:r>
            <w:r>
              <w:rPr>
                <w:rFonts w:hint="eastAsia" w:cs="Arial"/>
                <w:w w:val="105"/>
                <w:sz w:val="21"/>
                <w:szCs w:val="21"/>
              </w:rPr>
              <w:t>5</w:t>
            </w:r>
            <w:r>
              <w:rPr>
                <w:rFonts w:cs="Arial"/>
                <w:w w:val="10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widowControl w:val="0"/>
              <w:spacing w:line="360" w:lineRule="exact"/>
              <w:jc w:val="center"/>
              <w:rPr>
                <w:rFonts w:cs="Arial"/>
                <w:sz w:val="21"/>
                <w:szCs w:val="21"/>
              </w:rPr>
            </w:pPr>
            <w:r>
              <w:rPr>
                <w:rFonts w:cs="Arial"/>
                <w:w w:val="133"/>
                <w:sz w:val="21"/>
                <w:szCs w:val="21"/>
              </w:rPr>
              <w:t>4</w:t>
            </w:r>
          </w:p>
        </w:tc>
        <w:tc>
          <w:tcPr>
            <w:tcW w:w="1276" w:type="dxa"/>
            <w:vMerge w:val="restart"/>
            <w:noWrap w:val="0"/>
            <w:vAlign w:val="center"/>
          </w:tcPr>
          <w:p>
            <w:pPr>
              <w:widowControl w:val="0"/>
              <w:spacing w:line="360" w:lineRule="exact"/>
              <w:jc w:val="center"/>
              <w:rPr>
                <w:rFonts w:cs="Arial"/>
                <w:sz w:val="21"/>
                <w:szCs w:val="21"/>
              </w:rPr>
            </w:pPr>
            <w:r>
              <w:rPr>
                <w:rFonts w:cs="Arial"/>
                <w:w w:val="105"/>
                <w:sz w:val="21"/>
                <w:szCs w:val="21"/>
              </w:rPr>
              <w:t>系统平台运行状态</w:t>
            </w:r>
          </w:p>
        </w:tc>
        <w:tc>
          <w:tcPr>
            <w:tcW w:w="709" w:type="dxa"/>
            <w:vMerge w:val="restart"/>
            <w:noWrap w:val="0"/>
            <w:vAlign w:val="center"/>
          </w:tcPr>
          <w:p>
            <w:pPr>
              <w:widowControl w:val="0"/>
              <w:spacing w:line="360" w:lineRule="exact"/>
              <w:jc w:val="center"/>
              <w:rPr>
                <w:rFonts w:cs="Arial"/>
                <w:sz w:val="21"/>
                <w:szCs w:val="21"/>
              </w:rPr>
            </w:pPr>
            <w:r>
              <w:rPr>
                <w:rFonts w:cs="Arial"/>
                <w:w w:val="133"/>
                <w:sz w:val="21"/>
                <w:szCs w:val="21"/>
              </w:rPr>
              <w:t>5</w:t>
            </w: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1</w:t>
            </w:r>
            <w:r>
              <w:rPr>
                <w:rFonts w:cs="Arial"/>
                <w:w w:val="105"/>
                <w:sz w:val="21"/>
                <w:szCs w:val="21"/>
              </w:rPr>
              <w:t>、校核云平台数据是否异常，并及时反馈。（共</w:t>
            </w:r>
            <w:r>
              <w:rPr>
                <w:rFonts w:hint="eastAsia" w:cs="Arial"/>
                <w:w w:val="115"/>
                <w:sz w:val="21"/>
                <w:szCs w:val="21"/>
              </w:rPr>
              <w:t>3</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05"/>
                <w:sz w:val="21"/>
                <w:szCs w:val="21"/>
              </w:rPr>
              <w:t>2</w:t>
            </w:r>
            <w:r>
              <w:rPr>
                <w:rFonts w:cs="Arial"/>
                <w:w w:val="105"/>
                <w:sz w:val="21"/>
                <w:szCs w:val="21"/>
              </w:rPr>
              <w:t>、服务器巡</w:t>
            </w:r>
            <w:r>
              <w:rPr>
                <w:rFonts w:cs="Arial"/>
                <w:w w:val="110"/>
                <w:sz w:val="21"/>
                <w:szCs w:val="21"/>
              </w:rPr>
              <w:t>检如有故障</w:t>
            </w:r>
            <w:r>
              <w:rPr>
                <w:rFonts w:hint="eastAsia" w:cs="Arial"/>
                <w:w w:val="110"/>
                <w:sz w:val="21"/>
                <w:szCs w:val="21"/>
              </w:rPr>
              <w:t>12</w:t>
            </w:r>
            <w:r>
              <w:rPr>
                <w:rFonts w:cs="Arial"/>
                <w:w w:val="110"/>
                <w:sz w:val="21"/>
                <w:szCs w:val="21"/>
              </w:rPr>
              <w:t>小</w:t>
            </w:r>
            <w:r>
              <w:rPr>
                <w:rFonts w:cs="Arial"/>
                <w:w w:val="105"/>
                <w:sz w:val="21"/>
                <w:szCs w:val="21"/>
              </w:rPr>
              <w:t>时内上报。（共</w:t>
            </w:r>
            <w:r>
              <w:rPr>
                <w:rFonts w:hint="eastAsia" w:cs="Arial"/>
                <w:w w:val="105"/>
                <w:sz w:val="21"/>
                <w:szCs w:val="21"/>
              </w:rPr>
              <w:t>2</w:t>
            </w:r>
            <w:r>
              <w:rPr>
                <w:rFonts w:cs="Arial"/>
                <w:w w:val="10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noWrap w:val="0"/>
            <w:vAlign w:val="center"/>
          </w:tcPr>
          <w:p>
            <w:pPr>
              <w:widowControl w:val="0"/>
              <w:spacing w:line="360" w:lineRule="exact"/>
              <w:jc w:val="center"/>
              <w:rPr>
                <w:rFonts w:cs="Arial"/>
                <w:sz w:val="21"/>
                <w:szCs w:val="21"/>
              </w:rPr>
            </w:pPr>
            <w:r>
              <w:rPr>
                <w:rFonts w:cs="Arial"/>
                <w:w w:val="105"/>
                <w:sz w:val="21"/>
                <w:szCs w:val="21"/>
              </w:rPr>
              <w:t>投诉或通报情况</w:t>
            </w:r>
          </w:p>
        </w:tc>
        <w:tc>
          <w:tcPr>
            <w:tcW w:w="709" w:type="dxa"/>
            <w:noWrap w:val="0"/>
            <w:vAlign w:val="center"/>
          </w:tcPr>
          <w:p>
            <w:pPr>
              <w:widowControl w:val="0"/>
              <w:spacing w:line="360" w:lineRule="exact"/>
              <w:jc w:val="center"/>
              <w:rPr>
                <w:rFonts w:cs="Arial"/>
                <w:sz w:val="21"/>
                <w:szCs w:val="21"/>
              </w:rPr>
            </w:pPr>
            <w:r>
              <w:rPr>
                <w:rFonts w:cs="Arial"/>
                <w:w w:val="135"/>
                <w:sz w:val="21"/>
                <w:szCs w:val="21"/>
              </w:rPr>
              <w:t>10</w:t>
            </w:r>
          </w:p>
        </w:tc>
        <w:tc>
          <w:tcPr>
            <w:tcW w:w="4772" w:type="dxa"/>
            <w:gridSpan w:val="2"/>
            <w:noWrap w:val="0"/>
            <w:vAlign w:val="center"/>
          </w:tcPr>
          <w:p>
            <w:pPr>
              <w:widowControl w:val="0"/>
              <w:spacing w:line="360" w:lineRule="exact"/>
              <w:rPr>
                <w:rFonts w:cs="Arial"/>
                <w:sz w:val="21"/>
                <w:szCs w:val="21"/>
              </w:rPr>
            </w:pPr>
            <w:r>
              <w:rPr>
                <w:rFonts w:cs="Arial"/>
                <w:spacing w:val="-3"/>
                <w:w w:val="105"/>
                <w:sz w:val="21"/>
                <w:szCs w:val="21"/>
              </w:rPr>
              <w:t>收到一次投诉扣一分，扣完为止；甲方</w:t>
            </w:r>
            <w:r>
              <w:rPr>
                <w:rFonts w:cs="Arial"/>
                <w:spacing w:val="-3"/>
                <w:sz w:val="21"/>
                <w:szCs w:val="21"/>
              </w:rPr>
              <w:t>被网信、国安</w:t>
            </w:r>
            <w:r>
              <w:rPr>
                <w:rFonts w:cs="Arial"/>
                <w:sz w:val="21"/>
                <w:szCs w:val="21"/>
              </w:rPr>
              <w:t>、网安等部门通报</w:t>
            </w:r>
            <w:r>
              <w:rPr>
                <w:rFonts w:cs="Arial"/>
                <w:w w:val="115"/>
                <w:sz w:val="21"/>
                <w:szCs w:val="21"/>
              </w:rPr>
              <w:t>，</w:t>
            </w:r>
            <w:r>
              <w:rPr>
                <w:rFonts w:cs="Arial"/>
                <w:iCs/>
                <w:sz w:val="21"/>
                <w:szCs w:val="21"/>
              </w:rPr>
              <w:t>每收到</w:t>
            </w:r>
            <w:r>
              <w:rPr>
                <w:rFonts w:hint="eastAsia" w:cs="Arial"/>
                <w:iCs/>
                <w:sz w:val="21"/>
                <w:szCs w:val="21"/>
              </w:rPr>
              <w:t>1</w:t>
            </w:r>
            <w:r>
              <w:rPr>
                <w:rFonts w:cs="Arial"/>
                <w:iCs/>
                <w:sz w:val="21"/>
                <w:szCs w:val="21"/>
              </w:rPr>
              <w:t>次扣</w:t>
            </w:r>
            <w:r>
              <w:rPr>
                <w:rFonts w:hint="eastAsia" w:cs="Arial"/>
                <w:iCs/>
                <w:sz w:val="21"/>
                <w:szCs w:val="21"/>
              </w:rPr>
              <w:t>3</w:t>
            </w:r>
            <w:r>
              <w:rPr>
                <w:rFonts w:cs="Arial"/>
                <w:iCs/>
                <w:sz w:val="21"/>
                <w:szCs w:val="21"/>
              </w:rPr>
              <w:t>分，</w:t>
            </w:r>
            <w:r>
              <w:rPr>
                <w:rFonts w:cs="Arial"/>
                <w:w w:val="105"/>
                <w:sz w:val="21"/>
                <w:szCs w:val="21"/>
              </w:rPr>
              <w:t>扣完为止。（</w:t>
            </w:r>
            <w:r>
              <w:rPr>
                <w:rFonts w:hint="eastAsia" w:cs="Arial"/>
                <w:w w:val="115"/>
                <w:sz w:val="21"/>
                <w:szCs w:val="21"/>
              </w:rPr>
              <w:t>10</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spacing w:line="360" w:lineRule="exact"/>
              <w:jc w:val="center"/>
              <w:rPr>
                <w:rFonts w:cs="Arial"/>
                <w:sz w:val="21"/>
                <w:szCs w:val="21"/>
              </w:rPr>
            </w:pPr>
            <w:r>
              <w:rPr>
                <w:rFonts w:cs="Arial"/>
                <w:w w:val="105"/>
                <w:sz w:val="21"/>
                <w:szCs w:val="21"/>
              </w:rPr>
              <w:t>合计</w:t>
            </w:r>
          </w:p>
        </w:tc>
        <w:tc>
          <w:tcPr>
            <w:tcW w:w="1276" w:type="dxa"/>
            <w:noWrap w:val="0"/>
            <w:vAlign w:val="center"/>
          </w:tcPr>
          <w:p>
            <w:pPr>
              <w:widowControl w:val="0"/>
              <w:spacing w:line="360" w:lineRule="exact"/>
              <w:jc w:val="center"/>
              <w:rPr>
                <w:rFonts w:cs="Arial"/>
                <w:sz w:val="21"/>
                <w:szCs w:val="21"/>
              </w:rPr>
            </w:pPr>
            <w:r>
              <w:rPr>
                <w:rFonts w:cs="Arial"/>
                <w:w w:val="135"/>
                <w:sz w:val="21"/>
                <w:szCs w:val="21"/>
              </w:rPr>
              <w:t>100</w:t>
            </w:r>
          </w:p>
        </w:tc>
        <w:tc>
          <w:tcPr>
            <w:tcW w:w="709" w:type="dxa"/>
            <w:noWrap w:val="0"/>
            <w:vAlign w:val="center"/>
          </w:tcPr>
          <w:p>
            <w:pPr>
              <w:widowControl w:val="0"/>
              <w:spacing w:line="360" w:lineRule="exact"/>
              <w:jc w:val="center"/>
              <w:rPr>
                <w:rFonts w:cs="Arial"/>
                <w:sz w:val="21"/>
                <w:szCs w:val="21"/>
              </w:rPr>
            </w:pPr>
            <w:r>
              <w:rPr>
                <w:rFonts w:cs="Arial"/>
                <w:w w:val="135"/>
                <w:sz w:val="21"/>
                <w:szCs w:val="21"/>
              </w:rPr>
              <w:t>100</w:t>
            </w:r>
          </w:p>
        </w:tc>
        <w:tc>
          <w:tcPr>
            <w:tcW w:w="4772" w:type="dxa"/>
            <w:gridSpan w:val="2"/>
            <w:noWrap w:val="0"/>
            <w:vAlign w:val="center"/>
          </w:tcPr>
          <w:p>
            <w:pPr>
              <w:widowControl w:val="0"/>
              <w:spacing w:line="360" w:lineRule="exact"/>
              <w:jc w:val="center"/>
              <w:rPr>
                <w:rFonts w:cs="Arial"/>
                <w:sz w:val="21"/>
                <w:szCs w:val="21"/>
              </w:rPr>
            </w:pP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7"/>
            <w:noWrap w:val="0"/>
            <w:vAlign w:val="center"/>
          </w:tcPr>
          <w:p>
            <w:pPr>
              <w:widowControl w:val="0"/>
              <w:spacing w:line="360" w:lineRule="exact"/>
              <w:jc w:val="center"/>
              <w:rPr>
                <w:rFonts w:cs="Arial"/>
                <w:sz w:val="21"/>
                <w:szCs w:val="21"/>
              </w:rPr>
            </w:pPr>
            <w:r>
              <w:rPr>
                <w:rFonts w:cs="Arial"/>
                <w:w w:val="105"/>
                <w:sz w:val="21"/>
                <w:szCs w:val="21"/>
              </w:rPr>
              <w:t>双方项目管理人员意见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2" w:type="dxa"/>
            <w:gridSpan w:val="4"/>
            <w:noWrap w:val="0"/>
            <w:vAlign w:val="center"/>
          </w:tcPr>
          <w:p>
            <w:pPr>
              <w:widowControl w:val="0"/>
              <w:spacing w:line="360" w:lineRule="exact"/>
              <w:rPr>
                <w:rFonts w:cs="Arial"/>
                <w:sz w:val="21"/>
                <w:szCs w:val="21"/>
              </w:rPr>
            </w:pPr>
            <w:r>
              <w:rPr>
                <w:rFonts w:cs="Arial"/>
                <w:w w:val="105"/>
                <w:sz w:val="21"/>
                <w:szCs w:val="21"/>
              </w:rPr>
              <w:t>甲方</w:t>
            </w:r>
          </w:p>
        </w:tc>
        <w:tc>
          <w:tcPr>
            <w:tcW w:w="4549" w:type="dxa"/>
            <w:gridSpan w:val="3"/>
            <w:noWrap w:val="0"/>
            <w:vAlign w:val="center"/>
          </w:tcPr>
          <w:p>
            <w:pPr>
              <w:widowControl w:val="0"/>
              <w:spacing w:line="360" w:lineRule="exact"/>
              <w:rPr>
                <w:rFonts w:cs="Arial"/>
                <w:sz w:val="21"/>
                <w:szCs w:val="21"/>
              </w:rPr>
            </w:pPr>
            <w:r>
              <w:rPr>
                <w:rFonts w:cs="Arial"/>
                <w:w w:val="105"/>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412" w:type="dxa"/>
            <w:gridSpan w:val="4"/>
            <w:noWrap w:val="0"/>
            <w:vAlign w:val="center"/>
          </w:tcPr>
          <w:p>
            <w:pPr>
              <w:widowControl w:val="0"/>
              <w:spacing w:line="360" w:lineRule="exact"/>
              <w:rPr>
                <w:rFonts w:hint="eastAsia"/>
                <w:sz w:val="21"/>
              </w:rPr>
            </w:pPr>
          </w:p>
        </w:tc>
        <w:tc>
          <w:tcPr>
            <w:tcW w:w="4549" w:type="dxa"/>
            <w:gridSpan w:val="3"/>
            <w:noWrap w:val="0"/>
            <w:vAlign w:val="center"/>
          </w:tcPr>
          <w:p>
            <w:pPr>
              <w:widowControl w:val="0"/>
              <w:spacing w:line="360" w:lineRule="exact"/>
              <w:rPr>
                <w:rFonts w:cs="Arial"/>
                <w:w w:val="105"/>
                <w:sz w:val="21"/>
                <w:szCs w:val="21"/>
              </w:rPr>
            </w:pPr>
          </w:p>
        </w:tc>
      </w:tr>
    </w:tbl>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FF0000"/>
          <w:kern w:val="0"/>
          <w:sz w:val="32"/>
          <w:szCs w:val="32"/>
        </w:rPr>
      </w:pPr>
      <w:r>
        <w:rPr>
          <w:rFonts w:hint="eastAsia" w:ascii="黑体" w:hAnsi="黑体" w:eastAsia="黑体" w:cs="黑体"/>
          <w:b w:val="0"/>
          <w:bCs w:val="0"/>
          <w:color w:val="333333"/>
          <w:kern w:val="0"/>
          <w:sz w:val="32"/>
          <w:szCs w:val="32"/>
          <w:lang w:val="en-US" w:eastAsia="zh-CN"/>
        </w:rPr>
        <w:t>四、</w:t>
      </w:r>
      <w:r>
        <w:rPr>
          <w:rFonts w:hint="eastAsia" w:ascii="黑体" w:hAnsi="黑体" w:eastAsia="黑体" w:cs="黑体"/>
          <w:b w:val="0"/>
          <w:bCs w:val="0"/>
          <w:kern w:val="0"/>
          <w:sz w:val="32"/>
          <w:szCs w:val="32"/>
        </w:rPr>
        <w:t>网络安全及数据安全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甲乙双方应严格遵守《中华人民共和国网络安全法》、《中华人民共和国数据安全法》、《中华人民共和国个人信息保护法》、《关键信息基础设施安全保护条例》、《中华人民共和国计算机信息系统安全保护条例》和《信息安全等级保护管理办法》及有关法律、法规和行政规章制度、文件规定。</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乙方在本项目服务期间严格遵守福建省水利厅网络安全有关规定的各项要求，遵循诚实守信原则，开展相关工作。</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乙方在本项目服务期间不利用水利质量检测监管平台系统模块相关资产、信息危害国家安全、泄露国家秘密、不侵犯国家的、社会的、集体的利益和第三方的合法权益，不从事违法犯罪活动。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乙方做好水利质量检测监管平台系统模块日常网络安全监测、定期安全漏洞扫描、定期补丁修复、数据安全保护、重要敏感数据加密存储和传输，并完善日常安全防护工作台账登记，每季度将相关安全运维记录提交甲方指定人员存档备案。</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乙方自觉接受甲方的监督和管理，甲方有权定期指派网络安全服务商对水利质量检测监管平台</w:t>
      </w:r>
      <w:r>
        <w:rPr>
          <w:rFonts w:hint="eastAsia" w:ascii="仿宋_GB2312" w:hAnsi="仿宋_GB2312" w:eastAsia="仿宋_GB2312" w:cs="仿宋_GB2312"/>
          <w:kern w:val="0"/>
          <w:sz w:val="32"/>
          <w:szCs w:val="32"/>
          <w:lang w:val="en-US" w:eastAsia="zh-CN"/>
        </w:rPr>
        <w:t>系统</w:t>
      </w:r>
      <w:r>
        <w:rPr>
          <w:rFonts w:hint="eastAsia" w:ascii="仿宋_GB2312" w:hAnsi="仿宋_GB2312" w:eastAsia="仿宋_GB2312" w:cs="仿宋_GB2312"/>
          <w:kern w:val="0"/>
          <w:sz w:val="32"/>
          <w:szCs w:val="32"/>
        </w:rPr>
        <w:t>开展安全检查，对发现的安全隐患</w:t>
      </w:r>
      <w:r>
        <w:rPr>
          <w:rFonts w:hint="eastAsia" w:ascii="仿宋_GB2312" w:hAnsi="仿宋_GB2312" w:eastAsia="仿宋_GB2312" w:cs="仿宋_GB2312"/>
          <w:kern w:val="0"/>
          <w:sz w:val="32"/>
          <w:szCs w:val="32"/>
          <w:lang w:eastAsia="zh-CN"/>
        </w:rPr>
        <w:t>乙</w:t>
      </w:r>
      <w:r>
        <w:rPr>
          <w:rFonts w:hint="eastAsia" w:ascii="仿宋_GB2312" w:hAnsi="仿宋_GB2312" w:eastAsia="仿宋_GB2312" w:cs="仿宋_GB2312"/>
          <w:kern w:val="0"/>
          <w:sz w:val="32"/>
          <w:szCs w:val="32"/>
        </w:rPr>
        <w:t>方应组织技术力量在10个工作</w:t>
      </w:r>
      <w:r>
        <w:rPr>
          <w:rFonts w:hint="eastAsia" w:ascii="仿宋_GB2312" w:hAnsi="仿宋_GB2312" w:eastAsia="仿宋_GB2312" w:cs="仿宋_GB2312"/>
          <w:kern w:val="0"/>
          <w:sz w:val="32"/>
          <w:szCs w:val="32"/>
          <w:lang w:eastAsia="zh-CN"/>
        </w:rPr>
        <w:t>日</w:t>
      </w:r>
      <w:r>
        <w:rPr>
          <w:rFonts w:hint="eastAsia" w:ascii="仿宋_GB2312" w:hAnsi="仿宋_GB2312" w:eastAsia="仿宋_GB2312" w:cs="仿宋_GB2312"/>
          <w:kern w:val="0"/>
          <w:sz w:val="32"/>
          <w:szCs w:val="32"/>
        </w:rPr>
        <w:t>内进行修复，确保甲方系统使用和数据安全。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rPr>
        <w:t>保密条款</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本协议中所涉及的保密信息为所有甲方提供给乙方的信息资料，以及乙方在为甲方提供技术服务过程中知悉的各类信息，包括但不限于如下信息：甲方通讯录、人员信息、</w:t>
      </w:r>
      <w:r>
        <w:rPr>
          <w:rFonts w:hint="eastAsia" w:ascii="仿宋_GB2312" w:hAnsi="仿宋_GB2312" w:eastAsia="仿宋_GB2312" w:cs="仿宋_GB2312"/>
          <w:kern w:val="0"/>
          <w:sz w:val="32"/>
          <w:szCs w:val="32"/>
          <w:lang w:eastAsia="zh-CN"/>
        </w:rPr>
        <w:t>项目信息、</w:t>
      </w:r>
      <w:r>
        <w:rPr>
          <w:rFonts w:hint="eastAsia" w:ascii="仿宋_GB2312" w:hAnsi="仿宋_GB2312" w:eastAsia="仿宋_GB2312" w:cs="仿宋_GB2312"/>
          <w:kern w:val="0"/>
          <w:sz w:val="32"/>
          <w:szCs w:val="32"/>
        </w:rPr>
        <w:t>办公文件、会议材料、技术信息、工作信息。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甲乙双方均要遵守国家保密法及有关规定。</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乙方应采取周密的措施对所有来自甲方的信息严格保密，包括执行有效的安全措施和操作规程。</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乙方应负责做好技术服务人员的教育、管理工作：建立健全的工作制度，加强对技术服务人员的管理。乙方不可把秘密泄露给第三方，只允许把信息透露给乙方因履行本协议而接触信息的工作人员</w:t>
      </w:r>
      <w:r>
        <w:rPr>
          <w:rFonts w:hint="eastAsia" w:ascii="仿宋_GB2312" w:hAnsi="仿宋_GB2312" w:eastAsia="仿宋_GB2312" w:cs="仿宋_GB2312"/>
          <w:kern w:val="0"/>
          <w:sz w:val="32"/>
          <w:szCs w:val="32"/>
          <w:lang w:eastAsia="zh-CN"/>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六、</w:t>
      </w:r>
      <w:r>
        <w:rPr>
          <w:rFonts w:hint="eastAsia" w:ascii="黑体" w:hAnsi="黑体" w:eastAsia="黑体" w:cs="黑体"/>
          <w:color w:val="333333"/>
          <w:kern w:val="0"/>
          <w:sz w:val="32"/>
          <w:szCs w:val="32"/>
        </w:rPr>
        <w:t>服务期限</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维护服务期一年。</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kern w:val="0"/>
          <w:sz w:val="32"/>
          <w:szCs w:val="32"/>
          <w:lang w:eastAsia="zh-CN"/>
        </w:rPr>
      </w:pPr>
    </w:p>
    <w:p/>
    <w:sectPr>
      <w:footerReference r:id="rId3" w:type="default"/>
      <w:pgSz w:w="11906" w:h="16838"/>
      <w:pgMar w:top="1701" w:right="1417" w:bottom="1701"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宋体"/>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szCs w:val="24"/>
      </w:rP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EF713"/>
    <w:multiLevelType w:val="singleLevel"/>
    <w:tmpl w:val="2B3EF713"/>
    <w:lvl w:ilvl="0" w:tentative="0">
      <w:start w:val="1"/>
      <w:numFmt w:val="chineseCounting"/>
      <w:suff w:val="nothing"/>
      <w:lvlText w:val="%1、"/>
      <w:lvlJc w:val="left"/>
      <w:rPr>
        <w:rFonts w:hint="eastAsia"/>
      </w:rPr>
    </w:lvl>
  </w:abstractNum>
  <w:abstractNum w:abstractNumId="1">
    <w:nsid w:val="2CC96708"/>
    <w:multiLevelType w:val="multilevel"/>
    <w:tmpl w:val="2CC967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9668EF"/>
    <w:multiLevelType w:val="multilevel"/>
    <w:tmpl w:val="449668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C1BBD"/>
    <w:rsid w:val="03372A1A"/>
    <w:rsid w:val="0A534E29"/>
    <w:rsid w:val="0BD635EA"/>
    <w:rsid w:val="0CA17BC7"/>
    <w:rsid w:val="18062253"/>
    <w:rsid w:val="1E726D03"/>
    <w:rsid w:val="22BC1BBD"/>
    <w:rsid w:val="2618250D"/>
    <w:rsid w:val="28061D38"/>
    <w:rsid w:val="29AA70BF"/>
    <w:rsid w:val="3032606E"/>
    <w:rsid w:val="339616AF"/>
    <w:rsid w:val="3822798F"/>
    <w:rsid w:val="3B7F4E06"/>
    <w:rsid w:val="40DD6179"/>
    <w:rsid w:val="43F15787"/>
    <w:rsid w:val="45670792"/>
    <w:rsid w:val="46523C6D"/>
    <w:rsid w:val="4BFC3701"/>
    <w:rsid w:val="518F15DB"/>
    <w:rsid w:val="580A069B"/>
    <w:rsid w:val="59E512D7"/>
    <w:rsid w:val="5A8D1E01"/>
    <w:rsid w:val="5B77571F"/>
    <w:rsid w:val="5D751961"/>
    <w:rsid w:val="5ED760F0"/>
    <w:rsid w:val="628841B8"/>
    <w:rsid w:val="6B5B2936"/>
    <w:rsid w:val="6E2A7DFB"/>
    <w:rsid w:val="6F1D2190"/>
    <w:rsid w:val="6FC24699"/>
    <w:rsid w:val="71943B66"/>
    <w:rsid w:val="72FC55D6"/>
    <w:rsid w:val="73F15E96"/>
    <w:rsid w:val="7CCC223C"/>
    <w:rsid w:val="7EFD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rPr>
      <w:rFonts w:ascii="Times New Roman" w:hAnsi="Times New Roman"/>
    </w:rPr>
  </w:style>
  <w:style w:type="paragraph" w:styleId="3">
    <w:name w:val="Body Text Indent"/>
    <w:basedOn w:val="1"/>
    <w:qFormat/>
    <w:uiPriority w:val="0"/>
    <w:pPr>
      <w:widowControl/>
      <w:tabs>
        <w:tab w:val="left" w:pos="0"/>
        <w:tab w:val="left" w:pos="993"/>
        <w:tab w:val="left" w:pos="1134"/>
      </w:tabs>
      <w:spacing w:line="500" w:lineRule="exact"/>
      <w:ind w:firstLine="567"/>
    </w:pPr>
    <w:rPr>
      <w:rFonts w:ascii="宋体"/>
      <w:sz w:val="28"/>
    </w:rPr>
  </w:style>
  <w:style w:type="paragraph" w:styleId="4">
    <w:name w:val="Body Text"/>
    <w:basedOn w:val="1"/>
    <w:next w:val="5"/>
    <w:qFormat/>
    <w:uiPriority w:val="0"/>
    <w:pPr>
      <w:shd w:val="clear" w:color="auto" w:fill="FFFFFF"/>
      <w:spacing w:before="1140" w:beforeLines="0" w:after="1680" w:afterLines="0" w:line="240" w:lineRule="atLeast"/>
      <w:jc w:val="distribute"/>
    </w:pPr>
    <w:rPr>
      <w:rFonts w:hint="eastAsia" w:ascii="MingLiU" w:hAnsi="MingLiU" w:eastAsia="MingLiU"/>
      <w:spacing w:val="30"/>
      <w:sz w:val="29"/>
    </w:rPr>
  </w:style>
  <w:style w:type="paragraph" w:styleId="5">
    <w:name w:val="Body Text 2"/>
    <w:basedOn w:val="1"/>
    <w:next w:val="4"/>
    <w:qFormat/>
    <w:uiPriority w:val="0"/>
    <w:pPr>
      <w:spacing w:after="120" w:line="480" w:lineRule="auto"/>
    </w:pPr>
  </w:style>
  <w:style w:type="paragraph" w:styleId="6">
    <w:name w:val="footer"/>
    <w:basedOn w:val="1"/>
    <w:qFormat/>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style>
  <w:style w:type="table" w:customStyle="1" w:styleId="10">
    <w:name w:val="网格型1"/>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2025-05-21T16:50:00Z</dcterms:created>
  <dc:creator>Administrator</dc:creator>
  <cp:lastModifiedBy>姚稀</cp:lastModifiedBy>
  <cp:lastPrinted>2025-05-23T10:00:00Z</cp:lastPrinted>
  <dcterms:modified xsi:type="dcterms:W3CDTF">2025-06-11T10:03:03Z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BB941EFAF1B84A3E8D8226CEA73579DC_11</vt:lpwstr>
  </property>
  <property fmtid="{D5CDD505-2E9C-101B-9397-08002B2CF9AE}" pid="4" name="KSOTemplateDocerSaveRecord">
    <vt:lpwstr>eyJoZGlkIjoiNWVhMTg4MWRlMWNjNGQ0NTQ2NDJiMWFkOGM2NzM3MzAiLCJ1c2VySWQiOiIzMTM2ODQ4MTUifQ==</vt:lpwstr>
  </property>
</Properties>
</file>