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w w:val="95"/>
          <w:sz w:val="32"/>
          <w:szCs w:val="32"/>
          <w:lang w:val="en-US" w:eastAsia="zh-CN"/>
        </w:rPr>
      </w:pPr>
      <w:bookmarkStart w:id="1" w:name="_GoBack"/>
      <w:r>
        <w:rPr>
          <w:rFonts w:hint="eastAsia" w:ascii="黑体" w:hAnsi="黑体" w:eastAsia="黑体" w:cs="黑体"/>
          <w:w w:val="95"/>
          <w:sz w:val="32"/>
          <w:szCs w:val="32"/>
          <w:lang w:val="en-US" w:eastAsia="zh-CN"/>
        </w:rPr>
        <w:t>附件</w:t>
      </w:r>
      <w:bookmarkEnd w:id="1"/>
      <w:r>
        <w:rPr>
          <w:rFonts w:hint="eastAsia" w:ascii="黑体" w:hAnsi="黑体" w:eastAsia="黑体" w:cs="黑体"/>
          <w:w w:val="95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w w:val="95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zh-CN"/>
        </w:rPr>
        <w:t>福建省水利厅安全生产监管任务清单</w:t>
      </w:r>
    </w:p>
    <w:tbl>
      <w:tblPr>
        <w:tblStyle w:val="5"/>
        <w:tblW w:w="1289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400"/>
        <w:gridCol w:w="6386"/>
        <w:gridCol w:w="33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tblHeader/>
          <w:jc w:val="center"/>
        </w:trPr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CN" w:eastAsia="zh-CN"/>
              </w:rPr>
              <w:t>序号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CN" w:eastAsia="zh-CN"/>
              </w:rPr>
              <w:t>监管工作</w:t>
            </w:r>
          </w:p>
        </w:tc>
        <w:tc>
          <w:tcPr>
            <w:tcW w:w="63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CN" w:eastAsia="zh-CN"/>
              </w:rPr>
              <w:t>具体内容</w:t>
            </w:r>
          </w:p>
        </w:tc>
        <w:tc>
          <w:tcPr>
            <w:tcW w:w="33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CN" w:eastAsia="zh-CN"/>
              </w:rPr>
              <w:t>责任部门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0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  <w:tc>
          <w:tcPr>
            <w:tcW w:w="24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深入学习宣传贯彻习近平总书记关于安全生产重要论述</w:t>
            </w:r>
          </w:p>
        </w:tc>
        <w:tc>
          <w:tcPr>
            <w:tcW w:w="63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1.持续深入开展宣贯教育活动</w:t>
            </w:r>
          </w:p>
        </w:tc>
        <w:tc>
          <w:tcPr>
            <w:tcW w:w="33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监督处牵头，各处室、单位分工负责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0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2.推动落实水利安全生产领域改革发展重点任务</w:t>
            </w:r>
          </w:p>
        </w:tc>
        <w:tc>
          <w:tcPr>
            <w:tcW w:w="33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监督处会同有关处室、单位分工负责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0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CN" w:eastAsia="zh-CN"/>
              </w:rPr>
            </w:pPr>
          </w:p>
        </w:tc>
        <w:tc>
          <w:tcPr>
            <w:tcW w:w="24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CN" w:eastAsia="zh-CN"/>
              </w:rPr>
            </w:pPr>
          </w:p>
        </w:tc>
        <w:tc>
          <w:tcPr>
            <w:tcW w:w="63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3.深入开展水利安全隐患大排查大整治和安全生产专项整治三年行动</w:t>
            </w:r>
          </w:p>
        </w:tc>
        <w:tc>
          <w:tcPr>
            <w:tcW w:w="33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监督处牵头，各处室、单位分工负责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0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二</w:t>
            </w:r>
          </w:p>
        </w:tc>
        <w:tc>
          <w:tcPr>
            <w:tcW w:w="24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强化水利安全生产责任落实</w:t>
            </w:r>
          </w:p>
        </w:tc>
        <w:tc>
          <w:tcPr>
            <w:tcW w:w="63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4.严格落实安全生产行业监管责任</w:t>
            </w:r>
          </w:p>
        </w:tc>
        <w:tc>
          <w:tcPr>
            <w:tcW w:w="33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监督处会同有关处室、单位分工负责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exact"/>
          <w:jc w:val="center"/>
        </w:trPr>
        <w:tc>
          <w:tcPr>
            <w:tcW w:w="70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5.推动水利生产经营单位安全生产主体责任落实</w:t>
            </w:r>
          </w:p>
        </w:tc>
        <w:tc>
          <w:tcPr>
            <w:tcW w:w="33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建设处、运管处、农水水电处、监督处分工负责，有关单位配合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0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CN" w:eastAsia="zh-CN"/>
              </w:rPr>
            </w:pPr>
          </w:p>
        </w:tc>
        <w:tc>
          <w:tcPr>
            <w:tcW w:w="24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CN" w:eastAsia="zh-CN"/>
              </w:rPr>
            </w:pPr>
          </w:p>
        </w:tc>
        <w:tc>
          <w:tcPr>
            <w:tcW w:w="63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6.加大水利安全生产警示问责力度</w:t>
            </w:r>
          </w:p>
        </w:tc>
        <w:tc>
          <w:tcPr>
            <w:tcW w:w="33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监督处会同有关处室、单位分工负责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三</w:t>
            </w:r>
          </w:p>
        </w:tc>
        <w:tc>
          <w:tcPr>
            <w:tcW w:w="24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突出重点领域安全生产风险防控</w:t>
            </w:r>
          </w:p>
        </w:tc>
        <w:tc>
          <w:tcPr>
            <w:tcW w:w="63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7.加强水利工程建设安全生产风险防控</w:t>
            </w:r>
          </w:p>
        </w:tc>
        <w:tc>
          <w:tcPr>
            <w:tcW w:w="33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有关处室分工负责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8.加强水利工程运行安全监管</w:t>
            </w:r>
          </w:p>
        </w:tc>
        <w:tc>
          <w:tcPr>
            <w:tcW w:w="33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有关处室分工负责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0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9.强化水文监测、水利工程勘测设计、水利科研与检验安全监管</w:t>
            </w:r>
          </w:p>
        </w:tc>
        <w:tc>
          <w:tcPr>
            <w:tcW w:w="33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有关处室、单位分工负责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10.加强厅属单位安全生产管理</w:t>
            </w:r>
          </w:p>
        </w:tc>
        <w:tc>
          <w:tcPr>
            <w:tcW w:w="33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有关处室、单位分工负责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11.强化重要时段、重点领域安全生产工作</w:t>
            </w:r>
          </w:p>
        </w:tc>
        <w:tc>
          <w:tcPr>
            <w:tcW w:w="33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有关处室、单位分工负责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0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四</w:t>
            </w:r>
          </w:p>
        </w:tc>
        <w:tc>
          <w:tcPr>
            <w:tcW w:w="24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巩固提升水利安全生产基础保障能力</w:t>
            </w:r>
          </w:p>
        </w:tc>
        <w:tc>
          <w:tcPr>
            <w:tcW w:w="63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12.持续推进水利安全生产标准化建设</w:t>
            </w:r>
          </w:p>
        </w:tc>
        <w:tc>
          <w:tcPr>
            <w:tcW w:w="33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监督处、农水水电处牵头，有关处室、单位配合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0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13.持续推进“安全监管+信息化”工作</w:t>
            </w:r>
          </w:p>
        </w:tc>
        <w:tc>
          <w:tcPr>
            <w:tcW w:w="33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监督处牵头，有关处室、单位分工负责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0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14.加强水利安全生产监督执法力度</w:t>
            </w:r>
          </w:p>
        </w:tc>
        <w:tc>
          <w:tcPr>
            <w:tcW w:w="33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监督处会同政法与审批处负责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0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15.开展安全生产宣教活动</w:t>
            </w:r>
          </w:p>
        </w:tc>
        <w:tc>
          <w:tcPr>
            <w:tcW w:w="33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监督处牵头，各处室、单位分工负责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16.提升安全生产事故应急处置能力</w:t>
            </w:r>
          </w:p>
        </w:tc>
        <w:tc>
          <w:tcPr>
            <w:tcW w:w="33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各有关处室、单位分工负责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w w:val="95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w w:val="95"/>
          <w:sz w:val="32"/>
          <w:szCs w:val="32"/>
          <w:lang w:val="zh-CN"/>
        </w:rPr>
        <w:t>附件</w:t>
      </w:r>
      <w:r>
        <w:rPr>
          <w:rFonts w:hint="eastAsia" w:ascii="黑体" w:hAnsi="黑体" w:eastAsia="黑体" w:cs="黑体"/>
          <w:b w:val="0"/>
          <w:bCs w:val="0"/>
          <w:w w:val="95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w w:val="95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600" w:lineRule="exact"/>
        <w:jc w:val="center"/>
        <w:textAlignment w:val="auto"/>
        <w:rPr>
          <w:rFonts w:hint="eastAsia" w:ascii="黑体" w:hAnsi="黑体" w:eastAsia="黑体" w:cs="黑体"/>
          <w:w w:val="95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44"/>
          <w:szCs w:val="44"/>
          <w:lang w:val="zh-CN"/>
        </w:rPr>
        <w:t>福建省水利厅安全生产综合监管责任清</w:t>
      </w:r>
      <w:r>
        <w:rPr>
          <w:rFonts w:hint="eastAsia" w:ascii="宋体" w:hAnsi="宋体" w:eastAsia="宋体" w:cs="宋体"/>
          <w:b/>
          <w:bCs/>
          <w:w w:val="95"/>
          <w:sz w:val="44"/>
          <w:szCs w:val="44"/>
          <w:lang w:val="zh-CN"/>
        </w:rPr>
        <w:t>单</w:t>
      </w:r>
    </w:p>
    <w:tbl>
      <w:tblPr>
        <w:tblStyle w:val="5"/>
        <w:tblW w:w="1287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2640"/>
        <w:gridCol w:w="93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w w:val="95"/>
                <w:sz w:val="28"/>
                <w:szCs w:val="28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w w:val="95"/>
                <w:sz w:val="28"/>
                <w:szCs w:val="28"/>
                <w:vertAlign w:val="baseline"/>
                <w:lang w:val="zh-CN" w:eastAsia="zh-CN"/>
              </w:rPr>
              <w:t>序号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w w:val="95"/>
                <w:sz w:val="28"/>
                <w:szCs w:val="28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w w:val="95"/>
                <w:sz w:val="28"/>
                <w:szCs w:val="28"/>
                <w:vertAlign w:val="baseline"/>
                <w:lang w:val="zh-CN" w:eastAsia="zh-CN"/>
              </w:rPr>
              <w:t>监管部门</w:t>
            </w:r>
          </w:p>
        </w:tc>
        <w:tc>
          <w:tcPr>
            <w:tcW w:w="937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w w:val="95"/>
                <w:sz w:val="28"/>
                <w:szCs w:val="28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w w:val="95"/>
                <w:sz w:val="28"/>
                <w:szCs w:val="28"/>
                <w:vertAlign w:val="baseline"/>
                <w:lang w:val="zh-CN" w:eastAsia="zh-CN"/>
              </w:rPr>
              <w:t>监管责任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w w:val="95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5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6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w w:val="95"/>
                <w:sz w:val="28"/>
                <w:szCs w:val="28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w w:val="95"/>
                <w:sz w:val="28"/>
                <w:szCs w:val="28"/>
                <w:vertAlign w:val="baseline"/>
                <w:lang w:val="zh-CN" w:eastAsia="zh-CN"/>
              </w:rPr>
              <w:t>监督处</w:t>
            </w:r>
          </w:p>
        </w:tc>
        <w:tc>
          <w:tcPr>
            <w:tcW w:w="93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w w:val="95"/>
                <w:sz w:val="28"/>
                <w:szCs w:val="28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w w:val="95"/>
                <w:sz w:val="28"/>
                <w:szCs w:val="28"/>
                <w:vertAlign w:val="baseline"/>
                <w:lang w:val="zh-CN" w:eastAsia="zh-CN"/>
              </w:rPr>
              <w:t>指导水利行业安全生产工作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w w:val="95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5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6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w w:val="95"/>
                <w:sz w:val="28"/>
                <w:szCs w:val="28"/>
                <w:vertAlign w:val="baseline"/>
                <w:lang w:val="zh-CN" w:eastAsia="zh-CN"/>
              </w:rPr>
            </w:pPr>
          </w:p>
        </w:tc>
        <w:tc>
          <w:tcPr>
            <w:tcW w:w="93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w w:val="95"/>
                <w:sz w:val="28"/>
                <w:szCs w:val="28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组织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实施水利工程质量和安全监督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8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w w:val="95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5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6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w w:val="95"/>
                <w:sz w:val="28"/>
                <w:szCs w:val="28"/>
                <w:vertAlign w:val="baseline"/>
                <w:lang w:val="zh-CN" w:eastAsia="zh-CN"/>
              </w:rPr>
            </w:pPr>
          </w:p>
        </w:tc>
        <w:tc>
          <w:tcPr>
            <w:tcW w:w="93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指导水库、水电站大坝及农村水电站、江海堤防、水闸等水利工程、水利设施的安全监管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w w:val="95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5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6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w w:val="95"/>
                <w:sz w:val="28"/>
                <w:szCs w:val="28"/>
                <w:vertAlign w:val="baseline"/>
                <w:lang w:val="zh-CN" w:eastAsia="zh-CN"/>
              </w:rPr>
            </w:pPr>
          </w:p>
        </w:tc>
        <w:tc>
          <w:tcPr>
            <w:tcW w:w="93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组织、参与重大水利安全事故的查处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w w:val="95"/>
          <w:sz w:val="32"/>
          <w:szCs w:val="32"/>
          <w:lang w:val="zh-CN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w w:val="95"/>
          <w:sz w:val="32"/>
          <w:szCs w:val="32"/>
          <w:lang w:val="zh-CN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w w:val="95"/>
          <w:sz w:val="32"/>
          <w:szCs w:val="32"/>
          <w:lang w:val="zh-CN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w w:val="95"/>
          <w:sz w:val="32"/>
          <w:szCs w:val="32"/>
          <w:lang w:val="zh-CN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w w:val="95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w w:val="95"/>
          <w:sz w:val="32"/>
          <w:szCs w:val="32"/>
          <w:lang w:val="zh-CN" w:eastAsia="zh-CN"/>
        </w:rPr>
        <w:t>附件</w:t>
      </w:r>
      <w:r>
        <w:rPr>
          <w:rFonts w:hint="eastAsia" w:ascii="黑体" w:hAnsi="黑体" w:eastAsia="黑体" w:cs="黑体"/>
          <w:w w:val="95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w w:val="95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600" w:lineRule="exact"/>
        <w:jc w:val="center"/>
        <w:textAlignment w:val="auto"/>
        <w:rPr>
          <w:rFonts w:hint="eastAsia" w:ascii="宋体" w:hAnsi="宋体" w:eastAsia="宋体" w:cs="宋体"/>
          <w:b/>
          <w:bCs/>
          <w:w w:val="95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44"/>
          <w:szCs w:val="44"/>
          <w:lang w:val="zh-CN"/>
        </w:rPr>
        <w:t>福建省水利厅安全生产专业监管责任清单</w:t>
      </w:r>
    </w:p>
    <w:tbl>
      <w:tblPr>
        <w:tblStyle w:val="5"/>
        <w:tblW w:w="1284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2689"/>
        <w:gridCol w:w="91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0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w w:val="95"/>
                <w:sz w:val="28"/>
                <w:szCs w:val="28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w w:val="95"/>
                <w:sz w:val="28"/>
                <w:szCs w:val="28"/>
                <w:vertAlign w:val="baseline"/>
                <w:lang w:val="zh-CN" w:eastAsia="zh-CN"/>
              </w:rPr>
              <w:t>序号</w:t>
            </w:r>
          </w:p>
        </w:tc>
        <w:tc>
          <w:tcPr>
            <w:tcW w:w="26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w w:val="95"/>
                <w:sz w:val="28"/>
                <w:szCs w:val="28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w w:val="95"/>
                <w:sz w:val="28"/>
                <w:szCs w:val="28"/>
                <w:vertAlign w:val="baseline"/>
                <w:lang w:val="zh-CN" w:eastAsia="zh-CN"/>
              </w:rPr>
              <w:t>监管部门</w:t>
            </w:r>
          </w:p>
        </w:tc>
        <w:tc>
          <w:tcPr>
            <w:tcW w:w="91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w w:val="95"/>
                <w:sz w:val="28"/>
                <w:szCs w:val="28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w w:val="95"/>
                <w:sz w:val="28"/>
                <w:szCs w:val="28"/>
                <w:vertAlign w:val="baseline"/>
                <w:lang w:val="zh-CN" w:eastAsia="zh-CN"/>
              </w:rPr>
              <w:t>监管责任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0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w w:val="95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5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6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w w:val="95"/>
                <w:sz w:val="28"/>
                <w:szCs w:val="28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w w:val="95"/>
                <w:sz w:val="28"/>
                <w:szCs w:val="28"/>
                <w:vertAlign w:val="baseline"/>
                <w:lang w:val="zh-CN" w:eastAsia="zh-CN"/>
              </w:rPr>
              <w:t>办公室</w:t>
            </w:r>
          </w:p>
        </w:tc>
        <w:tc>
          <w:tcPr>
            <w:tcW w:w="91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w w:val="95"/>
                <w:sz w:val="28"/>
                <w:szCs w:val="28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指导协调水利行业安全生产的宣传工作；按要求报告水利生产安全事故信息。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w w:val="95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5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6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w w:val="95"/>
                <w:sz w:val="28"/>
                <w:szCs w:val="28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政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法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与审批处</w:t>
            </w:r>
          </w:p>
        </w:tc>
        <w:tc>
          <w:tcPr>
            <w:tcW w:w="91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指导协调水利安全生产法规、规章制度的制修订工作。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02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w w:val="95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5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68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w w:val="95"/>
                <w:sz w:val="28"/>
                <w:szCs w:val="28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计财处</w:t>
            </w:r>
          </w:p>
        </w:tc>
        <w:tc>
          <w:tcPr>
            <w:tcW w:w="91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指导重点水利工程项目、直属基建项目前期工作中有关安全生产建设内容的编制工作。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0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1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指导机关和直属单位安全生产工作经费保障工作，监督检查经费使用情况。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2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w w:val="95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5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68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w w:val="95"/>
                <w:sz w:val="28"/>
                <w:szCs w:val="28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水资源处</w:t>
            </w:r>
          </w:p>
        </w:tc>
        <w:tc>
          <w:tcPr>
            <w:tcW w:w="91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指导水资源管理、保护中的安全生产工作。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1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指导职责范围内非常规水源利用中的安全生产有关工作。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0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w w:val="95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5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6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w w:val="95"/>
                <w:sz w:val="28"/>
                <w:szCs w:val="28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建设处</w:t>
            </w:r>
          </w:p>
        </w:tc>
        <w:tc>
          <w:tcPr>
            <w:tcW w:w="91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按职责分工指导水利工程建设安全生产有关工作，组织指导水利工程蓄水安全鉴定。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w w:val="95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5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6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运管处</w:t>
            </w:r>
          </w:p>
        </w:tc>
        <w:tc>
          <w:tcPr>
            <w:tcW w:w="91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指导水库、堤防、水闸等水利工程运行的安全管理工作。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w w:val="95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5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6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河湖管理处</w:t>
            </w:r>
          </w:p>
        </w:tc>
        <w:tc>
          <w:tcPr>
            <w:tcW w:w="91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指导水域岸线管理和保护中的安全生产有关工作。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02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w w:val="95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5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68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水保与科技处</w:t>
            </w:r>
          </w:p>
        </w:tc>
        <w:tc>
          <w:tcPr>
            <w:tcW w:w="91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指导水土保持建设安全生产工作；指导和监督淤地坝工程建设和运行安全管理工作。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0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1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负责水利安全生产科技项目组织和科技成果管理工作，指导水利安全生产技术推广工作；指导职责范围内水利科研单位安全生产工作。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w w:val="95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5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6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农水水电处</w:t>
            </w:r>
          </w:p>
        </w:tc>
        <w:tc>
          <w:tcPr>
            <w:tcW w:w="91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指导灌排工程、农村供水工程、农村水电安全生产工作。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w w:val="95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5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6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水库移民处</w:t>
            </w:r>
          </w:p>
        </w:tc>
        <w:tc>
          <w:tcPr>
            <w:tcW w:w="91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指导水利工程移民管理和后期扶持中的安全生产工作。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w w:val="95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5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26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防御与水文处</w:t>
            </w:r>
          </w:p>
        </w:tc>
        <w:tc>
          <w:tcPr>
            <w:tcW w:w="91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指导防御洪水、抗御旱灾安全生产工作。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0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w w:val="95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5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26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人事处</w:t>
            </w:r>
          </w:p>
        </w:tc>
        <w:tc>
          <w:tcPr>
            <w:tcW w:w="91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组织指导直属单位职工劳动保护；指导督促直属单位落实因工（公）伤残抚恤有关政策；指导安全生产教育培训工作。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0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w w:val="95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5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26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机关党委</w:t>
            </w:r>
          </w:p>
        </w:tc>
        <w:tc>
          <w:tcPr>
            <w:tcW w:w="91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指导、协调、督促做好职责范围内的安全生产工作，参与安全生产宣传工作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w w:val="95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5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26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老干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处</w:t>
            </w:r>
          </w:p>
        </w:tc>
        <w:tc>
          <w:tcPr>
            <w:tcW w:w="91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指导、协调、督促做好职责范围内的安全生产工作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jc w:val="both"/>
        <w:textAlignment w:val="baseline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jc w:val="both"/>
        <w:textAlignment w:val="baseline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jc w:val="both"/>
        <w:textAlignment w:val="baseline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jc w:val="both"/>
        <w:textAlignment w:val="baseline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jc w:val="center"/>
        <w:textAlignment w:val="baseline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福建省水利厅</w:t>
      </w:r>
      <w:r>
        <w:rPr>
          <w:rFonts w:hint="eastAsia" w:ascii="方正小标宋简体" w:eastAsia="方正小标宋简体"/>
          <w:sz w:val="44"/>
          <w:szCs w:val="44"/>
        </w:rPr>
        <w:t>安全生产专项整治三年行动重点任务清单</w:t>
      </w:r>
    </w:p>
    <w:tbl>
      <w:tblPr>
        <w:tblStyle w:val="5"/>
        <w:tblW w:w="129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97"/>
        <w:gridCol w:w="1605"/>
        <w:gridCol w:w="690"/>
        <w:gridCol w:w="6105"/>
        <w:gridCol w:w="1155"/>
        <w:gridCol w:w="27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tblHeader/>
          <w:jc w:val="center"/>
        </w:trPr>
        <w:tc>
          <w:tcPr>
            <w:tcW w:w="59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名称</w:t>
            </w:r>
          </w:p>
        </w:tc>
        <w:tc>
          <w:tcPr>
            <w:tcW w:w="69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类型</w:t>
            </w:r>
          </w:p>
        </w:tc>
        <w:tc>
          <w:tcPr>
            <w:tcW w:w="61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具体内容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完成时限</w:t>
            </w:r>
          </w:p>
        </w:tc>
        <w:tc>
          <w:tcPr>
            <w:tcW w:w="274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责任部门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40" w:hRule="atLeast"/>
          <w:jc w:val="center"/>
        </w:trPr>
        <w:tc>
          <w:tcPr>
            <w:tcW w:w="59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隐患排查治理和风险管控机制</w:t>
            </w:r>
          </w:p>
        </w:tc>
        <w:tc>
          <w:tcPr>
            <w:tcW w:w="6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机制</w:t>
            </w:r>
          </w:p>
        </w:tc>
        <w:tc>
          <w:tcPr>
            <w:tcW w:w="61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认真贯彻落实习近平总书记作出的“从根本上消除事故隐患”的重要指示精神，立足更精准更有效地预防，推动安全生产关口前移，全面提升安全风险辨识管控和隐患排查治理水平，有效预防和遏制事故发生。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2021年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底前</w:t>
            </w:r>
          </w:p>
        </w:tc>
        <w:tc>
          <w:tcPr>
            <w:tcW w:w="27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监督处牵头，各处室、单位分工负责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4" w:hRule="atLeast"/>
          <w:jc w:val="center"/>
        </w:trPr>
        <w:tc>
          <w:tcPr>
            <w:tcW w:w="59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推进水利安全生产标准化建设</w:t>
            </w:r>
          </w:p>
        </w:tc>
        <w:tc>
          <w:tcPr>
            <w:tcW w:w="6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制度</w:t>
            </w:r>
          </w:p>
        </w:tc>
        <w:tc>
          <w:tcPr>
            <w:tcW w:w="61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制定《福建省水利安全生产标准化评审管理工作指南》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，分别细化和完善项目法人、施工企业和水管单位的标准化建设和评审标准。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2021年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底前</w:t>
            </w:r>
          </w:p>
        </w:tc>
        <w:tc>
          <w:tcPr>
            <w:tcW w:w="27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监督处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95" w:hRule="atLeast"/>
          <w:jc w:val="center"/>
        </w:trPr>
        <w:tc>
          <w:tcPr>
            <w:tcW w:w="59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推进水利工程工地标准化建设</w:t>
            </w:r>
          </w:p>
        </w:tc>
        <w:tc>
          <w:tcPr>
            <w:tcW w:w="6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工程</w:t>
            </w:r>
          </w:p>
        </w:tc>
        <w:tc>
          <w:tcPr>
            <w:tcW w:w="61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 w:bidi="ar"/>
              </w:rPr>
              <w:t>按照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《福建省水利工程工地标准化建设指南（试行）》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 w:bidi="ar"/>
              </w:rPr>
              <w:t>抓好工地标准化建设，在省重点项目中选取若干工程作为试点，以点带面推动全省水利工程工地标准化建设。将《指南》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落实情况纳入督导范围，纳入水利建设市场主体信用评价，提升全省水利工程建设管理和安全文明施工水平。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2021年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底前</w:t>
            </w:r>
          </w:p>
        </w:tc>
        <w:tc>
          <w:tcPr>
            <w:tcW w:w="27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建设处、监督处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59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强化河道采砂管理</w:t>
            </w:r>
          </w:p>
        </w:tc>
        <w:tc>
          <w:tcPr>
            <w:tcW w:w="6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机制</w:t>
            </w:r>
          </w:p>
        </w:tc>
        <w:tc>
          <w:tcPr>
            <w:tcW w:w="61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推动建立闽江河道采砂管理合作机制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2021年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底前</w:t>
            </w:r>
          </w:p>
        </w:tc>
        <w:tc>
          <w:tcPr>
            <w:tcW w:w="27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河湖处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75" w:hRule="atLeast"/>
          <w:jc w:val="center"/>
        </w:trPr>
        <w:tc>
          <w:tcPr>
            <w:tcW w:w="59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加快推动制定地方性法规和政府规章</w:t>
            </w:r>
          </w:p>
        </w:tc>
        <w:tc>
          <w:tcPr>
            <w:tcW w:w="6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制度</w:t>
            </w:r>
          </w:p>
        </w:tc>
        <w:tc>
          <w:tcPr>
            <w:tcW w:w="61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《福建省水利工程管理条例》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2022年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底前</w:t>
            </w:r>
          </w:p>
        </w:tc>
        <w:tc>
          <w:tcPr>
            <w:tcW w:w="27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政法与审批处、建设处、运管处、河湖处、水保与科技处、农水水电处、水资源处、防御与水文处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firstLine="0"/>
        <w:jc w:val="both"/>
        <w:textAlignment w:val="baseline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sectPr>
          <w:footerReference r:id="rId5" w:type="first"/>
          <w:footerReference r:id="rId3" w:type="default"/>
          <w:footerReference r:id="rId4" w:type="even"/>
          <w:pgSz w:w="16838" w:h="11906" w:orient="landscape"/>
          <w:pgMar w:top="1587" w:right="2098" w:bottom="1417" w:left="1984" w:header="850" w:footer="85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445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firstLine="0"/>
        <w:jc w:val="both"/>
        <w:textAlignment w:val="baseline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firstLine="0"/>
        <w:jc w:val="both"/>
        <w:textAlignment w:val="baseline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firstLine="0"/>
        <w:jc w:val="both"/>
        <w:textAlignment w:val="baseline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firstLine="0"/>
        <w:jc w:val="both"/>
        <w:textAlignment w:val="baseline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firstLine="0"/>
        <w:jc w:val="both"/>
        <w:textAlignment w:val="baseline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firstLine="0"/>
        <w:jc w:val="both"/>
        <w:textAlignment w:val="baseline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firstLine="0"/>
        <w:jc w:val="both"/>
        <w:textAlignment w:val="baseline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firstLine="0"/>
        <w:jc w:val="both"/>
        <w:textAlignment w:val="baseline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firstLine="0"/>
        <w:jc w:val="both"/>
        <w:textAlignment w:val="baseline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firstLine="0"/>
        <w:jc w:val="both"/>
        <w:textAlignment w:val="baseline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firstLine="0"/>
        <w:jc w:val="both"/>
        <w:textAlignment w:val="baseline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  <w:sectPr>
          <w:footerReference r:id="rId6" w:type="default"/>
          <w:footerReference r:id="rId7" w:type="even"/>
          <w:pgSz w:w="11906" w:h="16838"/>
          <w:pgMar w:top="2098" w:right="1474" w:bottom="1984" w:left="1587" w:header="1134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445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160" w:leftChars="100" w:right="320" w:rightChars="100" w:hanging="840" w:hangingChars="300"/>
        <w:jc w:val="both"/>
        <w:textAlignment w:val="auto"/>
        <w:outlineLvl w:val="9"/>
      </w:pPr>
      <w:r>
        <w:rPr>
          <w:rFonts w:hint="default" w:ascii="Times New Roman" w:hAnsi="Times New Roman" w:eastAsia="仿宋_GB2312" w:cs="Times New Roman"/>
          <w:sz w:val="28"/>
          <w:szCs w:val="28"/>
        </w:rPr>
        <w:t>抄送：</w:t>
      </w:r>
      <w:bookmarkStart w:id="0" w:name="抄送"/>
      <w:r>
        <w:rPr>
          <w:rFonts w:hint="eastAsia" w:cs="Times New Roman"/>
          <w:sz w:val="28"/>
          <w:szCs w:val="28"/>
          <w:lang w:eastAsia="zh-CN"/>
        </w:rPr>
        <w:t>厅领导</w:t>
      </w:r>
      <w:bookmarkEnd w:id="0"/>
      <w:r>
        <w:rPr>
          <w:rFonts w:hint="default" w:ascii="Times New Roman" w:hAnsi="Times New Roman" w:eastAsia="仿宋_GB2312" w:cs="Times New Roman"/>
          <w:sz w:val="28"/>
          <w:szCs w:val="28"/>
        </w:rPr>
        <w:t>。</w:t>
      </w:r>
    </w:p>
    <w:sectPr>
      <w:headerReference r:id="rId8" w:type="default"/>
      <w:footerReference r:id="rId10" w:type="default"/>
      <w:headerReference r:id="rId9" w:type="even"/>
      <w:footerReference r:id="rId11" w:type="even"/>
      <w:pgSz w:w="11906" w:h="16838"/>
      <w:pgMar w:top="2098" w:right="1474" w:bottom="1984" w:left="1587" w:header="1134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44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jc w:val="right"/>
    </w:pPr>
    <w:r>
      <w:rPr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-539115</wp:posOffset>
              </wp:positionH>
              <wp:positionV relativeFrom="paragraph">
                <wp:posOffset>-572135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jc w:val="right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42.45pt;margin-top:-45.05pt;height:144pt;width:144pt;mso-position-horizontal-relative:margin;mso-wrap-style:none;rotation:5898240f;z-index:251660288;mso-width-relative:page;mso-height-relative:page;" filled="f" stroked="f" coordsize="21600,21600" o:gfxdata="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L80pstcAAAALAQAADwAAAAAA&#10;AAABACAAAAAiAAAAZHJzL2Rvd25yZXYueG1sUEsBAhQAFAAAAAgAh07iQGMaSWDbAQAAsAMAAA4A&#10;AAAAAAAAAQAgAAAAJgEAAGRycy9lMm9Eb2MueG1sUEsFBgAAAAAGAAYAWQEAAHM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jc w:val="right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-152400</wp:posOffset>
              </wp:positionH>
              <wp:positionV relativeFrom="paragraph">
                <wp:posOffset>32385</wp:posOffset>
              </wp:positionV>
              <wp:extent cx="5939790" cy="0"/>
              <wp:effectExtent l="0" t="0" r="0" b="0"/>
              <wp:wrapNone/>
              <wp:docPr id="2" name="直接连接符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/>
                    </wps:cNvCnPr>
                    <wps:spPr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ln w="63500" cap="flat" cmpd="thinThick">
                        <a:solidFill>
                          <a:srgbClr val="FF0000"/>
                        </a:solidFill>
                        <a:prstDash val="solid"/>
                        <a:bevel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2pt;margin-top:2.55pt;height:0pt;width:467.7pt;z-index:251659264;mso-width-relative:page;mso-height-relative:page;" filled="f" stroked="t" coordsize="21600,21600" o:gfxdata="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C3nkGDUAAAABwEAAA8AAAAA&#10;AAAAAQAgAAAAIgAAAGRycy9kb3ducmV2LnhtbFBLAQIUABQAAAAIAIdO4kCCs2daGAIAACQEAAAO&#10;AAAAAAAAAAEAIAAAACMBAABkcnMvZTJvRG9jLnhtbFBLBQYAAAAABgAGAFkBAACtBQAAAAA=&#10;">
              <v:fill on="f" focussize="0,0"/>
              <v:stroke weight="5pt" color="#FF0000" linestyle="thinThick" joinstyle="bevel"/>
              <v:imagedata o:title=""/>
              <o:lock v:ext="edit" aspectratio="t"/>
            </v:lin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jc w:val="right"/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-539115</wp:posOffset>
              </wp:positionH>
              <wp:positionV relativeFrom="paragraph">
                <wp:posOffset>-572135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jc w:val="right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42.45pt;margin-top:-45.05pt;height:144pt;width:144pt;mso-position-horizontal-relative:margin;mso-wrap-style:none;rotation:5898240f;z-index:251661312;mso-width-relative:page;mso-height-relative:page;" filled="f" stroked="f" coordsize="21600,21600" o:gfxdata="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vzSmy1wAAAAsBAAAPAAAAAAAA&#10;AAEAIAAAACIAAABkcnMvZG93bnJldi54bWxQSwECFAAUAAAACACHTuJAxmrm+NoBAACwAwAADgAA&#10;AAAAAAABACAAAAAmAQAAZHJzL2Uyb0RvYy54bWxQSwUGAAAAAAYABgBZAQAAc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jc w:val="right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lef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4773A"/>
    <w:rsid w:val="3FF70E76"/>
    <w:rsid w:val="546F14A0"/>
    <w:rsid w:val="6DB477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8" Type="http://schemas.openxmlformats.org/officeDocument/2006/relationships/header" Target="header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2021-05-20T02:17:00Z</dcterms:created>
  <dc:creator>HP</dc:creator>
  <cp:lastModifiedBy>user</cp:lastModifiedBy>
  <dcterms:modified xsi:type="dcterms:W3CDTF">2022-01-24T02:30:39Z</dcterms:modified>
  <dc:title>福建省水利厅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