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方正大标宋简体"/>
          <w:color w:val="008000"/>
          <w:w w:val="85"/>
          <w:sz w:val="140"/>
        </w:rPr>
      </w:pPr>
      <w:r>
        <w:rPr>
          <w:rFonts w:hint="eastAsia" w:eastAsia="方正大标宋简体"/>
          <w:color w:val="008000"/>
          <w:w w:val="85"/>
          <w:sz w:val="140"/>
        </w:rPr>
        <w:t>内 部 明 电</w:t>
      </w:r>
    </w:p>
    <w:p>
      <w:pPr>
        <w:spacing w:line="400" w:lineRule="exact"/>
        <w:rPr>
          <w:rFonts w:ascii="仿宋_GB2312"/>
        </w:rPr>
      </w:pP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9"/>
        <w:gridCol w:w="971"/>
        <w:gridCol w:w="1157"/>
        <w:gridCol w:w="1948"/>
        <w:gridCol w:w="144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trPr>
        <w:tc>
          <w:tcPr>
            <w:tcW w:w="1830" w:type="dxa"/>
            <w:gridSpan w:val="2"/>
            <w:tcBorders>
              <w:top w:val="nil"/>
              <w:left w:val="nil"/>
              <w:bottom w:val="single" w:color="000000" w:sz="8" w:space="0"/>
              <w:right w:val="nil"/>
            </w:tcBorders>
            <w:vAlign w:val="center"/>
          </w:tcPr>
          <w:p>
            <w:pPr>
              <w:pStyle w:val="2"/>
              <w:spacing w:line="360" w:lineRule="exact"/>
              <w:ind w:firstLine="320" w:firstLineChars="100"/>
              <w:rPr>
                <w:rFonts w:ascii="宋体"/>
                <w:b/>
              </w:rPr>
            </w:pPr>
            <w:r>
              <w:rPr>
                <w:rFonts w:hint="eastAsia" w:ascii="宋体"/>
              </w:rPr>
              <w:t>发电单位</w:t>
            </w:r>
          </w:p>
        </w:tc>
        <w:tc>
          <w:tcPr>
            <w:tcW w:w="3105" w:type="dxa"/>
            <w:gridSpan w:val="2"/>
            <w:tcBorders>
              <w:top w:val="nil"/>
              <w:left w:val="nil"/>
              <w:bottom w:val="single" w:color="000000" w:sz="8" w:space="0"/>
              <w:right w:val="nil"/>
            </w:tcBorders>
            <w:vAlign w:val="center"/>
          </w:tcPr>
          <w:p>
            <w:pPr>
              <w:pStyle w:val="2"/>
              <w:spacing w:line="360" w:lineRule="exact"/>
              <w:rPr>
                <w:rFonts w:ascii="楷体_GB2312" w:eastAsia="楷体_GB2312"/>
              </w:rPr>
            </w:pPr>
            <w:r>
              <w:rPr>
                <w:rFonts w:hint="eastAsia" w:ascii="楷体_GB2312" w:hAnsi="楷体_GB2312" w:eastAsia="楷体_GB2312" w:cs="楷体_GB2312"/>
              </w:rPr>
              <w:t>福建省水利厅</w:t>
            </w:r>
          </w:p>
        </w:tc>
        <w:tc>
          <w:tcPr>
            <w:tcW w:w="1445" w:type="dxa"/>
            <w:tcBorders>
              <w:top w:val="nil"/>
              <w:left w:val="nil"/>
              <w:bottom w:val="single" w:color="000000" w:sz="8" w:space="0"/>
              <w:right w:val="nil"/>
            </w:tcBorders>
            <w:vAlign w:val="center"/>
          </w:tcPr>
          <w:p>
            <w:pPr>
              <w:pStyle w:val="2"/>
              <w:spacing w:line="360" w:lineRule="exact"/>
              <w:rPr>
                <w:rFonts w:ascii="楷体_GB2312" w:eastAsia="楷体_GB2312"/>
              </w:rPr>
            </w:pPr>
            <w:r>
              <w:rPr>
                <w:rFonts w:hint="eastAsia"/>
              </w:rPr>
              <w:t>签批盖章</w:t>
            </w:r>
          </w:p>
        </w:tc>
        <w:tc>
          <w:tcPr>
            <w:tcW w:w="2440" w:type="dxa"/>
            <w:tcBorders>
              <w:top w:val="nil"/>
              <w:left w:val="nil"/>
              <w:bottom w:val="single" w:color="000000" w:sz="8" w:space="0"/>
              <w:right w:val="nil"/>
            </w:tcBorders>
            <w:vAlign w:val="center"/>
          </w:tcPr>
          <w:p>
            <w:pPr>
              <w:pStyle w:val="2"/>
              <w:spacing w:line="360" w:lineRule="exact"/>
            </w:pPr>
            <w:r>
              <w:rPr>
                <w:rFonts w:hint="eastAsia" w:ascii="楷体_GB2312" w:eastAsia="楷体_GB2312"/>
              </w:rPr>
              <w:t xml:space="preserve">  </w:t>
            </w:r>
            <w:bookmarkStart w:id="0" w:name="签发签名"/>
            <w:r>
              <w:rPr>
                <w:rFonts w:hint="eastAsia" w:eastAsia="楷体_GB2312"/>
                <w:lang w:eastAsia="zh-CN"/>
              </w:rPr>
              <w:t>陈宜国</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0" w:hRule="atLeast"/>
        </w:trPr>
        <w:tc>
          <w:tcPr>
            <w:tcW w:w="859" w:type="dxa"/>
            <w:tcBorders>
              <w:top w:val="single" w:color="000000" w:sz="8" w:space="0"/>
              <w:left w:val="nil"/>
              <w:bottom w:val="single" w:color="auto" w:sz="8" w:space="0"/>
              <w:right w:val="nil"/>
            </w:tcBorders>
            <w:vAlign w:val="center"/>
          </w:tcPr>
          <w:p>
            <w:pPr>
              <w:ind w:firstLine="280" w:firstLineChars="100"/>
              <w:rPr>
                <w:spacing w:val="-20"/>
              </w:rPr>
            </w:pPr>
            <w:r>
              <w:rPr>
                <w:spacing w:val="-20"/>
              </w:rPr>
              <w:t>等级</w:t>
            </w:r>
          </w:p>
        </w:tc>
        <w:tc>
          <w:tcPr>
            <w:tcW w:w="971" w:type="dxa"/>
            <w:tcBorders>
              <w:top w:val="single" w:color="000000" w:sz="8" w:space="0"/>
              <w:left w:val="nil"/>
              <w:bottom w:val="single" w:color="auto" w:sz="8" w:space="0"/>
              <w:right w:val="nil"/>
            </w:tcBorders>
            <w:vAlign w:val="center"/>
          </w:tcPr>
          <w:p>
            <w:pPr>
              <w:jc w:val="center"/>
              <w:rPr>
                <w:rFonts w:hint="eastAsia" w:eastAsia="仿宋_GB2312"/>
                <w:spacing w:val="-20"/>
                <w:w w:val="90"/>
                <w:lang w:val="en-US" w:eastAsia="zh-CN"/>
              </w:rPr>
            </w:pPr>
            <w:r>
              <w:rPr>
                <w:rFonts w:hint="eastAsia" w:ascii="楷体_GB2312" w:hAnsi="楷体_GB2312" w:eastAsia="楷体_GB2312" w:cs="楷体_GB2312"/>
                <w:spacing w:val="-20"/>
                <w:w w:val="90"/>
                <w:lang w:val="en-US" w:eastAsia="zh-CN"/>
              </w:rPr>
              <w:t>特急</w:t>
            </w:r>
          </w:p>
        </w:tc>
        <w:tc>
          <w:tcPr>
            <w:tcW w:w="1157" w:type="dxa"/>
            <w:tcBorders>
              <w:top w:val="single" w:color="000000" w:sz="8" w:space="0"/>
              <w:left w:val="nil"/>
              <w:bottom w:val="single" w:color="auto" w:sz="8" w:space="0"/>
              <w:right w:val="nil"/>
            </w:tcBorders>
            <w:vAlign w:val="center"/>
          </w:tcPr>
          <w:p>
            <w:pPr>
              <w:jc w:val="center"/>
              <w:rPr>
                <w:rFonts w:ascii="楷体" w:hAnsi="楷体" w:eastAsia="楷体"/>
                <w:b/>
                <w:spacing w:val="-20"/>
                <w:w w:val="90"/>
              </w:rPr>
            </w:pPr>
            <w:r>
              <w:rPr>
                <w:rFonts w:ascii="楷体" w:hAnsi="楷体" w:eastAsia="楷体"/>
                <w:b/>
                <w:spacing w:val="-20"/>
                <w:w w:val="90"/>
              </w:rPr>
              <w:t>明电</w:t>
            </w:r>
          </w:p>
        </w:tc>
        <w:tc>
          <w:tcPr>
            <w:tcW w:w="5833" w:type="dxa"/>
            <w:gridSpan w:val="3"/>
            <w:tcBorders>
              <w:top w:val="single" w:color="000000" w:sz="8" w:space="0"/>
              <w:left w:val="nil"/>
              <w:bottom w:val="single" w:color="auto" w:sz="8" w:space="0"/>
              <w:right w:val="nil"/>
            </w:tcBorders>
            <w:vAlign w:val="center"/>
          </w:tcPr>
          <w:p>
            <w:pPr>
              <w:jc w:val="center"/>
            </w:pPr>
            <w:bookmarkStart w:id="1" w:name="文号类型"/>
            <w:r>
              <w:rPr>
                <w:rFonts w:hint="eastAsia"/>
                <w:spacing w:val="0"/>
                <w:lang w:eastAsia="zh-CN"/>
              </w:rPr>
              <w:t>闽水发明电</w:t>
            </w:r>
            <w:bookmarkEnd w:id="1"/>
            <w:r>
              <w:rPr>
                <w:spacing w:val="0"/>
              </w:rPr>
              <w:t>〔</w:t>
            </w:r>
            <w:bookmarkStart w:id="2" w:name="年度"/>
            <w:r>
              <w:rPr>
                <w:rFonts w:hint="eastAsia"/>
                <w:spacing w:val="0"/>
                <w:lang w:eastAsia="zh-CN"/>
              </w:rPr>
              <w:t>2018</w:t>
            </w:r>
            <w:bookmarkEnd w:id="2"/>
            <w:r>
              <w:rPr>
                <w:spacing w:val="0"/>
              </w:rPr>
              <w:t>〕</w:t>
            </w:r>
            <w:bookmarkStart w:id="3" w:name="文号"/>
            <w:r>
              <w:rPr>
                <w:rFonts w:hint="eastAsia"/>
                <w:spacing w:val="0"/>
                <w:lang w:eastAsia="zh-CN"/>
              </w:rPr>
              <w:t>62</w:t>
            </w:r>
            <w:bookmarkEnd w:id="3"/>
            <w:r>
              <w:rPr>
                <w:spacing w:val="0"/>
              </w:rPr>
              <w:t>号</w:t>
            </w:r>
          </w:p>
        </w:tc>
      </w:tr>
    </w:tbl>
    <w:p>
      <w:pPr>
        <w:spacing w:line="540" w:lineRule="exact"/>
        <w:rPr>
          <w:rFonts w:ascii="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heme="minorEastAsia" w:hAnsiTheme="minorEastAsia" w:eastAsiaTheme="minorEastAsia" w:cstheme="minorEastAsia"/>
          <w:sz w:val="24"/>
          <w:szCs w:val="24"/>
          <w:lang w:eastAsia="zh-CN"/>
        </w:rPr>
      </w:pPr>
      <w:bookmarkStart w:id="4" w:name="标题"/>
      <w:bookmarkStart w:id="6" w:name="_GoBack"/>
      <w:r>
        <w:rPr>
          <w:rFonts w:hint="eastAsia" w:asciiTheme="minorEastAsia" w:hAnsiTheme="minorEastAsia" w:eastAsiaTheme="minorEastAsia" w:cstheme="minorEastAsia"/>
          <w:sz w:val="24"/>
          <w:szCs w:val="24"/>
          <w:lang w:eastAsia="zh-CN"/>
        </w:rPr>
        <w:t>福建省水利厅关于做好岁末年初水利安全生产防范工作的通知</w:t>
      </w:r>
      <w:bookmarkEnd w:id="4"/>
    </w:p>
    <w:bookmarkEnd w:id="6"/>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heme="minorEastAsia" w:hAnsiTheme="minorEastAsia" w:eastAsiaTheme="minorEastAsia" w:cstheme="minorEastAsia"/>
          <w:sz w:val="24"/>
          <w:szCs w:val="24"/>
        </w:rPr>
      </w:pPr>
      <w:bookmarkStart w:id="5" w:name="主送"/>
      <w:r>
        <w:rPr>
          <w:rFonts w:hint="eastAsia" w:asciiTheme="minorEastAsia" w:hAnsiTheme="minorEastAsia" w:eastAsiaTheme="minorEastAsia" w:cstheme="minorEastAsia"/>
          <w:sz w:val="24"/>
          <w:szCs w:val="24"/>
          <w:lang w:eastAsia="zh-CN"/>
        </w:rPr>
        <w:t>各设区市水利局，平潭综合实验区农发局；厅安委会各成员，厅属各单位</w:t>
      </w:r>
      <w:bookmarkEnd w:id="5"/>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前，水利部办公厅、省政府安委会办公室先后转发了《国务院安委会办公室应急管理部关于做好岁末年初安全防范工作的通知》，要求认真贯彻落实习近平总书记关于做好岁末年初安全生产工作的重要指示精神，按照中办、国办《关于做好2019年元旦春节期间有关工作的通知》要求，统筹做好节日期间各项安全管理工作，全力维护人民群众生命财产安全和社会稳定。现结合我省水利实际，提出以下贯彻意见，请认真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一、增强思想认识，层层压实安全责任。</w:t>
      </w:r>
      <w:r>
        <w:rPr>
          <w:rFonts w:hint="eastAsia" w:asciiTheme="minorEastAsia" w:hAnsiTheme="minorEastAsia" w:eastAsiaTheme="minorEastAsia" w:cstheme="minorEastAsia"/>
          <w:sz w:val="24"/>
          <w:szCs w:val="24"/>
          <w:lang w:val="en-US" w:eastAsia="zh-CN"/>
        </w:rPr>
        <w:t>要始终绷紧安全生产这根弦，不能有丝毫松懈和半点马虎，深入研判岁末年初水利安全生产工作特点，切实摸清弄准重大风险，有针对性地制定严密的安全防范管控工作方案。要清醒认识全省水利安全生产工作严峻的形势，增强忧患意识，强化组织领导，加强督促指导，严格落实安全防范责任措施，严防生产安全事故发生，确保全省水利安全生产形势持续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二、突出行业重点，抓好安全风险管控。</w:t>
      </w:r>
      <w:r>
        <w:rPr>
          <w:rFonts w:hint="eastAsia" w:asciiTheme="minorEastAsia" w:hAnsiTheme="minorEastAsia" w:eastAsiaTheme="minorEastAsia" w:cstheme="minorEastAsia"/>
          <w:sz w:val="24"/>
          <w:szCs w:val="24"/>
          <w:lang w:val="en-US" w:eastAsia="zh-CN"/>
        </w:rPr>
        <w:t>要深刻汲取近期重大事故教训，切实加强水利行业重点领域、重点项目、重点部位，尤其是水利工程建筑施工的安全生产监管工作，重点加强脚手架、起重吊装、模板支撑、拆除爆破和深基坑、高边坡、洞室工程等专项检查，严格落实施工现场安全措施，严防高空坠落、坍塌、物体打击等事故。要加强病险工程、水库大坝、农村水电、供水工程等安全监管，严格执行各项规章制度和安全操作规程，规范运行管理。要督促勘察（测）设计、水文监测、水利科研与检验单位做好安全管理工作，确保野外作业与交通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强化安全措施，有效防范自然灾害。要做好应对低温、雨雪、冰冻等自然灾害的充分准备，加强巡查防守，完善应急预案，确保队伍、物资、装备等准备到位。水利工程建设项目要严格落实冬季施工安全现场安全措施，严禁恶劣天气违规强行施工。要加强与气象部门的协调联动，强化监测预报、会商研判，充分运用多种媒体及时发布预警信息，提醒社会公众防灾避险，严防极端天气引发次生灾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四、加强应急管理，全力做好抢险救援。</w:t>
      </w:r>
      <w:r>
        <w:rPr>
          <w:rFonts w:hint="eastAsia" w:asciiTheme="minorEastAsia" w:hAnsiTheme="minorEastAsia" w:eastAsiaTheme="minorEastAsia" w:cstheme="minorEastAsia"/>
          <w:sz w:val="24"/>
          <w:szCs w:val="24"/>
          <w:lang w:val="en-US" w:eastAsia="zh-CN"/>
        </w:rPr>
        <w:t>要严格落实领导带班、重要岗位24小时值班制度和信息报告制度，不断完善生产安全事故应急预案和专项应急处置方案，强化应急演练，做好应急救援物资储备，提升应急救援处置能力，科学有效应对和处置紧急情况。要充分利用媒体平台渠道，广泛进行安全提示，切实提高全员安全意识和避险减灾技能。要加强元旦、春节、元宵等重要节日期间的安全管理，严防拥挤、踩踏等伤亡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坚持严实作风，狠抓安全措施落实。要从牢固树立“四个意识”、坚决做到“两个维护”的政治高度，深刻认识到抓好岁末年初水利安全防范工作的极端重要性，健全统一领导、分工负责、协调联动的工作机制，层层压实责任，狠抓各项安全责任措施落实，务求取得实效。要强化跟踪督办，坚决克服形式主义、官僚主义，防止会议一开了之、通知一发了之，严防督而不实、约谈无果，真正把隐患消除在事故发生之前。要进一步加强水利安全执法，正确运用查封、扣押、停产停业整顿等强制措施以及水利建设信用评价手段，严抓严管，牢牢守住安全底线，有效防范水利生产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600" w:rightChars="500" w:firstLine="0"/>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福建省水利厅</w:t>
      </w:r>
    </w:p>
    <w:p>
      <w:pPr>
        <w:keepNext w:val="0"/>
        <w:keepLines w:val="0"/>
        <w:pageBreakBefore w:val="0"/>
        <w:widowControl w:val="0"/>
        <w:kinsoku/>
        <w:wordWrap/>
        <w:overflowPunct/>
        <w:topLinePunct w:val="0"/>
        <w:autoSpaceDE/>
        <w:autoSpaceDN/>
        <w:bidi w:val="0"/>
        <w:adjustRightInd/>
        <w:snapToGrid/>
        <w:spacing w:line="560" w:lineRule="exact"/>
        <w:ind w:left="0" w:leftChars="0" w:right="1280" w:rightChars="400" w:firstLine="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日</w:t>
      </w:r>
    </w:p>
    <w:p>
      <w:pPr>
        <w:spacing w:beforeLines="0" w:afterLines="0" w:line="600" w:lineRule="exact"/>
        <w:rPr>
          <w:rFonts w:ascii="仿宋_GB2312"/>
        </w:rPr>
      </w:pPr>
    </w:p>
    <w:p>
      <w:pPr>
        <w:keepNext w:val="0"/>
        <w:keepLines w:val="0"/>
        <w:pageBreakBefore w:val="0"/>
        <w:widowControl w:val="0"/>
        <w:kinsoku/>
        <w:wordWrap/>
        <w:overflowPunct/>
        <w:topLinePunct w:val="0"/>
        <w:autoSpaceDE/>
        <w:autoSpaceDN/>
        <w:bidi w:val="0"/>
        <w:adjustRightInd/>
        <w:snapToGrid/>
        <w:spacing w:before="303" w:beforeLines="50" w:afterLines="0" w:line="600" w:lineRule="exact"/>
        <w:ind w:right="320" w:rightChars="100" w:firstLine="560" w:firstLineChars="200"/>
        <w:jc w:val="both"/>
        <w:textAlignment w:val="auto"/>
        <w:outlineLvl w:val="9"/>
      </w:pPr>
      <w:r>
        <w:rPr>
          <w:rFonts w:hint="default"/>
          <w:sz w:val="28"/>
          <w:szCs w:val="28"/>
          <w:lang w:eastAsia="zh-CN"/>
        </w:rPr>
        <w:t>抄送：</w:t>
      </w:r>
      <w:r>
        <w:rPr>
          <w:rFonts w:hint="eastAsia"/>
          <w:sz w:val="28"/>
          <w:szCs w:val="28"/>
          <w:lang w:eastAsia="zh-CN"/>
        </w:rPr>
        <w:t>水利部监督司，省政府安委办</w:t>
      </w:r>
      <w:r>
        <w:rPr>
          <w:rFonts w:hint="default" w:ascii="Times New Roman" w:hAnsi="Times New Roman" w:cs="Times New Roman"/>
          <w:sz w:val="28"/>
          <w:szCs w:val="28"/>
          <w:lang w:val="en-US" w:eastAsia="zh-CN"/>
        </w:rPr>
        <w:t>，</w:t>
      </w:r>
      <w:r>
        <w:rPr>
          <w:rFonts w:hint="default"/>
          <w:sz w:val="28"/>
          <w:szCs w:val="28"/>
          <w:lang w:eastAsia="zh-CN"/>
        </w:rPr>
        <w:t>厅领导。</w:t>
      </w:r>
    </w:p>
    <w:sectPr>
      <w:footerReference r:id="rId5" w:type="first"/>
      <w:footerReference r:id="rId3" w:type="default"/>
      <w:footerReference r:id="rId4" w:type="even"/>
      <w:pgSz w:w="11907" w:h="16840"/>
      <w:pgMar w:top="1701" w:right="1361" w:bottom="1474" w:left="1474" w:header="0" w:footer="1077" w:gutter="0"/>
      <w:pgNumType w:start="1"/>
      <w:cols w:space="720" w:num="1"/>
      <w:titlePg/>
      <w:docGrid w:type="linesAndChars" w:linePitch="601" w:charSpace="-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字酷堂明行体(体验版)">
    <w:altName w:val="宋体"/>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钟齐李洤标准草书符号">
    <w:altName w:val="宋体"/>
    <w:panose1 w:val="0201060003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H">
    <w:altName w:val="MS PMincho"/>
    <w:panose1 w:val="02020900000000000000"/>
    <w:charset w:val="80"/>
    <w:family w:val="auto"/>
    <w:pitch w:val="default"/>
    <w:sig w:usb0="00000000" w:usb1="00000000" w:usb2="00000012" w:usb3="00000000" w:csb0="2002009F"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R">
    <w:altName w:val="MS PMincho"/>
    <w:panose1 w:val="020204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6N B">
    <w:altName w:val="MS PMincho"/>
    <w:panose1 w:val="02020800000000000000"/>
    <w:charset w:val="80"/>
    <w:family w:val="auto"/>
    <w:pitch w:val="default"/>
    <w:sig w:usb0="00000000" w:usb1="00000000" w:usb2="00000012" w:usb3="00000000" w:csb0="200200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kton Pro">
    <w:altName w:val="MV Boli"/>
    <w:panose1 w:val="020F0603020208020904"/>
    <w:charset w:val="00"/>
    <w:family w:val="auto"/>
    <w:pitch w:val="default"/>
    <w:sig w:usb0="00000000" w:usb1="00000000" w:usb2="00000000" w:usb3="00000000" w:csb0="20000093" w:csb1="00000000"/>
  </w:font>
  <w:font w:name="Tekton Pro Cond">
    <w:altName w:val="MV Boli"/>
    <w:panose1 w:val="020F0606020208020904"/>
    <w:charset w:val="00"/>
    <w:family w:val="auto"/>
    <w:pitch w:val="default"/>
    <w:sig w:usb0="00000000" w:usb1="00000000" w:usb2="00000000" w:usb3="00000000" w:csb0="20000093" w:csb1="00000000"/>
  </w:font>
  <w:font w:name="幼圆">
    <w:panose1 w:val="02010509060101010101"/>
    <w:charset w:val="86"/>
    <w:family w:val="auto"/>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7A"/>
    <w:family w:val="modern"/>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Century Gothic">
    <w:panose1 w:val="020B0502020202020204"/>
    <w:charset w:val="00"/>
    <w:family w:val="auto"/>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auto"/>
    <w:pitch w:val="default"/>
    <w:sig w:usb0="E0002AFF" w:usb1="C0007843" w:usb2="00000009" w:usb3="00000000" w:csb0="400001FF" w:csb1="FFFF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Nyala">
    <w:panose1 w:val="02000504070300020003"/>
    <w:charset w:val="00"/>
    <w:family w:val="auto"/>
    <w:pitch w:val="default"/>
    <w:sig w:usb0="A000006F" w:usb1="00000000" w:usb2="00000800" w:usb3="00000000" w:csb0="00000093" w:csb1="00000000"/>
  </w:font>
  <w:font w:name="方正大标宋简体">
    <w:altName w:val="微软雅黑"/>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955" w:wrap="around" w:vAnchor="text" w:hAnchor="page" w:x="5098" w:y="36"/>
      <w:spacing w:line="240" w:lineRule="exact"/>
      <w:rPr>
        <w:rStyle w:val="5"/>
        <w:sz w:val="28"/>
      </w:rPr>
    </w:pPr>
    <w:r>
      <w:rPr>
        <w:rStyle w:val="5"/>
        <w:rFonts w:hint="eastAsia" w:ascii="仿宋_GB2312"/>
        <w:kern w:val="0"/>
        <w:sz w:val="28"/>
      </w:rPr>
      <w:t>·</w:t>
    </w:r>
    <w:r>
      <w:rPr>
        <w:rStyle w:val="5"/>
        <w:kern w:val="0"/>
        <w:sz w:val="28"/>
      </w:rPr>
      <w:t xml:space="preserve"> </w:t>
    </w:r>
    <w:r>
      <w:rPr>
        <w:kern w:val="0"/>
        <w:sz w:val="28"/>
      </w:rPr>
      <w:fldChar w:fldCharType="begin"/>
    </w:r>
    <w:r>
      <w:rPr>
        <w:rStyle w:val="5"/>
        <w:kern w:val="0"/>
        <w:sz w:val="28"/>
      </w:rPr>
      <w:instrText xml:space="preserve"> PAGE </w:instrText>
    </w:r>
    <w:r>
      <w:rPr>
        <w:kern w:val="0"/>
        <w:sz w:val="28"/>
      </w:rPr>
      <w:fldChar w:fldCharType="separate"/>
    </w:r>
    <w:r>
      <w:rPr>
        <w:rStyle w:val="5"/>
        <w:kern w:val="0"/>
        <w:sz w:val="28"/>
      </w:rPr>
      <w:t>2</w:t>
    </w:r>
    <w:r>
      <w:rPr>
        <w:kern w:val="0"/>
        <w:sz w:val="28"/>
      </w:rPr>
      <w:fldChar w:fldCharType="end"/>
    </w:r>
    <w:r>
      <w:rPr>
        <w:rStyle w:val="5"/>
        <w:kern w:val="0"/>
        <w:sz w:val="28"/>
      </w:rPr>
      <w:t xml:space="preserve"> </w:t>
    </w:r>
    <w:r>
      <w:rPr>
        <w:rStyle w:val="5"/>
        <w:rFonts w:hint="eastAsia" w:ascii="仿宋_GB2312"/>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0</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980" w:type="dxa"/>
      <w:tblInd w:w="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00" w:hRule="atLeast"/>
      </w:trPr>
      <w:tc>
        <w:tcPr>
          <w:tcW w:w="8980" w:type="dxa"/>
          <w:tcBorders>
            <w:left w:val="nil"/>
            <w:bottom w:val="nil"/>
            <w:right w:val="nil"/>
          </w:tcBorders>
        </w:tcPr>
        <w:p>
          <w:pPr>
            <w:pStyle w:val="3"/>
            <w:spacing w:line="400" w:lineRule="exact"/>
            <w:ind w:left="-61" w:leftChars="-19" w:firstLine="2160" w:firstLineChars="900"/>
            <w:rPr>
              <w:sz w:val="24"/>
            </w:rPr>
          </w:pPr>
          <w:r>
            <w:rPr>
              <w:rFonts w:hint="eastAsia" w:eastAsia="楷体_GB2312"/>
              <w:sz w:val="24"/>
            </w:rPr>
            <w:t xml:space="preserve">                     </w:t>
          </w:r>
          <w:r>
            <w:rPr>
              <w:rFonts w:eastAsia="楷体_GB2312"/>
              <w:sz w:val="24"/>
            </w:rPr>
            <w:t xml:space="preserve"> </w:t>
          </w:r>
          <w:r>
            <w:rPr>
              <w:rFonts w:hint="eastAsia" w:eastAsia="楷体_GB2312"/>
              <w:sz w:val="24"/>
            </w:rPr>
            <w:t xml:space="preserve">                        共  </w:t>
          </w:r>
          <w:r>
            <w:rPr>
              <w:rFonts w:eastAsia="楷体_GB2312"/>
              <w:sz w:val="28"/>
            </w:rPr>
            <w:fldChar w:fldCharType="begin"/>
          </w:r>
          <w:r>
            <w:rPr>
              <w:rFonts w:eastAsia="楷体_GB2312"/>
              <w:sz w:val="28"/>
            </w:rPr>
            <w:instrText xml:space="preserve"> NUMPAGES \* Arabic \* MERGEFORMAT </w:instrText>
          </w:r>
          <w:r>
            <w:rPr>
              <w:rFonts w:eastAsia="楷体_GB2312"/>
              <w:sz w:val="28"/>
            </w:rPr>
            <w:fldChar w:fldCharType="separate"/>
          </w:r>
          <w:r>
            <w:rPr>
              <w:rFonts w:eastAsia="楷体_GB2312"/>
              <w:sz w:val="28"/>
            </w:rPr>
            <w:t>1</w:t>
          </w:r>
          <w:r>
            <w:rPr>
              <w:rFonts w:eastAsia="楷体_GB2312"/>
              <w:sz w:val="28"/>
            </w:rPr>
            <w:fldChar w:fldCharType="end"/>
          </w:r>
          <w:r>
            <w:rPr>
              <w:rFonts w:hint="eastAsia" w:eastAsia="楷体_GB2312"/>
              <w:sz w:val="24"/>
            </w:rPr>
            <w:t xml:space="preserve">  页</w:t>
          </w:r>
        </w:p>
      </w:tc>
    </w:tr>
  </w:tbl>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20821"/>
    <w:rsid w:val="78F20821"/>
    <w:rsid w:val="7C281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r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2018-12-29T09:16:00Z</dcterms:created>
  <dc:creator>HP</dc:creator>
  <cp:lastModifiedBy>user</cp:lastModifiedBy>
  <dcterms:modified xsi:type="dcterms:W3CDTF">2019-03-01T08:37:11Z</dcterms:modified>
  <dc:title>内 部 明 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