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EFC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b w:val="0"/>
          <w:bCs/>
          <w:sz w:val="36"/>
          <w:szCs w:val="36"/>
          <w:lang w:val="en-US" w:eastAsia="zh-CN"/>
        </w:rPr>
      </w:pPr>
      <w:r>
        <w:rPr>
          <w:rFonts w:hint="eastAsia" w:ascii="方正小标宋简体" w:hAnsi="宋体" w:eastAsia="方正小标宋简体" w:cs="Times New Roman"/>
          <w:b w:val="0"/>
          <w:bCs/>
          <w:sz w:val="36"/>
          <w:szCs w:val="36"/>
          <w:lang w:val="en-US" w:eastAsia="zh-CN"/>
        </w:rPr>
        <w:t xml:space="preserve">   2026年度福建省数字水安视频监视系统运维服务的下半年监理服务内容及要求</w:t>
      </w:r>
    </w:p>
    <w:p w14:paraId="241B86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b/>
          <w:bCs/>
          <w:sz w:val="24"/>
          <w:szCs w:val="24"/>
        </w:rPr>
      </w:pPr>
      <w:r>
        <w:rPr>
          <w:rFonts w:hint="eastAsia" w:ascii="宋体" w:hAnsi="宋体" w:eastAsia="宋体"/>
          <w:b/>
          <w:bCs/>
          <w:sz w:val="24"/>
          <w:szCs w:val="24"/>
        </w:rPr>
        <w:t xml:space="preserve">    </w:t>
      </w:r>
    </w:p>
    <w:p w14:paraId="1C3BDC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项目概况</w:t>
      </w:r>
    </w:p>
    <w:p w14:paraId="6B1838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（一）项目背景</w:t>
      </w:r>
    </w:p>
    <w:p w14:paraId="1F73A1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snapToGrid w:val="0"/>
          <w:kern w:val="0"/>
          <w:sz w:val="32"/>
          <w:szCs w:val="32"/>
          <w:highlight w:val="none"/>
          <w:lang w:val="en-US" w:eastAsia="zh-CN"/>
        </w:rPr>
      </w:pPr>
      <w:r>
        <w:rPr>
          <w:rFonts w:hint="eastAsia" w:ascii="仿宋_GB2312" w:hAnsi="Times New Roman" w:eastAsia="仿宋_GB2312" w:cs="Times New Roman"/>
          <w:b/>
          <w:bCs/>
          <w:snapToGrid w:val="0"/>
          <w:kern w:val="0"/>
          <w:sz w:val="32"/>
          <w:szCs w:val="32"/>
          <w:highlight w:val="none"/>
          <w:lang w:val="en-US" w:eastAsia="zh-CN"/>
        </w:rPr>
        <w:t>福建省数字水安视频监视系统运维服务项目</w:t>
      </w:r>
      <w:r>
        <w:rPr>
          <w:rFonts w:hint="eastAsia" w:ascii="仿宋_GB2312" w:hAnsi="Times New Roman" w:eastAsia="仿宋_GB2312" w:cs="Times New Roman"/>
          <w:snapToGrid w:val="0"/>
          <w:kern w:val="0"/>
          <w:sz w:val="32"/>
          <w:szCs w:val="32"/>
          <w:highlight w:val="none"/>
          <w:lang w:val="en-US" w:eastAsia="zh-CN"/>
        </w:rPr>
        <w:t>在重要水库水闸、河流重要断面及汇流口、水利重点在建工程、水土保持实施区、水文国家报汛站、灾情易发区、无人岛等重要区域部署视频监视点，目前可</w:t>
      </w:r>
      <w:r>
        <w:rPr>
          <w:rFonts w:hint="default" w:ascii="仿宋_GB2312" w:hAnsi="Times New Roman" w:eastAsia="仿宋_GB2312" w:cs="Times New Roman"/>
          <w:snapToGrid w:val="0"/>
          <w:kern w:val="0"/>
          <w:sz w:val="32"/>
          <w:szCs w:val="32"/>
          <w:highlight w:val="none"/>
          <w:lang w:val="en-US" w:eastAsia="zh-CN"/>
        </w:rPr>
        <w:t>提供全省543个点位，1267个视频监控</w:t>
      </w:r>
      <w:r>
        <w:rPr>
          <w:rFonts w:hint="eastAsia" w:ascii="仿宋_GB2312" w:hAnsi="Times New Roman" w:eastAsia="仿宋_GB2312" w:cs="Times New Roman"/>
          <w:snapToGrid w:val="0"/>
          <w:kern w:val="0"/>
          <w:sz w:val="32"/>
          <w:szCs w:val="32"/>
          <w:highlight w:val="none"/>
          <w:lang w:val="en-US" w:eastAsia="zh-CN"/>
        </w:rPr>
        <w:t>，实现全省水资源、水生态、水环境、水安全、水工程的实时在线监视和智能分析，提升水利行业监管、安全生产、应急处置、指挥决策能力和水平。</w:t>
      </w:r>
    </w:p>
    <w:p w14:paraId="5855DD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（二）项目概述</w:t>
      </w:r>
    </w:p>
    <w:p w14:paraId="54F157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Times New Roman" w:eastAsia="仿宋_GB2312" w:cs="Times New Roman"/>
          <w:snapToGrid w:val="0"/>
          <w:kern w:val="0"/>
          <w:sz w:val="32"/>
          <w:szCs w:val="32"/>
          <w:highlight w:val="none"/>
          <w:lang w:val="en-US" w:eastAsia="zh-CN"/>
        </w:rPr>
      </w:pPr>
      <w:r>
        <w:rPr>
          <w:rFonts w:hint="eastAsia" w:ascii="仿宋_GB2312" w:hAnsi="Times New Roman" w:eastAsia="仿宋_GB2312" w:cs="Times New Roman"/>
          <w:snapToGrid w:val="0"/>
          <w:kern w:val="0"/>
          <w:sz w:val="32"/>
          <w:szCs w:val="32"/>
          <w:highlight w:val="none"/>
          <w:lang w:val="en-US" w:eastAsia="zh-CN"/>
        </w:rPr>
        <w:t>本项目为2026年度福建省数字水安视频监视系统（一期）运维服务项目（下称水安系统）提供监理服务和年度绩效评估。本监理服务应对水安管理系统合同包日常运维进行全过程监督</w:t>
      </w:r>
      <w:r>
        <w:rPr>
          <w:rFonts w:hint="eastAsia" w:ascii="仿宋_GB2312" w:hAnsi="仿宋_GB2312" w:eastAsia="仿宋_GB2312" w:cs="仿宋_GB2312"/>
          <w:snapToGrid w:val="0"/>
          <w:kern w:val="0"/>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确保系统的稳定运行和维护的规范性，并</w:t>
      </w:r>
      <w:r>
        <w:rPr>
          <w:rFonts w:hint="eastAsia" w:ascii="仿宋_GB2312" w:hAnsi="Times New Roman" w:eastAsia="仿宋_GB2312" w:cs="Times New Roman"/>
          <w:snapToGrid w:val="0"/>
          <w:kern w:val="0"/>
          <w:sz w:val="32"/>
          <w:szCs w:val="32"/>
          <w:highlight w:val="none"/>
          <w:lang w:val="en-US" w:eastAsia="zh-CN"/>
        </w:rPr>
        <w:t>配合业主方开展运维服务质量考核工作。</w:t>
      </w:r>
      <w:r>
        <w:rPr>
          <w:rFonts w:hint="eastAsia" w:ascii="仿宋_GB2312" w:hAnsi="仿宋_GB2312" w:eastAsia="仿宋_GB2312" w:cs="仿宋_GB2312"/>
          <w:sz w:val="32"/>
          <w:szCs w:val="32"/>
        </w:rPr>
        <w:t>监理对象</w:t>
      </w:r>
      <w:r>
        <w:rPr>
          <w:rFonts w:hint="eastAsia" w:ascii="仿宋_GB2312" w:hAnsi="仿宋_GB2312" w:eastAsia="仿宋_GB2312" w:cs="仿宋_GB2312"/>
          <w:sz w:val="32"/>
          <w:szCs w:val="32"/>
          <w:lang w:val="en-US" w:eastAsia="zh-CN"/>
        </w:rPr>
        <w:t>详见下表：</w:t>
      </w:r>
    </w:p>
    <w:tbl>
      <w:tblPr>
        <w:tblStyle w:val="6"/>
        <w:tblW w:w="0" w:type="auto"/>
        <w:jc w:val="center"/>
        <w:tblLayout w:type="fixed"/>
        <w:tblCellMar>
          <w:top w:w="0" w:type="dxa"/>
          <w:left w:w="108" w:type="dxa"/>
          <w:bottom w:w="0" w:type="dxa"/>
          <w:right w:w="108" w:type="dxa"/>
        </w:tblCellMar>
      </w:tblPr>
      <w:tblGrid>
        <w:gridCol w:w="1768"/>
        <w:gridCol w:w="2297"/>
        <w:gridCol w:w="2400"/>
        <w:gridCol w:w="2503"/>
      </w:tblGrid>
      <w:tr w14:paraId="51E70FAC">
        <w:tblPrEx>
          <w:tblCellMar>
            <w:top w:w="0" w:type="dxa"/>
            <w:left w:w="108" w:type="dxa"/>
            <w:bottom w:w="0" w:type="dxa"/>
            <w:right w:w="108" w:type="dxa"/>
          </w:tblCellMar>
        </w:tblPrEx>
        <w:trPr>
          <w:trHeight w:val="732" w:hRule="atLeast"/>
          <w:jc w:val="center"/>
        </w:trPr>
        <w:tc>
          <w:tcPr>
            <w:tcW w:w="1768" w:type="dxa"/>
            <w:tcBorders>
              <w:top w:val="single" w:color="auto" w:sz="4" w:space="0"/>
              <w:left w:val="single" w:color="auto" w:sz="4" w:space="0"/>
              <w:bottom w:val="single" w:color="auto" w:sz="4" w:space="0"/>
              <w:right w:val="single" w:color="auto" w:sz="4" w:space="0"/>
            </w:tcBorders>
            <w:noWrap w:val="0"/>
            <w:vAlign w:val="center"/>
          </w:tcPr>
          <w:p w14:paraId="4212D0CB">
            <w:pPr>
              <w:spacing w:before="240"/>
              <w:jc w:val="center"/>
              <w:rPr>
                <w:rFonts w:hint="eastAsia" w:ascii="黑体" w:hAnsi="黑体" w:eastAsia="黑体" w:cs="黑体"/>
                <w:b w:val="0"/>
                <w:bCs w:val="0"/>
                <w:color w:val="000000"/>
                <w:sz w:val="24"/>
                <w:szCs w:val="24"/>
                <w:lang w:eastAsia="zh-CN"/>
              </w:rPr>
            </w:pPr>
            <w:r>
              <w:rPr>
                <w:rFonts w:hint="eastAsia" w:ascii="黑体" w:hAnsi="黑体" w:eastAsia="黑体" w:cs="黑体"/>
                <w:b w:val="0"/>
                <w:bCs w:val="0"/>
                <w:color w:val="000000"/>
                <w:sz w:val="24"/>
                <w:szCs w:val="24"/>
                <w:lang w:eastAsia="zh-CN"/>
              </w:rPr>
              <w:t>监理服务对象</w:t>
            </w:r>
          </w:p>
        </w:tc>
        <w:tc>
          <w:tcPr>
            <w:tcW w:w="4697" w:type="dxa"/>
            <w:gridSpan w:val="2"/>
            <w:tcBorders>
              <w:top w:val="single" w:color="auto" w:sz="4" w:space="0"/>
              <w:left w:val="single" w:color="auto" w:sz="4" w:space="0"/>
              <w:bottom w:val="single" w:color="auto" w:sz="4" w:space="0"/>
              <w:right w:val="single" w:color="auto" w:sz="4" w:space="0"/>
            </w:tcBorders>
            <w:noWrap w:val="0"/>
            <w:vAlign w:val="center"/>
          </w:tcPr>
          <w:p w14:paraId="70BA90A2">
            <w:pPr>
              <w:spacing w:before="240"/>
              <w:jc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lang w:eastAsia="zh-CN"/>
              </w:rPr>
              <w:t>监理服务</w:t>
            </w:r>
            <w:r>
              <w:rPr>
                <w:rFonts w:hint="eastAsia" w:ascii="黑体" w:hAnsi="黑体" w:eastAsia="黑体" w:cs="黑体"/>
                <w:b w:val="0"/>
                <w:bCs w:val="0"/>
                <w:color w:val="000000"/>
                <w:sz w:val="24"/>
                <w:szCs w:val="24"/>
              </w:rPr>
              <w:t>内容</w:t>
            </w:r>
          </w:p>
        </w:tc>
        <w:tc>
          <w:tcPr>
            <w:tcW w:w="2503" w:type="dxa"/>
            <w:tcBorders>
              <w:top w:val="single" w:color="auto" w:sz="4" w:space="0"/>
              <w:left w:val="single" w:color="auto" w:sz="4" w:space="0"/>
              <w:bottom w:val="single" w:color="auto" w:sz="4" w:space="0"/>
              <w:right w:val="single" w:color="auto" w:sz="4" w:space="0"/>
            </w:tcBorders>
            <w:noWrap w:val="0"/>
            <w:vAlign w:val="center"/>
          </w:tcPr>
          <w:p w14:paraId="4E707325">
            <w:pPr>
              <w:spacing w:before="240"/>
              <w:jc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lang w:val="en-US" w:eastAsia="zh-CN"/>
              </w:rPr>
              <w:t>监理</w:t>
            </w:r>
            <w:r>
              <w:rPr>
                <w:rFonts w:hint="eastAsia" w:ascii="黑体" w:hAnsi="黑体" w:eastAsia="黑体" w:cs="黑体"/>
                <w:b w:val="0"/>
                <w:bCs w:val="0"/>
                <w:color w:val="000000"/>
                <w:sz w:val="24"/>
                <w:szCs w:val="24"/>
              </w:rPr>
              <w:t>服务时间</w:t>
            </w:r>
          </w:p>
        </w:tc>
      </w:tr>
      <w:tr w14:paraId="5DDCAB40">
        <w:tblPrEx>
          <w:tblCellMar>
            <w:top w:w="0" w:type="dxa"/>
            <w:left w:w="108" w:type="dxa"/>
            <w:bottom w:w="0" w:type="dxa"/>
            <w:right w:w="108" w:type="dxa"/>
          </w:tblCellMar>
        </w:tblPrEx>
        <w:trPr>
          <w:trHeight w:val="993" w:hRule="atLeast"/>
          <w:jc w:val="center"/>
        </w:trPr>
        <w:tc>
          <w:tcPr>
            <w:tcW w:w="1768" w:type="dxa"/>
            <w:vMerge w:val="restart"/>
            <w:tcBorders>
              <w:top w:val="single" w:color="auto" w:sz="4" w:space="0"/>
              <w:left w:val="single" w:color="auto" w:sz="4" w:space="0"/>
              <w:bottom w:val="single" w:color="auto" w:sz="4" w:space="0"/>
              <w:right w:val="single" w:color="auto" w:sz="4" w:space="0"/>
            </w:tcBorders>
            <w:noWrap w:val="0"/>
            <w:vAlign w:val="center"/>
          </w:tcPr>
          <w:p w14:paraId="53EF17D9">
            <w:pPr>
              <w:keepNext w:val="0"/>
              <w:keepLines w:val="0"/>
              <w:pageBreakBefore w:val="0"/>
              <w:widowControl w:val="0"/>
              <w:kinsoku/>
              <w:wordWrap/>
              <w:overflowPunct/>
              <w:topLinePunct w:val="0"/>
              <w:autoSpaceDE/>
              <w:autoSpaceDN/>
              <w:bidi w:val="0"/>
              <w:adjustRightInd/>
              <w:snapToGrid/>
              <w:spacing w:before="240" w:line="24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水安系统运维服务项目</w:t>
            </w:r>
          </w:p>
        </w:tc>
        <w:tc>
          <w:tcPr>
            <w:tcW w:w="2297" w:type="dxa"/>
            <w:tcBorders>
              <w:top w:val="single" w:color="auto" w:sz="4" w:space="0"/>
              <w:left w:val="single" w:color="auto" w:sz="4" w:space="0"/>
              <w:bottom w:val="single" w:color="auto" w:sz="4" w:space="0"/>
              <w:right w:val="single" w:color="auto" w:sz="4" w:space="0"/>
            </w:tcBorders>
            <w:noWrap w:val="0"/>
            <w:vAlign w:val="center"/>
          </w:tcPr>
          <w:p w14:paraId="0E983CB9">
            <w:pPr>
              <w:keepNext w:val="0"/>
              <w:keepLines w:val="0"/>
              <w:pageBreakBefore w:val="0"/>
              <w:widowControl w:val="0"/>
              <w:kinsoku/>
              <w:wordWrap/>
              <w:overflowPunct/>
              <w:topLinePunct w:val="0"/>
              <w:autoSpaceDE/>
              <w:autoSpaceDN/>
              <w:bidi w:val="0"/>
              <w:adjustRightInd/>
              <w:snapToGrid/>
              <w:spacing w:before="240"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前端点位维护服务</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3AA884A6">
            <w:pPr>
              <w:keepNext w:val="0"/>
              <w:keepLines w:val="0"/>
              <w:pageBreakBefore w:val="0"/>
              <w:widowControl w:val="0"/>
              <w:kinsoku/>
              <w:wordWrap/>
              <w:overflowPunct/>
              <w:topLinePunct w:val="0"/>
              <w:autoSpaceDE/>
              <w:autoSpaceDN/>
              <w:bidi w:val="0"/>
              <w:adjustRightInd/>
              <w:snapToGrid/>
              <w:spacing w:before="240"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水安系统543个点位运维监理</w:t>
            </w:r>
          </w:p>
        </w:tc>
        <w:tc>
          <w:tcPr>
            <w:tcW w:w="2503" w:type="dxa"/>
            <w:vMerge w:val="restart"/>
            <w:tcBorders>
              <w:top w:val="single" w:color="auto" w:sz="4" w:space="0"/>
              <w:left w:val="single" w:color="auto" w:sz="4" w:space="0"/>
              <w:right w:val="single" w:color="auto" w:sz="4" w:space="0"/>
            </w:tcBorders>
            <w:noWrap w:val="0"/>
            <w:vAlign w:val="center"/>
          </w:tcPr>
          <w:p w14:paraId="1C6B0351">
            <w:pPr>
              <w:keepNext w:val="0"/>
              <w:keepLines w:val="0"/>
              <w:pageBreakBefore w:val="0"/>
              <w:widowControl w:val="0"/>
              <w:kinsoku/>
              <w:wordWrap/>
              <w:overflowPunct/>
              <w:topLinePunct w:val="0"/>
              <w:autoSpaceDE/>
              <w:autoSpaceDN/>
              <w:bidi w:val="0"/>
              <w:adjustRightInd/>
              <w:snapToGrid/>
              <w:spacing w:before="240" w:line="240" w:lineRule="exact"/>
              <w:jc w:val="center"/>
              <w:textAlignment w:val="auto"/>
              <w:rPr>
                <w:rFonts w:hint="eastAsia" w:ascii="仿宋_GB2312" w:hAnsi="仿宋_GB2312" w:eastAsia="仿宋_GB2312" w:cs="仿宋_GB2312"/>
                <w:sz w:val="24"/>
                <w:szCs w:val="24"/>
              </w:rPr>
            </w:pPr>
            <w:bookmarkStart w:id="0" w:name="OLE_LINK1"/>
            <w:r>
              <w:rPr>
                <w:rFonts w:hint="eastAsia" w:ascii="仿宋_GB2312" w:hAnsi="仿宋_GB2312" w:eastAsia="仿宋_GB2312" w:cs="仿宋_GB2312"/>
                <w:sz w:val="24"/>
                <w:szCs w:val="24"/>
                <w:lang w:val="en-US" w:eastAsia="zh-CN"/>
              </w:rPr>
              <w:t>2026年7月5日</w:t>
            </w:r>
            <w:bookmarkEnd w:id="0"/>
            <w:r>
              <w:rPr>
                <w:rFonts w:hint="eastAsia" w:ascii="仿宋_GB2312" w:hAnsi="仿宋_GB2312" w:eastAsia="仿宋_GB2312" w:cs="仿宋_GB2312"/>
                <w:sz w:val="24"/>
                <w:szCs w:val="24"/>
                <w:lang w:val="en-US" w:eastAsia="zh-CN"/>
              </w:rPr>
              <w:t>至2026年12月31日</w:t>
            </w:r>
          </w:p>
        </w:tc>
      </w:tr>
      <w:tr w14:paraId="5D6F9EA1">
        <w:tblPrEx>
          <w:tblCellMar>
            <w:top w:w="0" w:type="dxa"/>
            <w:left w:w="108" w:type="dxa"/>
            <w:bottom w:w="0" w:type="dxa"/>
            <w:right w:w="108" w:type="dxa"/>
          </w:tblCellMar>
        </w:tblPrEx>
        <w:trPr>
          <w:trHeight w:val="867" w:hRule="atLeast"/>
          <w:jc w:val="center"/>
        </w:trPr>
        <w:tc>
          <w:tcPr>
            <w:tcW w:w="1768" w:type="dxa"/>
            <w:vMerge w:val="continue"/>
            <w:tcBorders>
              <w:top w:val="single" w:color="auto" w:sz="4" w:space="0"/>
              <w:left w:val="single" w:color="auto" w:sz="4" w:space="0"/>
              <w:bottom w:val="single" w:color="auto" w:sz="4" w:space="0"/>
              <w:right w:val="single" w:color="auto" w:sz="4" w:space="0"/>
            </w:tcBorders>
            <w:noWrap w:val="0"/>
            <w:vAlign w:val="center"/>
          </w:tcPr>
          <w:p w14:paraId="1F1F8118">
            <w:pPr>
              <w:keepNext w:val="0"/>
              <w:keepLines w:val="0"/>
              <w:pageBreakBefore w:val="0"/>
              <w:widowControl w:val="0"/>
              <w:kinsoku/>
              <w:wordWrap/>
              <w:overflowPunct/>
              <w:topLinePunct w:val="0"/>
              <w:autoSpaceDE/>
              <w:autoSpaceDN/>
              <w:bidi w:val="0"/>
              <w:adjustRightInd/>
              <w:snapToGrid/>
              <w:spacing w:before="240" w:line="240" w:lineRule="exact"/>
              <w:jc w:val="center"/>
              <w:textAlignment w:val="auto"/>
              <w:rPr>
                <w:rFonts w:hint="eastAsia" w:ascii="仿宋_GB2312" w:hAnsi="仿宋_GB2312" w:eastAsia="仿宋_GB2312" w:cs="仿宋_GB2312"/>
                <w:b w:val="0"/>
                <w:bCs w:val="0"/>
                <w:sz w:val="24"/>
                <w:szCs w:val="24"/>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14:paraId="62CFA0BB">
            <w:pPr>
              <w:keepNext w:val="0"/>
              <w:keepLines w:val="0"/>
              <w:pageBreakBefore w:val="0"/>
              <w:widowControl w:val="0"/>
              <w:kinsoku/>
              <w:wordWrap/>
              <w:overflowPunct/>
              <w:topLinePunct w:val="0"/>
              <w:autoSpaceDE/>
              <w:autoSpaceDN/>
              <w:bidi w:val="0"/>
              <w:adjustRightInd/>
              <w:snapToGrid/>
              <w:spacing w:before="240"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中心端平台软硬件运维服务</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672BCB30">
            <w:pPr>
              <w:keepNext w:val="0"/>
              <w:keepLines w:val="0"/>
              <w:pageBreakBefore w:val="0"/>
              <w:widowControl w:val="0"/>
              <w:kinsoku/>
              <w:wordWrap/>
              <w:overflowPunct/>
              <w:topLinePunct w:val="0"/>
              <w:autoSpaceDE/>
              <w:autoSpaceDN/>
              <w:bidi w:val="0"/>
              <w:adjustRightInd/>
              <w:snapToGrid/>
              <w:spacing w:before="240"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中心端系统软硬件运维服务监理</w:t>
            </w:r>
          </w:p>
        </w:tc>
        <w:tc>
          <w:tcPr>
            <w:tcW w:w="2503" w:type="dxa"/>
            <w:vMerge w:val="continue"/>
            <w:tcBorders>
              <w:left w:val="single" w:color="auto" w:sz="4" w:space="0"/>
              <w:bottom w:val="single" w:color="auto" w:sz="4" w:space="0"/>
              <w:right w:val="single" w:color="auto" w:sz="4" w:space="0"/>
            </w:tcBorders>
            <w:noWrap w:val="0"/>
            <w:vAlign w:val="center"/>
          </w:tcPr>
          <w:p w14:paraId="41EBA3F9">
            <w:pPr>
              <w:keepNext w:val="0"/>
              <w:keepLines w:val="0"/>
              <w:pageBreakBefore w:val="0"/>
              <w:widowControl w:val="0"/>
              <w:kinsoku/>
              <w:wordWrap/>
              <w:overflowPunct/>
              <w:topLinePunct w:val="0"/>
              <w:autoSpaceDE/>
              <w:autoSpaceDN/>
              <w:bidi w:val="0"/>
              <w:adjustRightInd/>
              <w:snapToGrid/>
              <w:spacing w:before="240" w:line="240" w:lineRule="exact"/>
              <w:jc w:val="center"/>
              <w:textAlignment w:val="auto"/>
              <w:rPr>
                <w:rFonts w:hint="eastAsia" w:ascii="仿宋_GB2312" w:hAnsi="仿宋_GB2312" w:eastAsia="仿宋_GB2312" w:cs="仿宋_GB2312"/>
                <w:sz w:val="24"/>
                <w:szCs w:val="24"/>
              </w:rPr>
            </w:pPr>
          </w:p>
        </w:tc>
      </w:tr>
    </w:tbl>
    <w:p w14:paraId="56FA1A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w:t>
      </w:r>
      <w:r>
        <w:rPr>
          <w:rFonts w:hint="eastAsia" w:ascii="黑体" w:hAnsi="黑体" w:eastAsia="黑体" w:cs="黑体"/>
          <w:b w:val="0"/>
          <w:bCs w:val="0"/>
          <w:sz w:val="32"/>
          <w:szCs w:val="32"/>
          <w:lang w:eastAsia="zh-CN"/>
        </w:rPr>
        <w:t>监理</w:t>
      </w:r>
      <w:r>
        <w:rPr>
          <w:rFonts w:hint="eastAsia" w:ascii="黑体" w:hAnsi="黑体" w:eastAsia="黑体" w:cs="黑体"/>
          <w:b w:val="0"/>
          <w:bCs w:val="0"/>
          <w:sz w:val="32"/>
          <w:szCs w:val="32"/>
        </w:rPr>
        <w:t>服务内容及要求</w:t>
      </w:r>
    </w:p>
    <w:p w14:paraId="2B266E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按</w:t>
      </w:r>
      <w:r>
        <w:rPr>
          <w:rFonts w:hint="eastAsia" w:ascii="仿宋_GB2312" w:hAnsi="仿宋_GB2312" w:eastAsia="仿宋_GB2312" w:cs="仿宋_GB2312"/>
          <w:sz w:val="32"/>
          <w:szCs w:val="32"/>
          <w:highlight w:val="none"/>
        </w:rPr>
        <w:t>照</w:t>
      </w:r>
      <w:r>
        <w:rPr>
          <w:rFonts w:hint="eastAsia" w:ascii="仿宋_GB2312" w:hAnsi="仿宋_GB2312" w:eastAsia="仿宋_GB2312" w:cs="仿宋_GB2312"/>
          <w:sz w:val="32"/>
          <w:szCs w:val="32"/>
          <w:highlight w:val="none"/>
          <w:lang w:eastAsia="zh-CN"/>
        </w:rPr>
        <w:t>国家标准、</w:t>
      </w:r>
      <w:r>
        <w:rPr>
          <w:rFonts w:hint="eastAsia" w:ascii="仿宋_GB2312" w:hAnsi="仿宋_GB2312" w:eastAsia="仿宋_GB2312" w:cs="仿宋_GB2312"/>
          <w:sz w:val="32"/>
          <w:szCs w:val="32"/>
          <w:highlight w:val="none"/>
        </w:rPr>
        <w:t>福建省</w:t>
      </w:r>
      <w:r>
        <w:rPr>
          <w:rFonts w:hint="eastAsia" w:ascii="仿宋_GB2312" w:hAnsi="仿宋_GB2312" w:eastAsia="仿宋_GB2312" w:cs="仿宋_GB2312"/>
          <w:sz w:val="32"/>
          <w:szCs w:val="32"/>
          <w:highlight w:val="none"/>
          <w:lang w:eastAsia="zh-CN"/>
        </w:rPr>
        <w:t>水安</w:t>
      </w:r>
      <w:r>
        <w:rPr>
          <w:rFonts w:hint="eastAsia" w:ascii="仿宋_GB2312" w:hAnsi="仿宋_GB2312" w:eastAsia="仿宋_GB2312" w:cs="仿宋_GB2312"/>
          <w:sz w:val="32"/>
          <w:szCs w:val="32"/>
          <w:highlight w:val="none"/>
        </w:rPr>
        <w:t>管理系统</w:t>
      </w:r>
      <w:r>
        <w:rPr>
          <w:rFonts w:hint="eastAsia" w:ascii="仿宋_GB2312" w:hAnsi="仿宋_GB2312" w:eastAsia="仿宋_GB2312" w:cs="仿宋_GB2312"/>
          <w:sz w:val="32"/>
          <w:szCs w:val="32"/>
          <w:highlight w:val="none"/>
          <w:lang w:val="en-US" w:eastAsia="zh-CN"/>
        </w:rPr>
        <w:t>招投标文件和</w:t>
      </w:r>
      <w:r>
        <w:rPr>
          <w:rFonts w:hint="eastAsia" w:ascii="仿宋_GB2312" w:hAnsi="仿宋_GB2312" w:eastAsia="仿宋_GB2312" w:cs="仿宋_GB2312"/>
          <w:sz w:val="32"/>
          <w:szCs w:val="32"/>
          <w:highlight w:val="none"/>
        </w:rPr>
        <w:t>服务合同等相关要求，对运维单位的合同履行情况及服务质量进行监理。</w:t>
      </w:r>
    </w:p>
    <w:p w14:paraId="3A6568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color w:val="auto"/>
          <w:sz w:val="32"/>
          <w:szCs w:val="32"/>
          <w:lang w:val="en-US" w:eastAsia="zh-CN"/>
        </w:rPr>
        <w:t>（一）</w:t>
      </w:r>
      <w:r>
        <w:rPr>
          <w:rFonts w:hint="eastAsia" w:ascii="楷体_GB2312" w:hAnsi="楷体_GB2312" w:eastAsia="楷体_GB2312" w:cs="楷体_GB2312"/>
          <w:b/>
          <w:bCs/>
          <w:sz w:val="32"/>
          <w:szCs w:val="32"/>
          <w:lang w:val="en-US" w:eastAsia="zh-CN"/>
        </w:rPr>
        <w:t>工作内容</w:t>
      </w:r>
    </w:p>
    <w:p w14:paraId="058926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投标人应梳理运维合同工作内容，规范省级水安管理系统运维工作，监督运维服务质量，监督范围包括但不限于巡查、维护、保养、检修、故障处理、应急处置等。</w:t>
      </w:r>
    </w:p>
    <w:p w14:paraId="44B336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1.审核运维工作方案，从制度、人员、工具等要素提出改进措施，</w:t>
      </w:r>
      <w:r>
        <w:rPr>
          <w:rFonts w:hint="eastAsia" w:ascii="仿宋_GB2312" w:hAnsi="仿宋_GB2312" w:eastAsia="仿宋_GB2312" w:cs="仿宋_GB2312"/>
          <w:color w:val="auto"/>
          <w:sz w:val="32"/>
          <w:szCs w:val="32"/>
          <w:highlight w:val="none"/>
          <w:lang w:val="en-US" w:eastAsia="zh-CN"/>
        </w:rPr>
        <w:t>制定</w:t>
      </w:r>
      <w:r>
        <w:rPr>
          <w:rFonts w:hint="eastAsia" w:ascii="仿宋_GB2312" w:hAnsi="仿宋_GB2312" w:eastAsia="仿宋_GB2312" w:cs="仿宋_GB2312"/>
          <w:color w:val="auto"/>
          <w:sz w:val="32"/>
          <w:szCs w:val="32"/>
          <w:highlight w:val="none"/>
          <w:u w:val="none"/>
          <w:lang w:val="en-US" w:eastAsia="zh-CN"/>
        </w:rPr>
        <w:t>完善</w:t>
      </w:r>
      <w:r>
        <w:rPr>
          <w:rFonts w:hint="eastAsia" w:ascii="仿宋_GB2312" w:hAnsi="仿宋_GB2312" w:eastAsia="仿宋_GB2312" w:cs="仿宋_GB2312"/>
          <w:color w:val="auto"/>
          <w:sz w:val="32"/>
          <w:szCs w:val="32"/>
          <w:highlight w:val="none"/>
          <w:lang w:val="en-US" w:eastAsia="zh-CN"/>
        </w:rPr>
        <w:t>监督检查标准，明确响应要求，优化运维服务体系，提升运维服务管理水平。</w:t>
      </w:r>
      <w:r>
        <w:rPr>
          <w:rFonts w:hint="eastAsia" w:ascii="仿宋_GB2312" w:hAnsi="仿宋_GB2312" w:eastAsia="仿宋_GB2312" w:cs="仿宋_GB2312"/>
          <w:sz w:val="32"/>
          <w:szCs w:val="32"/>
          <w:lang w:val="en-US" w:eastAsia="zh-CN"/>
        </w:rPr>
        <w:t>组织协调水安管理系统的运维单位开展日常运维服务工作，每季度对运维单位进行考核评分并交给业主确认。</w:t>
      </w:r>
    </w:p>
    <w:p w14:paraId="3B1A9E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2.配合业主组织召开项目季度、半年度、年度验收会，整理会议记录，落实会议决议。</w:t>
      </w:r>
    </w:p>
    <w:p w14:paraId="1788AE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3.对水安管理系统的运维单位在运维期间出现的问题的整改情况进行监督和复查；提供重大故障处置现场监管服务，记录处置过程，核实处置结果，保障故障处置效果。</w:t>
      </w:r>
    </w:p>
    <w:p w14:paraId="0DEE6C87">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4.半年须完成水安系统543个点位的50%点位现场抽检（各</w:t>
      </w:r>
      <w:r>
        <w:rPr>
          <w:rFonts w:hint="eastAsia" w:ascii="仿宋_GB2312" w:hAnsi="仿宋_GB2312" w:eastAsia="仿宋_GB2312" w:cs="仿宋_GB2312"/>
          <w:sz w:val="32"/>
          <w:szCs w:val="32"/>
          <w:highlight w:val="none"/>
          <w:lang w:val="en-US" w:eastAsia="zh-CN"/>
        </w:rPr>
        <w:t>地市与站点抽查数量每季度均摊，每季度完成不低于25%，并与上半年监理抽查点位合并实现全覆盖检查），包含该点位所有摄像头及所属设备设施，复核项目资产清单，按水安前端运维合同要求，对点位运维质量进行评判考核，并形成报告提交业主。</w:t>
      </w:r>
      <w:r>
        <w:rPr>
          <w:rFonts w:hint="eastAsia" w:ascii="仿宋_GB2312" w:hAnsi="仿宋_GB2312" w:eastAsia="仿宋_GB2312" w:cs="仿宋_GB2312"/>
          <w:b/>
          <w:bCs/>
          <w:sz w:val="32"/>
          <w:szCs w:val="32"/>
          <w:highlight w:val="none"/>
          <w:lang w:val="en-US" w:eastAsia="zh-CN"/>
        </w:rPr>
        <w:t>投标供应商应提供书面承诺函。</w:t>
      </w:r>
    </w:p>
    <w:p w14:paraId="02398D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派遣不少于10名监理团队人员按业主要求对省级运维站点进行现场抽查，年度抽查站点数量为水安管理系统的50%点位。现场抽查须按业主要求拍照留痕和前端运维监管采集模块截图佐证。经业主通知或重大故障，于24小时内赶赴现场进行相应站点监督检查。</w:t>
      </w:r>
      <w:r>
        <w:rPr>
          <w:rFonts w:hint="eastAsia" w:ascii="仿宋_GB2312" w:hAnsi="仿宋_GB2312" w:eastAsia="仿宋_GB2312" w:cs="仿宋_GB2312"/>
          <w:b/>
          <w:bCs/>
          <w:sz w:val="32"/>
          <w:szCs w:val="32"/>
          <w:highlight w:val="none"/>
          <w:lang w:val="en-US" w:eastAsia="zh-CN"/>
        </w:rPr>
        <w:t>投标供应商应提供书面承诺函。</w:t>
      </w:r>
    </w:p>
    <w:p w14:paraId="664D36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6.配合业主开展季度、半年度、年度运维服务质量考核和验收工作，</w:t>
      </w:r>
      <w:r>
        <w:rPr>
          <w:rFonts w:hint="eastAsia" w:ascii="仿宋_GB2312" w:hAnsi="仿宋_GB2312" w:eastAsia="仿宋_GB2312" w:cs="仿宋_GB2312"/>
          <w:sz w:val="32"/>
          <w:szCs w:val="32"/>
          <w:highlight w:val="none"/>
          <w:lang w:val="en-US" w:eastAsia="zh-CN"/>
        </w:rPr>
        <w:t>审核水安管理系统的运维单位提交的运维报告及其他相关文件，规范文档格式。</w:t>
      </w:r>
      <w:r>
        <w:rPr>
          <w:rFonts w:hint="eastAsia" w:ascii="仿宋_GB2312" w:hAnsi="仿宋_GB2312" w:eastAsia="仿宋_GB2312" w:cs="仿宋_GB2312"/>
          <w:sz w:val="32"/>
          <w:szCs w:val="32"/>
          <w:lang w:val="en-US" w:eastAsia="zh-CN"/>
        </w:rPr>
        <w:t>审核运维服务费用结算，提交季度运维服务质量报告、年度绩效评估报告等。</w:t>
      </w:r>
    </w:p>
    <w:p w14:paraId="3C5C99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7.年度监理工作到期后，应将所有的监理材料汇总，分时分类</w:t>
      </w:r>
      <w:r>
        <w:rPr>
          <w:rFonts w:hint="eastAsia" w:ascii="仿宋_GB2312" w:hAnsi="仿宋_GB2312" w:eastAsia="仿宋_GB2312" w:cs="仿宋_GB2312"/>
          <w:sz w:val="32"/>
          <w:szCs w:val="32"/>
          <w:highlight w:val="none"/>
        </w:rPr>
        <w:t>规范化</w:t>
      </w:r>
      <w:r>
        <w:rPr>
          <w:rFonts w:hint="eastAsia" w:ascii="仿宋_GB2312" w:hAnsi="仿宋_GB2312" w:eastAsia="仿宋_GB2312" w:cs="仿宋_GB2312"/>
          <w:sz w:val="32"/>
          <w:szCs w:val="32"/>
          <w:highlight w:val="none"/>
          <w:lang w:eastAsia="zh-CN"/>
        </w:rPr>
        <w:t>整理，核查资产清单，并</w:t>
      </w:r>
      <w:r>
        <w:rPr>
          <w:rFonts w:hint="eastAsia" w:ascii="仿宋_GB2312" w:hAnsi="仿宋_GB2312" w:eastAsia="仿宋_GB2312" w:cs="仿宋_GB2312"/>
          <w:sz w:val="32"/>
          <w:szCs w:val="32"/>
          <w:highlight w:val="none"/>
          <w:lang w:val="en-US" w:eastAsia="zh-CN"/>
        </w:rPr>
        <w:t>提交监理工作总结。</w:t>
      </w:r>
      <w:r>
        <w:rPr>
          <w:rFonts w:hint="eastAsia" w:ascii="仿宋_GB2312" w:hAnsi="仿宋_GB2312" w:eastAsia="仿宋_GB2312" w:cs="仿宋_GB2312"/>
          <w:b/>
          <w:bCs/>
          <w:sz w:val="32"/>
          <w:szCs w:val="32"/>
          <w:lang w:val="en-US" w:eastAsia="zh-CN"/>
        </w:rPr>
        <w:t>投标供应商应提供书面承诺函。</w:t>
      </w:r>
    </w:p>
    <w:p w14:paraId="3BC9E6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8.提供技术</w:t>
      </w:r>
      <w:r>
        <w:rPr>
          <w:rFonts w:hint="eastAsia" w:ascii="仿宋_GB2312" w:hAnsi="仿宋_GB2312" w:eastAsia="仿宋_GB2312" w:cs="仿宋_GB2312"/>
          <w:sz w:val="32"/>
          <w:szCs w:val="32"/>
          <w:lang w:val="en-US" w:eastAsia="zh-CN"/>
        </w:rPr>
        <w:t>支持，包括但不限于技术咨询、技术培训等，</w:t>
      </w:r>
      <w:r>
        <w:rPr>
          <w:rFonts w:hint="eastAsia" w:ascii="仿宋_GB2312" w:hAnsi="仿宋_GB2312" w:eastAsia="仿宋_GB2312" w:cs="仿宋_GB2312"/>
          <w:sz w:val="32"/>
          <w:szCs w:val="32"/>
        </w:rPr>
        <w:t>以提高</w:t>
      </w:r>
      <w:r>
        <w:rPr>
          <w:rFonts w:hint="eastAsia" w:ascii="仿宋_GB2312" w:hAnsi="仿宋_GB2312" w:eastAsia="仿宋_GB2312" w:cs="仿宋_GB2312"/>
          <w:sz w:val="32"/>
          <w:szCs w:val="32"/>
          <w:lang w:eastAsia="zh-CN"/>
        </w:rPr>
        <w:t>运维</w:t>
      </w:r>
      <w:r>
        <w:rPr>
          <w:rFonts w:hint="eastAsia" w:ascii="仿宋_GB2312" w:hAnsi="仿宋_GB2312" w:eastAsia="仿宋_GB2312" w:cs="仿宋_GB2312"/>
          <w:sz w:val="32"/>
          <w:szCs w:val="32"/>
        </w:rPr>
        <w:t>管理效率及运维人员的技术水平和工作能力。</w:t>
      </w:r>
    </w:p>
    <w:p w14:paraId="13F79F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9.跟踪前端故障情况，对故障站点开单并限时督促完成整改，做好全过程留痕。</w:t>
      </w:r>
    </w:p>
    <w:p w14:paraId="2A7D7E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10.跟踪系统优化进度及完成情况，开单并限时督促完成整改，做好全过程留痕。</w:t>
      </w:r>
    </w:p>
    <w:p w14:paraId="05D0EB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11.汇总两个系统每个站点的档案信息，包括系统资产清单、配件使用情况详单。</w:t>
      </w:r>
    </w:p>
    <w:p w14:paraId="21269D8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（二）工作要求</w:t>
      </w:r>
    </w:p>
    <w:p w14:paraId="71DFEA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1.具体工作要求</w:t>
      </w:r>
    </w:p>
    <w:p w14:paraId="3CDFD2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监理服务遵照“守法、诚信、公正、科学”的准则执业，维护采购方与服务商的合法权益。</w:t>
      </w:r>
    </w:p>
    <w:p w14:paraId="7EE03C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监理过程应</w:t>
      </w:r>
      <w:r>
        <w:rPr>
          <w:rFonts w:hint="eastAsia" w:ascii="仿宋_GB2312" w:hAnsi="仿宋_GB2312" w:eastAsia="仿宋_GB2312" w:cs="仿宋_GB2312"/>
          <w:sz w:val="32"/>
          <w:szCs w:val="32"/>
        </w:rPr>
        <w:t>遵守安全操作规程、使用符合安全标准的设备和工具等</w:t>
      </w:r>
      <w:r>
        <w:rPr>
          <w:rFonts w:hint="eastAsia" w:ascii="仿宋_GB2312" w:hAnsi="仿宋_GB2312" w:eastAsia="仿宋_GB2312" w:cs="仿宋_GB2312"/>
          <w:sz w:val="32"/>
          <w:szCs w:val="32"/>
          <w:lang w:eastAsia="zh-CN"/>
        </w:rPr>
        <w:t>。</w:t>
      </w:r>
    </w:p>
    <w:p w14:paraId="7C0D85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（3）对中心端进行现场服务维护监理，包括人员出勤情况监控、人员变更情况记录、重点时期保障工作、项目档案管理(故障配件更换、到报率等记录)。</w:t>
      </w:r>
    </w:p>
    <w:p w14:paraId="685100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（4）对中心端软件平台运维及数据维护监理，包括检查水安管理系统各功能模块日常巡检维护情况，确保系统稳定运行。</w:t>
      </w:r>
    </w:p>
    <w:p w14:paraId="05CFF2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（5）对中心端软件平台优化，确保现有平台软件升级至最新版本并可按业主要求进行页面定制优化，对优化流程提供建议并落实优化升级的成果检验。</w:t>
      </w:r>
    </w:p>
    <w:p w14:paraId="007E49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（6）对中心端系统软硬件维护做好书面记录，跟踪维护单位实时进展情况及维护保障效果。</w:t>
      </w:r>
    </w:p>
    <w:p w14:paraId="7F49C3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（7）对前端进行监理服务，包括人员与车辆变更情况记录、重点时期保障情况工作、项目档案管理(日常运维、设备更换等记录)，跟踪故障处理流程并记录故障发生与解决情况。</w:t>
      </w:r>
    </w:p>
    <w:p w14:paraId="08CFEB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（8）固定资产复核：复核固定资产台账，清查前端所有点位、传输网络软硬件设备及其他物资资产。</w:t>
      </w:r>
    </w:p>
    <w:p w14:paraId="24D8F2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（9）整改质量核查：对改建、拆装、移机进行全过程跟踪，并形成书面记录材料。</w:t>
      </w:r>
    </w:p>
    <w:p w14:paraId="708018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（10）日常监理巡检：派遣不少于10名监理团队人员按业主要求对</w:t>
      </w:r>
      <w:r>
        <w:rPr>
          <w:rFonts w:hint="eastAsia" w:ascii="仿宋_GB2312" w:hAnsi="仿宋_GB2312" w:eastAsia="仿宋_GB2312" w:cs="仿宋_GB2312"/>
          <w:color w:val="auto"/>
          <w:sz w:val="32"/>
          <w:szCs w:val="32"/>
          <w:lang w:val="en-US" w:eastAsia="zh-CN"/>
        </w:rPr>
        <w:t>省级水安运维站点进行现场</w:t>
      </w:r>
      <w:r>
        <w:rPr>
          <w:rFonts w:hint="eastAsia" w:ascii="仿宋_GB2312" w:hAnsi="仿宋_GB2312" w:eastAsia="仿宋_GB2312" w:cs="仿宋_GB2312"/>
          <w:strike w:val="0"/>
          <w:dstrike w:val="0"/>
          <w:color w:val="auto"/>
          <w:sz w:val="32"/>
          <w:szCs w:val="32"/>
          <w:lang w:val="en-US" w:eastAsia="zh-CN"/>
        </w:rPr>
        <w:t>巡</w:t>
      </w:r>
      <w:r>
        <w:rPr>
          <w:rFonts w:hint="eastAsia" w:ascii="仿宋_GB2312" w:hAnsi="仿宋_GB2312" w:eastAsia="仿宋_GB2312" w:cs="仿宋_GB2312"/>
          <w:color w:val="auto"/>
          <w:sz w:val="32"/>
          <w:szCs w:val="32"/>
          <w:lang w:val="en-US" w:eastAsia="zh-CN"/>
        </w:rPr>
        <w:t>查，年</w:t>
      </w:r>
      <w:r>
        <w:rPr>
          <w:rFonts w:hint="eastAsia" w:ascii="仿宋_GB2312" w:hAnsi="仿宋_GB2312" w:eastAsia="仿宋_GB2312" w:cs="仿宋_GB2312"/>
          <w:sz w:val="32"/>
          <w:szCs w:val="32"/>
          <w:lang w:val="en-US" w:eastAsia="zh-CN"/>
        </w:rPr>
        <w:t>度抽查覆盖</w:t>
      </w:r>
      <w:r>
        <w:rPr>
          <w:rFonts w:hint="eastAsia" w:ascii="仿宋_GB2312" w:hAnsi="仿宋_GB2312" w:eastAsia="仿宋_GB2312" w:cs="仿宋_GB2312"/>
          <w:sz w:val="32"/>
          <w:szCs w:val="32"/>
          <w:highlight w:val="none"/>
          <w:lang w:val="en-US" w:eastAsia="zh-CN"/>
        </w:rPr>
        <w:t>水安管理系统的50%站点。</w:t>
      </w:r>
      <w:r>
        <w:rPr>
          <w:rFonts w:hint="eastAsia" w:ascii="仿宋_GB2312" w:hAnsi="仿宋_GB2312" w:eastAsia="仿宋_GB2312" w:cs="仿宋_GB2312"/>
          <w:sz w:val="32"/>
          <w:szCs w:val="32"/>
          <w:lang w:val="en-US" w:eastAsia="zh-CN"/>
        </w:rPr>
        <w:t>现场抽查须通过业主提供的APP软件拍照留痕。</w:t>
      </w:r>
    </w:p>
    <w:p w14:paraId="3F0041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11）配合业主开展季度、半年度、年度运维服务质量考核和验收工作，审核水安管理系统的运维单位提交的运维报告及其他相关文件，规范文档格式。审核运维服务费用结算，提交季度运维服务质量报告及年度绩效评估报告等。</w:t>
      </w:r>
    </w:p>
    <w:p w14:paraId="6629BDA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2.监理团队人员要求：</w:t>
      </w:r>
    </w:p>
    <w:p w14:paraId="047ECD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投标人应成立包含总监理工程师、总监理工程师代表、专业监理工程师、安全员、监理员在内</w:t>
      </w:r>
      <w:r>
        <w:rPr>
          <w:rFonts w:hint="eastAsia" w:ascii="仿宋_GB2312" w:hAnsi="仿宋_GB2312" w:eastAsia="仿宋_GB2312" w:cs="仿宋_GB2312"/>
          <w:b/>
          <w:bCs/>
          <w:sz w:val="32"/>
          <w:szCs w:val="32"/>
          <w:highlight w:val="none"/>
          <w:shd w:val="clear" w:color="auto" w:fill="auto"/>
          <w:lang w:val="en-US" w:eastAsia="zh-CN"/>
        </w:rPr>
        <w:t>不少于10人</w:t>
      </w:r>
      <w:r>
        <w:rPr>
          <w:rFonts w:hint="eastAsia" w:ascii="仿宋_GB2312" w:hAnsi="仿宋_GB2312" w:eastAsia="仿宋_GB2312" w:cs="仿宋_GB2312"/>
          <w:sz w:val="32"/>
          <w:szCs w:val="32"/>
          <w:highlight w:val="none"/>
          <w:shd w:val="clear" w:color="auto" w:fill="auto"/>
          <w:lang w:val="en-US" w:eastAsia="zh-CN"/>
        </w:rPr>
        <w:t>的服务团队，按照《建设工程监理规范》（GB50319-2013）开展监理工作。</w:t>
      </w:r>
    </w:p>
    <w:p w14:paraId="422398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highlight w:val="yellow"/>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投标人须具备</w:t>
      </w:r>
      <w:r>
        <w:rPr>
          <w:rFonts w:hint="eastAsia" w:ascii="仿宋_GB2312" w:hAnsi="仿宋_GB2312" w:eastAsia="仿宋_GB2312" w:cs="仿宋_GB2312"/>
          <w:b/>
          <w:bCs/>
          <w:color w:val="auto"/>
          <w:sz w:val="32"/>
          <w:szCs w:val="32"/>
          <w:highlight w:val="none"/>
          <w:u w:val="none"/>
          <w:shd w:val="clear" w:color="auto" w:fill="auto"/>
          <w:lang w:val="en-US" w:eastAsia="zh-CN"/>
        </w:rPr>
        <w:t>住房和城乡建设主管部门颁发的工程监理综合资质或通信工程监理乙级（或以上资质）。</w:t>
      </w:r>
    </w:p>
    <w:p w14:paraId="7B3BDA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u w:val="none"/>
          <w:shd w:val="clear" w:color="auto" w:fill="auto"/>
          <w:lang w:val="en-US" w:eastAsia="zh-CN"/>
        </w:rPr>
        <w:t>投标人应成立包含总监理工程师、</w:t>
      </w:r>
      <w:r>
        <w:rPr>
          <w:rFonts w:hint="eastAsia" w:ascii="仿宋_GB2312" w:hAnsi="仿宋_GB2312" w:eastAsia="仿宋_GB2312" w:cs="仿宋_GB2312"/>
          <w:sz w:val="32"/>
          <w:szCs w:val="32"/>
          <w:highlight w:val="none"/>
          <w:shd w:val="clear" w:color="auto" w:fill="auto"/>
          <w:lang w:val="en-US" w:eastAsia="zh-CN"/>
        </w:rPr>
        <w:t>总监理工程师代表、专业监理工程师、安全员、监</w:t>
      </w:r>
      <w:r>
        <w:rPr>
          <w:rFonts w:hint="eastAsia" w:ascii="仿宋_GB2312" w:hAnsi="仿宋_GB2312" w:eastAsia="仿宋_GB2312" w:cs="仿宋_GB2312"/>
          <w:sz w:val="32"/>
          <w:szCs w:val="32"/>
          <w:highlight w:val="none"/>
          <w:u w:val="none"/>
          <w:shd w:val="clear" w:color="auto" w:fill="auto"/>
          <w:lang w:val="en-US" w:eastAsia="zh-CN"/>
        </w:rPr>
        <w:t>理</w:t>
      </w:r>
      <w:r>
        <w:rPr>
          <w:rFonts w:hint="eastAsia" w:ascii="仿宋_GB2312" w:hAnsi="仿宋_GB2312" w:eastAsia="仿宋_GB2312" w:cs="仿宋_GB2312"/>
          <w:sz w:val="32"/>
          <w:szCs w:val="32"/>
          <w:highlight w:val="none"/>
          <w:shd w:val="clear" w:color="auto" w:fill="auto"/>
          <w:lang w:val="en-US" w:eastAsia="zh-CN"/>
        </w:rPr>
        <w:t>员在内</w:t>
      </w:r>
      <w:r>
        <w:rPr>
          <w:rFonts w:hint="eastAsia" w:ascii="仿宋_GB2312" w:hAnsi="仿宋_GB2312" w:eastAsia="仿宋_GB2312" w:cs="仿宋_GB2312"/>
          <w:b/>
          <w:bCs/>
          <w:sz w:val="32"/>
          <w:szCs w:val="32"/>
          <w:highlight w:val="none"/>
          <w:shd w:val="clear" w:color="auto" w:fill="auto"/>
          <w:lang w:val="en-US" w:eastAsia="zh-CN"/>
        </w:rPr>
        <w:t>不少于10人的服务团队</w:t>
      </w:r>
      <w:r>
        <w:rPr>
          <w:rFonts w:hint="eastAsia" w:ascii="仿宋_GB2312" w:hAnsi="仿宋_GB2312" w:eastAsia="仿宋_GB2312" w:cs="仿宋_GB2312"/>
          <w:sz w:val="32"/>
          <w:szCs w:val="32"/>
          <w:highlight w:val="none"/>
          <w:shd w:val="clear" w:color="auto" w:fill="auto"/>
          <w:lang w:val="en-US" w:eastAsia="zh-CN"/>
        </w:rPr>
        <w:t>：</w:t>
      </w:r>
    </w:p>
    <w:p w14:paraId="179133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highlight w:val="none"/>
          <w:lang w:val="en-US" w:eastAsia="zh-CN"/>
        </w:rPr>
        <w:t>总监理工程师 1人: 持有</w:t>
      </w:r>
      <w:r>
        <w:rPr>
          <w:rFonts w:hint="eastAsia" w:ascii="仿宋_GB2312" w:hAnsi="仿宋_GB2312" w:eastAsia="仿宋_GB2312" w:cs="仿宋_GB2312"/>
          <w:b/>
          <w:bCs/>
          <w:sz w:val="32"/>
          <w:szCs w:val="32"/>
          <w:highlight w:val="none"/>
          <w:lang w:val="en-US" w:eastAsia="zh-CN"/>
        </w:rPr>
        <w:t>住建部颁发的注册监理工程师（专业：通信工程）及计算机技术与软件专业技术资格证书（信息系统项目管理师）证书，同时具备工业和信息化部考核合格的安全生产B证。</w:t>
      </w:r>
    </w:p>
    <w:p w14:paraId="0C0D60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highlight w:val="none"/>
          <w:lang w:val="en-US" w:eastAsia="zh-CN"/>
        </w:rPr>
        <w:t xml:space="preserve">总监理工程师代表 1人: </w:t>
      </w:r>
      <w:r>
        <w:rPr>
          <w:rFonts w:hint="eastAsia" w:ascii="仿宋_GB2312" w:hAnsi="仿宋_GB2312" w:eastAsia="仿宋_GB2312" w:cs="仿宋_GB2312"/>
          <w:b/>
          <w:bCs/>
          <w:sz w:val="32"/>
          <w:szCs w:val="32"/>
          <w:highlight w:val="none"/>
          <w:lang w:val="en-US" w:eastAsia="zh-CN"/>
        </w:rPr>
        <w:t>通信工程或信息类工程中级以上职称。持有住建部注册监理工程师（专业：通信工程）及计算机技术与软件专业技术资格证书（信息系统监理师）证书。</w:t>
      </w:r>
    </w:p>
    <w:p w14:paraId="459845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highlight w:val="none"/>
          <w:lang w:val="en-US" w:eastAsia="zh-CN"/>
        </w:rPr>
        <w:t xml:space="preserve">专业监理工程师 2人: </w:t>
      </w:r>
      <w:r>
        <w:rPr>
          <w:rFonts w:hint="eastAsia" w:ascii="仿宋_GB2312" w:hAnsi="仿宋_GB2312" w:eastAsia="仿宋_GB2312" w:cs="仿宋_GB2312"/>
          <w:b/>
          <w:bCs/>
          <w:sz w:val="32"/>
          <w:szCs w:val="32"/>
          <w:highlight w:val="none"/>
          <w:lang w:val="en-US" w:eastAsia="zh-CN"/>
        </w:rPr>
        <w:t>持有住建部注册监理工程师（专业：通信工程），同时具备计算机技术与软件专业技术资格证书（信息系统监理师）证书或IT服务工程师（ITSS）证书。</w:t>
      </w:r>
    </w:p>
    <w:p w14:paraId="0D22BF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highlight w:val="none"/>
          <w:lang w:val="en-US" w:eastAsia="zh-CN"/>
        </w:rPr>
        <w:t xml:space="preserve">监理员 5人: </w:t>
      </w:r>
      <w:r>
        <w:rPr>
          <w:rFonts w:hint="eastAsia" w:ascii="仿宋_GB2312" w:hAnsi="仿宋_GB2312" w:eastAsia="仿宋_GB2312" w:cs="仿宋_GB2312"/>
          <w:b/>
          <w:bCs/>
          <w:sz w:val="32"/>
          <w:szCs w:val="32"/>
          <w:highlight w:val="none"/>
          <w:lang w:val="en-US" w:eastAsia="zh-CN"/>
        </w:rPr>
        <w:t>持有计算机技术与软件专业技术资格证书（信息系统监理师）证书或工信部门颁发的信息系统运维管理工程师（高级）证书。</w:t>
      </w:r>
    </w:p>
    <w:p w14:paraId="490B95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highlight w:val="none"/>
          <w:lang w:val="en-US" w:eastAsia="zh-CN"/>
        </w:rPr>
        <w:t>安全员1人：</w:t>
      </w:r>
      <w:r>
        <w:rPr>
          <w:rFonts w:hint="eastAsia" w:ascii="仿宋_GB2312" w:hAnsi="仿宋_GB2312" w:eastAsia="仿宋_GB2312" w:cs="仿宋_GB2312"/>
          <w:b/>
          <w:bCs/>
          <w:sz w:val="32"/>
          <w:szCs w:val="32"/>
          <w:highlight w:val="none"/>
          <w:lang w:val="en-US" w:eastAsia="zh-CN"/>
        </w:rPr>
        <w:t>具备工业和信息化部考核合格的安全生产C证。</w:t>
      </w:r>
    </w:p>
    <w:p w14:paraId="32C037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注：①投标人需提供符合以上要求的公司资质和人员证书复印件以及投标人为符合以上要求的人员缴纳的在报价文件提交截止时间前六个月中任意一个月的社保记录（不含报价文件提交截止时间的当月）</w:t>
      </w:r>
      <w:r>
        <w:rPr>
          <w:rFonts w:hint="eastAsia" w:ascii="仿宋_GB2312" w:hAnsi="仿宋_GB2312" w:eastAsia="仿宋_GB2312" w:cs="仿宋_GB2312"/>
          <w:b/>
          <w:bCs/>
          <w:sz w:val="32"/>
          <w:szCs w:val="32"/>
          <w:lang w:val="en-US" w:eastAsia="zh-CN"/>
        </w:rPr>
        <w:t>复印件并加盖公章或提供符合以上要求的承诺函（承诺函格式自拟）并加盖公章</w:t>
      </w:r>
      <w:r>
        <w:rPr>
          <w:rFonts w:hint="eastAsia" w:ascii="仿宋_GB2312" w:hAnsi="仿宋_GB2312" w:eastAsia="仿宋_GB2312" w:cs="仿宋_GB2312"/>
          <w:b w:val="0"/>
          <w:bCs w:val="0"/>
          <w:sz w:val="32"/>
          <w:szCs w:val="32"/>
          <w:lang w:val="en-US" w:eastAsia="zh-CN"/>
        </w:rPr>
        <w:t>，否则视为无效响应。②投标人在成交后</w:t>
      </w:r>
      <w:r>
        <w:rPr>
          <w:rFonts w:hint="eastAsia" w:ascii="仿宋_GB2312" w:hAnsi="仿宋_GB2312" w:eastAsia="仿宋_GB2312" w:cs="仿宋_GB2312"/>
          <w:b/>
          <w:bCs/>
          <w:sz w:val="32"/>
          <w:szCs w:val="32"/>
          <w:lang w:val="en-US" w:eastAsia="zh-CN"/>
        </w:rPr>
        <w:t>3个工作日内</w:t>
      </w:r>
      <w:r>
        <w:rPr>
          <w:rFonts w:hint="eastAsia" w:ascii="仿宋_GB2312" w:hAnsi="仿宋_GB2312" w:eastAsia="仿宋_GB2312" w:cs="仿宋_GB2312"/>
          <w:b w:val="0"/>
          <w:bCs w:val="0"/>
          <w:sz w:val="32"/>
          <w:szCs w:val="32"/>
          <w:lang w:val="en-US" w:eastAsia="zh-CN"/>
        </w:rPr>
        <w:t>需提供符合以上要求的</w:t>
      </w:r>
      <w:r>
        <w:rPr>
          <w:rFonts w:hint="eastAsia" w:ascii="仿宋_GB2312" w:hAnsi="仿宋_GB2312" w:eastAsia="仿宋_GB2312" w:cs="仿宋_GB2312"/>
          <w:b/>
          <w:bCs/>
          <w:sz w:val="32"/>
          <w:szCs w:val="32"/>
          <w:lang w:val="en-US" w:eastAsia="zh-CN"/>
        </w:rPr>
        <w:t>人员证书原件确认核查</w:t>
      </w:r>
      <w:r>
        <w:rPr>
          <w:rFonts w:hint="eastAsia" w:ascii="仿宋_GB2312" w:hAnsi="仿宋_GB2312" w:eastAsia="仿宋_GB2312" w:cs="仿宋_GB2312"/>
          <w:b w:val="0"/>
          <w:bCs w:val="0"/>
          <w:sz w:val="32"/>
          <w:szCs w:val="32"/>
          <w:lang w:val="en-US" w:eastAsia="zh-CN"/>
        </w:rPr>
        <w:t>，否则采购人有权不予以签订合同。</w:t>
      </w:r>
    </w:p>
    <w:p w14:paraId="3AF54A0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3.设备、设施要求：</w:t>
      </w:r>
    </w:p>
    <w:p w14:paraId="34E85F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投标人在监理工作过程应遵守安全操作规程，配备满足项目工作需要的相关设备、设施，使用符合安全标准的设备和工具等。</w:t>
      </w:r>
    </w:p>
    <w:p w14:paraId="58FFC8E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4.服务响应保障要求:</w:t>
      </w:r>
    </w:p>
    <w:p w14:paraId="067FF0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投标人具备满足全省机动调配响应能力，保障可同时安排5组人员赶赴不同现场，接到业主通知后，24小时内到达指定点位，进行监督检查。</w:t>
      </w:r>
    </w:p>
    <w:p w14:paraId="3B865E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全年须完成水安系统543个点位的50%点位现场抽检（各地市与站点抽查数量每季度均摊，每季度完成不低于25%，并与上半年监理抽查点位合并实现全覆盖检查）,</w:t>
      </w:r>
      <w:bookmarkStart w:id="1" w:name="OLE_LINK2"/>
      <w:r>
        <w:rPr>
          <w:rFonts w:hint="eastAsia" w:ascii="仿宋_GB2312" w:hAnsi="仿宋_GB2312" w:eastAsia="仿宋_GB2312" w:cs="仿宋_GB2312"/>
          <w:b/>
          <w:bCs/>
          <w:sz w:val="32"/>
          <w:szCs w:val="32"/>
          <w:highlight w:val="none"/>
          <w:lang w:val="en-US" w:eastAsia="zh-CN"/>
        </w:rPr>
        <w:t>每少一个点位扣款300元</w:t>
      </w:r>
      <w:r>
        <w:rPr>
          <w:rFonts w:hint="eastAsia" w:ascii="仿宋_GB2312" w:hAnsi="仿宋_GB2312" w:eastAsia="仿宋_GB2312" w:cs="仿宋_GB2312"/>
          <w:sz w:val="32"/>
          <w:szCs w:val="32"/>
          <w:highlight w:val="none"/>
          <w:lang w:val="en-US" w:eastAsia="zh-CN"/>
        </w:rPr>
        <w:t>。</w:t>
      </w:r>
      <w:bookmarkEnd w:id="1"/>
    </w:p>
    <w:p w14:paraId="2048EB8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5.保密要求：</w:t>
      </w:r>
    </w:p>
    <w:p w14:paraId="496D51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标人及其工作人员(无论今后是否离职)保证所对所获取的各类项目资料进行保密，签订保密协议，未经采购人允许不得将所获取的、以及监理服务期间所产生的项目信息资料对外泄露。中标人有义务对所聘用的工作人员进行保密教育，并承担其相关行为责任。</w:t>
      </w:r>
    </w:p>
    <w:p w14:paraId="532D37B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（三）付款方式</w:t>
      </w:r>
    </w:p>
    <w:p w14:paraId="4F7F7A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1.合同签订生效后，</w:t>
      </w:r>
      <w:bookmarkStart w:id="2" w:name="OLE_LINK8"/>
      <w:r>
        <w:rPr>
          <w:rFonts w:hint="eastAsia" w:ascii="仿宋_GB2312" w:hAnsi="仿宋_GB2312" w:eastAsia="仿宋_GB2312" w:cs="仿宋_GB2312"/>
          <w:sz w:val="32"/>
          <w:szCs w:val="32"/>
          <w:lang w:val="en-US" w:eastAsia="zh-CN"/>
        </w:rPr>
        <w:t>采购人</w:t>
      </w:r>
      <w:bookmarkEnd w:id="2"/>
      <w:r>
        <w:rPr>
          <w:rFonts w:hint="eastAsia" w:ascii="仿宋_GB2312" w:hAnsi="仿宋_GB2312" w:eastAsia="仿宋_GB2312" w:cs="仿宋_GB2312"/>
          <w:sz w:val="32"/>
          <w:szCs w:val="32"/>
          <w:lang w:val="en-US" w:eastAsia="zh-CN"/>
        </w:rPr>
        <w:t>向中标人支付30%的合同款。</w:t>
      </w:r>
    </w:p>
    <w:p w14:paraId="19E819E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3.合同服务期履行完成，监理服务通过</w:t>
      </w:r>
      <w:bookmarkStart w:id="3" w:name="OLE_LINK5"/>
      <w:r>
        <w:rPr>
          <w:rFonts w:hint="eastAsia" w:ascii="仿宋_GB2312" w:hAnsi="仿宋_GB2312" w:eastAsia="仿宋_GB2312" w:cs="仿宋_GB2312"/>
          <w:sz w:val="32"/>
          <w:szCs w:val="32"/>
          <w:lang w:val="en-US" w:eastAsia="zh-CN"/>
        </w:rPr>
        <w:t>采购人组织的服务评价（详见附件）</w:t>
      </w:r>
      <w:bookmarkEnd w:id="3"/>
      <w:r>
        <w:rPr>
          <w:rFonts w:hint="eastAsia" w:ascii="仿宋_GB2312" w:hAnsi="仿宋_GB2312" w:eastAsia="仿宋_GB2312" w:cs="仿宋_GB2312"/>
          <w:sz w:val="32"/>
          <w:szCs w:val="32"/>
          <w:lang w:val="en-US" w:eastAsia="zh-CN"/>
        </w:rPr>
        <w:t>后，</w:t>
      </w:r>
      <w:bookmarkStart w:id="4" w:name="OLE_LINK6"/>
      <w:r>
        <w:rPr>
          <w:rFonts w:hint="eastAsia" w:ascii="仿宋_GB2312" w:hAnsi="仿宋_GB2312" w:eastAsia="仿宋_GB2312" w:cs="仿宋_GB2312"/>
          <w:sz w:val="32"/>
          <w:szCs w:val="32"/>
          <w:lang w:val="en-US" w:eastAsia="zh-CN"/>
        </w:rPr>
        <w:t>采购人按服务评价得分结果向中标人支付</w:t>
      </w:r>
      <w:bookmarkEnd w:id="4"/>
      <w:r>
        <w:rPr>
          <w:rFonts w:hint="eastAsia" w:ascii="仿宋_GB2312" w:hAnsi="仿宋_GB2312" w:eastAsia="仿宋_GB2312" w:cs="仿宋_GB2312"/>
          <w:sz w:val="32"/>
          <w:szCs w:val="32"/>
          <w:lang w:val="en-US" w:eastAsia="zh-CN"/>
        </w:rPr>
        <w:t>70%的合同款。</w:t>
      </w:r>
    </w:p>
    <w:p w14:paraId="11D36C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三、报价与最高限价</w:t>
      </w:r>
    </w:p>
    <w:p w14:paraId="1CE596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本项目最高限价为</w:t>
      </w:r>
      <w:r>
        <w:rPr>
          <w:rFonts w:hint="eastAsia" w:ascii="仿宋_GB2312" w:hAnsi="仿宋_GB2312" w:eastAsia="仿宋_GB2312" w:cs="仿宋_GB2312"/>
          <w:sz w:val="32"/>
          <w:szCs w:val="32"/>
          <w:highlight w:val="none"/>
          <w:lang w:val="en-US" w:eastAsia="zh-CN"/>
        </w:rPr>
        <w:t>9.01</w:t>
      </w:r>
      <w:r>
        <w:rPr>
          <w:rFonts w:hint="eastAsia" w:ascii="仿宋_GB2312" w:hAnsi="仿宋_GB2312" w:eastAsia="仿宋_GB2312" w:cs="仿宋_GB2312"/>
          <w:sz w:val="32"/>
          <w:szCs w:val="32"/>
          <w:lang w:val="en-US" w:eastAsia="zh-CN"/>
        </w:rPr>
        <w:t>万元。投标人所报总价应包含本监理项目所涉及的所有费用（包含现场抽查、差旅费、工具采购费、资料费、验收费、税费等）。</w:t>
      </w:r>
    </w:p>
    <w:p w14:paraId="4B201C14">
      <w:pPr>
        <w:rPr>
          <w:rFonts w:hint="eastAsia" w:ascii="仿宋_GB2312" w:hAnsi="仿宋_GB2312" w:eastAsia="仿宋_GB2312" w:cs="仿宋_GB2312"/>
          <w:sz w:val="32"/>
          <w:szCs w:val="32"/>
          <w:lang w:val="en-US" w:eastAsia="zh-CN"/>
        </w:rPr>
      </w:pPr>
    </w:p>
    <w:p w14:paraId="37E920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val="0"/>
          <w:sz w:val="32"/>
          <w:szCs w:val="32"/>
          <w:highlight w:val="none"/>
          <w:lang w:val="en-US" w:eastAsia="zh-CN"/>
        </w:rPr>
      </w:pPr>
    </w:p>
    <w:p w14:paraId="1D0466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附件</w:t>
      </w:r>
    </w:p>
    <w:p w14:paraId="034596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监理服务评价</w:t>
      </w:r>
    </w:p>
    <w:p w14:paraId="4C6D0A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i w:val="0"/>
          <w:iCs w:val="0"/>
          <w:caps w:val="0"/>
          <w:spacing w:val="0"/>
          <w:sz w:val="32"/>
          <w:szCs w:val="32"/>
          <w:highlight w:val="none"/>
          <w:shd w:val="clear" w:color="auto" w:fill="FFFFFF"/>
        </w:rPr>
      </w:pPr>
      <w:r>
        <w:rPr>
          <w:rFonts w:hint="eastAsia" w:ascii="仿宋_GB2312" w:hAnsi="仿宋_GB2312" w:eastAsia="仿宋_GB2312" w:cs="仿宋_GB2312"/>
          <w:sz w:val="32"/>
          <w:szCs w:val="32"/>
          <w:highlight w:val="none"/>
          <w:lang w:val="en-US" w:eastAsia="zh-CN"/>
        </w:rPr>
        <w:t>考核办法满分为100分，由采购人结合工作实际，给予工作服务考核。该分数将作为合同款支付的依据。考核分数90-100分，支付100%合同款；考核分数80-89分，支付85%合同款；考核分数低于70-79分，支付70%合同款；考核分数低于70分的视为验收不合格，中标人赔付采购人30%合同款的违约金。</w:t>
      </w:r>
    </w:p>
    <w:p w14:paraId="0D77C1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黑体" w:hAnsi="黑体" w:eastAsia="黑体" w:cs="黑体"/>
          <w:sz w:val="32"/>
          <w:szCs w:val="32"/>
          <w:highlight w:val="none"/>
        </w:rPr>
      </w:pPr>
      <w:r>
        <w:rPr>
          <w:rFonts w:hint="eastAsia" w:ascii="黑体" w:hAnsi="黑体" w:eastAsia="黑体" w:cs="黑体"/>
          <w:i w:val="0"/>
          <w:iCs w:val="0"/>
          <w:caps w:val="0"/>
          <w:spacing w:val="0"/>
          <w:sz w:val="32"/>
          <w:szCs w:val="32"/>
          <w:highlight w:val="none"/>
          <w:shd w:val="clear" w:color="auto" w:fill="FFFFFF"/>
          <w:lang w:eastAsia="zh-CN"/>
        </w:rPr>
        <w:t>监理</w:t>
      </w:r>
      <w:r>
        <w:rPr>
          <w:rFonts w:hint="eastAsia" w:ascii="黑体" w:hAnsi="黑体" w:eastAsia="黑体" w:cs="黑体"/>
          <w:i w:val="0"/>
          <w:iCs w:val="0"/>
          <w:caps w:val="0"/>
          <w:spacing w:val="0"/>
          <w:sz w:val="32"/>
          <w:szCs w:val="32"/>
          <w:highlight w:val="none"/>
          <w:shd w:val="clear" w:color="auto" w:fill="FFFFFF"/>
        </w:rPr>
        <w:t>工作考核表</w:t>
      </w:r>
    </w:p>
    <w:tbl>
      <w:tblPr>
        <w:tblStyle w:val="6"/>
        <w:tblW w:w="9581"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0" w:type="dxa"/>
          <w:bottom w:w="0" w:type="dxa"/>
          <w:right w:w="0" w:type="dxa"/>
        </w:tblCellMar>
      </w:tblPr>
      <w:tblGrid>
        <w:gridCol w:w="703"/>
        <w:gridCol w:w="1198"/>
        <w:gridCol w:w="650"/>
        <w:gridCol w:w="2536"/>
        <w:gridCol w:w="3266"/>
        <w:gridCol w:w="683"/>
        <w:gridCol w:w="545"/>
      </w:tblGrid>
      <w:tr w14:paraId="09B928A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703"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65B15E7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19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39A35C8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指标名称</w:t>
            </w:r>
          </w:p>
        </w:tc>
        <w:tc>
          <w:tcPr>
            <w:tcW w:w="650"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736A1C7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tc>
        <w:tc>
          <w:tcPr>
            <w:tcW w:w="5802" w:type="dxa"/>
            <w:gridSpan w:val="2"/>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1C44F91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考核内容及标准</w:t>
            </w:r>
          </w:p>
        </w:tc>
        <w:tc>
          <w:tcPr>
            <w:tcW w:w="683"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06EA89F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评分</w:t>
            </w:r>
          </w:p>
        </w:tc>
        <w:tc>
          <w:tcPr>
            <w:tcW w:w="545"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1E1B27B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728FE2A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065" w:hRule="atLeast"/>
          <w:jc w:val="center"/>
        </w:trPr>
        <w:tc>
          <w:tcPr>
            <w:tcW w:w="703" w:type="dxa"/>
            <w:vMerge w:val="restar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322958D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98" w:type="dxa"/>
            <w:vMerge w:val="restar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06BC63A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人员考核</w:t>
            </w:r>
          </w:p>
        </w:tc>
        <w:tc>
          <w:tcPr>
            <w:tcW w:w="650" w:type="dxa"/>
            <w:vMerge w:val="restar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4476109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w:t>
            </w:r>
          </w:p>
        </w:tc>
        <w:tc>
          <w:tcPr>
            <w:tcW w:w="5802" w:type="dxa"/>
            <w:gridSpan w:val="2"/>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07EA732A">
            <w:pPr>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.服务</w:t>
            </w:r>
            <w:r>
              <w:rPr>
                <w:rFonts w:hint="eastAsia" w:ascii="宋体" w:hAnsi="宋体" w:eastAsia="宋体" w:cs="宋体"/>
                <w:sz w:val="24"/>
                <w:szCs w:val="24"/>
                <w:highlight w:val="none"/>
                <w:lang w:eastAsia="zh-CN"/>
              </w:rPr>
              <w:t>团队</w:t>
            </w:r>
            <w:r>
              <w:rPr>
                <w:rFonts w:hint="eastAsia" w:ascii="宋体" w:hAnsi="宋体" w:eastAsia="宋体" w:cs="宋体"/>
                <w:sz w:val="24"/>
                <w:szCs w:val="24"/>
                <w:highlight w:val="none"/>
              </w:rPr>
              <w:t>稳定性</w:t>
            </w:r>
            <w:r>
              <w:rPr>
                <w:rFonts w:hint="eastAsia" w:ascii="宋体" w:hAnsi="宋体" w:eastAsia="宋体" w:cs="宋体"/>
                <w:sz w:val="24"/>
                <w:szCs w:val="24"/>
                <w:highlight w:val="none"/>
                <w:lang w:val="en-US" w:eastAsia="zh-CN"/>
              </w:rPr>
              <w:t>保障不力</w:t>
            </w:r>
            <w:r>
              <w:rPr>
                <w:rFonts w:hint="eastAsia" w:ascii="宋体" w:hAnsi="宋体" w:eastAsia="宋体" w:cs="宋体"/>
                <w:sz w:val="24"/>
                <w:szCs w:val="24"/>
                <w:highlight w:val="none"/>
              </w:rPr>
              <w:t>，未提前5个工作日书面</w:t>
            </w:r>
            <w:r>
              <w:rPr>
                <w:rFonts w:hint="eastAsia" w:ascii="宋体" w:hAnsi="宋体" w:eastAsia="宋体" w:cs="宋体"/>
                <w:sz w:val="24"/>
                <w:szCs w:val="24"/>
                <w:highlight w:val="none"/>
                <w:lang w:eastAsia="zh-CN"/>
              </w:rPr>
              <w:t>申请</w:t>
            </w:r>
            <w:r>
              <w:rPr>
                <w:rFonts w:hint="eastAsia" w:ascii="宋体" w:hAnsi="宋体" w:eastAsia="宋体" w:cs="宋体"/>
                <w:sz w:val="24"/>
                <w:szCs w:val="24"/>
                <w:highlight w:val="none"/>
              </w:rPr>
              <w:t>业主人员变更情况的扣</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分；服务期内人员变动大于2</w:t>
            </w:r>
            <w:r>
              <w:rPr>
                <w:rFonts w:hint="eastAsia" w:ascii="宋体" w:hAnsi="宋体" w:eastAsia="宋体" w:cs="宋体"/>
                <w:sz w:val="24"/>
                <w:szCs w:val="24"/>
                <w:highlight w:val="none"/>
                <w:lang w:val="en-US" w:eastAsia="zh-CN"/>
              </w:rPr>
              <w:t>人次</w:t>
            </w:r>
            <w:r>
              <w:rPr>
                <w:rFonts w:hint="eastAsia" w:ascii="宋体" w:hAnsi="宋体" w:eastAsia="宋体" w:cs="宋体"/>
                <w:sz w:val="24"/>
                <w:szCs w:val="24"/>
                <w:highlight w:val="none"/>
              </w:rPr>
              <w:t>的扣</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分。（满分5分）</w:t>
            </w:r>
          </w:p>
        </w:tc>
        <w:tc>
          <w:tcPr>
            <w:tcW w:w="683" w:type="dxa"/>
            <w:tcBorders>
              <w:top w:val="single" w:color="000000" w:sz="6" w:space="0"/>
              <w:left w:val="single" w:color="000000" w:sz="6" w:space="0"/>
              <w:right w:val="single" w:color="000000" w:sz="6" w:space="0"/>
            </w:tcBorders>
            <w:noWrap w:val="0"/>
            <w:tcMar>
              <w:top w:w="15" w:type="dxa"/>
              <w:left w:w="15" w:type="dxa"/>
              <w:bottom w:w="15" w:type="dxa"/>
              <w:right w:w="15" w:type="dxa"/>
            </w:tcMar>
            <w:vAlign w:val="center"/>
          </w:tcPr>
          <w:p w14:paraId="4967CC95">
            <w:pPr>
              <w:jc w:val="center"/>
              <w:rPr>
                <w:rFonts w:hint="default" w:ascii="宋体" w:hAnsi="宋体" w:eastAsia="宋体" w:cs="宋体"/>
                <w:sz w:val="24"/>
                <w:szCs w:val="24"/>
                <w:highlight w:val="none"/>
                <w:lang w:val="en-US" w:eastAsia="zh-CN"/>
              </w:rPr>
            </w:pPr>
          </w:p>
        </w:tc>
        <w:tc>
          <w:tcPr>
            <w:tcW w:w="545" w:type="dxa"/>
            <w:vMerge w:val="restart"/>
            <w:tcBorders>
              <w:top w:val="single" w:color="000000" w:sz="6" w:space="0"/>
              <w:left w:val="single" w:color="000000" w:sz="6" w:space="0"/>
              <w:right w:val="single" w:color="000000" w:sz="6" w:space="0"/>
            </w:tcBorders>
            <w:noWrap w:val="0"/>
            <w:tcMar>
              <w:top w:w="15" w:type="dxa"/>
              <w:left w:w="15" w:type="dxa"/>
              <w:bottom w:w="15" w:type="dxa"/>
              <w:right w:w="15" w:type="dxa"/>
            </w:tcMar>
            <w:vAlign w:val="center"/>
          </w:tcPr>
          <w:p w14:paraId="57F3327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default" w:ascii="宋体" w:hAnsi="宋体" w:eastAsia="宋体" w:cs="宋体"/>
                <w:sz w:val="24"/>
                <w:szCs w:val="24"/>
                <w:highlight w:val="none"/>
                <w:lang w:val="en-US" w:eastAsia="zh-CN"/>
              </w:rPr>
            </w:pPr>
          </w:p>
        </w:tc>
      </w:tr>
      <w:tr w14:paraId="4305EEC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17" w:hRule="atLeast"/>
          <w:jc w:val="center"/>
        </w:trPr>
        <w:tc>
          <w:tcPr>
            <w:tcW w:w="703"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5EDB087B">
            <w:pPr>
              <w:jc w:val="center"/>
              <w:rPr>
                <w:rFonts w:hint="eastAsia" w:ascii="宋体" w:hAnsi="宋体" w:eastAsia="宋体" w:cs="宋体"/>
                <w:sz w:val="24"/>
                <w:szCs w:val="24"/>
                <w:highlight w:val="none"/>
              </w:rPr>
            </w:pPr>
          </w:p>
        </w:tc>
        <w:tc>
          <w:tcPr>
            <w:tcW w:w="1198"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70DE223D">
            <w:pPr>
              <w:jc w:val="center"/>
              <w:rPr>
                <w:rFonts w:hint="eastAsia" w:ascii="宋体" w:hAnsi="宋体" w:eastAsia="宋体" w:cs="宋体"/>
                <w:sz w:val="24"/>
                <w:szCs w:val="24"/>
                <w:highlight w:val="none"/>
              </w:rPr>
            </w:pPr>
          </w:p>
        </w:tc>
        <w:tc>
          <w:tcPr>
            <w:tcW w:w="650"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5E4F9502">
            <w:pPr>
              <w:jc w:val="center"/>
              <w:rPr>
                <w:rFonts w:hint="eastAsia" w:ascii="宋体" w:hAnsi="宋体" w:eastAsia="宋体" w:cs="宋体"/>
                <w:sz w:val="24"/>
                <w:szCs w:val="24"/>
                <w:highlight w:val="none"/>
              </w:rPr>
            </w:pPr>
          </w:p>
        </w:tc>
        <w:tc>
          <w:tcPr>
            <w:tcW w:w="5802" w:type="dxa"/>
            <w:gridSpan w:val="2"/>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553E09F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val="en-US" w:eastAsia="zh-CN"/>
              </w:rPr>
              <w:t>运维服务过程中</w:t>
            </w:r>
            <w:r>
              <w:rPr>
                <w:rFonts w:hint="eastAsia" w:ascii="宋体" w:hAnsi="宋体" w:eastAsia="宋体" w:cs="宋体"/>
                <w:sz w:val="24"/>
                <w:szCs w:val="24"/>
                <w:highlight w:val="none"/>
                <w:lang w:eastAsia="zh-CN"/>
              </w:rPr>
              <w:t>相关监理</w:t>
            </w:r>
            <w:r>
              <w:rPr>
                <w:rFonts w:hint="eastAsia" w:ascii="宋体" w:hAnsi="宋体" w:eastAsia="宋体" w:cs="宋体"/>
                <w:sz w:val="24"/>
                <w:szCs w:val="24"/>
                <w:highlight w:val="none"/>
              </w:rPr>
              <w:t>人员</w:t>
            </w:r>
            <w:r>
              <w:rPr>
                <w:rFonts w:hint="eastAsia" w:ascii="宋体" w:hAnsi="宋体" w:eastAsia="宋体" w:cs="宋体"/>
                <w:sz w:val="24"/>
                <w:szCs w:val="24"/>
                <w:highlight w:val="none"/>
                <w:lang w:eastAsia="zh-CN"/>
              </w:rPr>
              <w:t>到位</w:t>
            </w:r>
            <w:r>
              <w:rPr>
                <w:rFonts w:hint="eastAsia" w:ascii="宋体" w:hAnsi="宋体" w:eastAsia="宋体" w:cs="宋体"/>
                <w:sz w:val="24"/>
                <w:szCs w:val="24"/>
                <w:highlight w:val="none"/>
              </w:rPr>
              <w:t>情况，缺席一</w:t>
            </w:r>
            <w:r>
              <w:rPr>
                <w:rFonts w:hint="eastAsia" w:ascii="宋体" w:hAnsi="宋体" w:eastAsia="宋体" w:cs="宋体"/>
                <w:sz w:val="24"/>
                <w:szCs w:val="24"/>
                <w:highlight w:val="none"/>
                <w:lang w:eastAsia="zh-CN"/>
              </w:rPr>
              <w:t>人天</w:t>
            </w:r>
            <w:r>
              <w:rPr>
                <w:rFonts w:hint="eastAsia" w:ascii="宋体" w:hAnsi="宋体" w:eastAsia="宋体" w:cs="宋体"/>
                <w:sz w:val="24"/>
                <w:szCs w:val="24"/>
                <w:highlight w:val="none"/>
              </w:rPr>
              <w:t>扣2分，扣完为止。（满分10分）</w:t>
            </w:r>
          </w:p>
        </w:tc>
        <w:tc>
          <w:tcPr>
            <w:tcW w:w="683"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24D8B736">
            <w:pPr>
              <w:jc w:val="center"/>
              <w:rPr>
                <w:rFonts w:hint="default" w:ascii="宋体" w:hAnsi="宋体" w:eastAsia="宋体" w:cs="宋体"/>
                <w:sz w:val="24"/>
                <w:szCs w:val="24"/>
                <w:highlight w:val="none"/>
                <w:lang w:val="en-US" w:eastAsia="zh-CN"/>
              </w:rPr>
            </w:pPr>
          </w:p>
        </w:tc>
        <w:tc>
          <w:tcPr>
            <w:tcW w:w="545"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3A704B68">
            <w:pPr>
              <w:jc w:val="center"/>
              <w:rPr>
                <w:rFonts w:hint="eastAsia" w:ascii="宋体" w:hAnsi="宋体" w:eastAsia="宋体" w:cs="宋体"/>
                <w:sz w:val="24"/>
                <w:szCs w:val="24"/>
                <w:highlight w:val="none"/>
              </w:rPr>
            </w:pPr>
          </w:p>
        </w:tc>
      </w:tr>
      <w:tr w14:paraId="1DCB9F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042" w:hRule="atLeast"/>
          <w:jc w:val="center"/>
        </w:trPr>
        <w:tc>
          <w:tcPr>
            <w:tcW w:w="703"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7DFE4084">
            <w:pPr>
              <w:jc w:val="center"/>
              <w:rPr>
                <w:rFonts w:hint="eastAsia" w:ascii="宋体" w:hAnsi="宋体" w:eastAsia="宋体" w:cs="宋体"/>
                <w:sz w:val="24"/>
                <w:szCs w:val="24"/>
                <w:highlight w:val="none"/>
              </w:rPr>
            </w:pPr>
          </w:p>
        </w:tc>
        <w:tc>
          <w:tcPr>
            <w:tcW w:w="1198"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081C645C">
            <w:pPr>
              <w:jc w:val="center"/>
              <w:rPr>
                <w:rFonts w:hint="eastAsia" w:ascii="宋体" w:hAnsi="宋体" w:eastAsia="宋体" w:cs="宋体"/>
                <w:sz w:val="24"/>
                <w:szCs w:val="24"/>
                <w:highlight w:val="none"/>
              </w:rPr>
            </w:pPr>
          </w:p>
        </w:tc>
        <w:tc>
          <w:tcPr>
            <w:tcW w:w="650"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68CDE70F">
            <w:pPr>
              <w:jc w:val="center"/>
              <w:rPr>
                <w:rFonts w:hint="eastAsia" w:ascii="宋体" w:hAnsi="宋体" w:eastAsia="宋体" w:cs="宋体"/>
                <w:sz w:val="24"/>
                <w:szCs w:val="24"/>
                <w:highlight w:val="none"/>
              </w:rPr>
            </w:pPr>
          </w:p>
        </w:tc>
        <w:tc>
          <w:tcPr>
            <w:tcW w:w="5802" w:type="dxa"/>
            <w:gridSpan w:val="2"/>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7B8FF2C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甲方对服务人员工作情况和工作满意度打分，</w:t>
            </w:r>
            <w:r>
              <w:rPr>
                <w:rFonts w:hint="eastAsia" w:ascii="宋体" w:hAnsi="宋体" w:eastAsia="宋体" w:cs="宋体"/>
                <w:sz w:val="24"/>
                <w:szCs w:val="24"/>
                <w:highlight w:val="none"/>
                <w:lang w:eastAsia="zh-CN"/>
              </w:rPr>
              <w:t>采购人及厅相关处室、厅属单位</w:t>
            </w:r>
            <w:r>
              <w:rPr>
                <w:rFonts w:hint="eastAsia" w:ascii="宋体" w:hAnsi="宋体" w:eastAsia="宋体" w:cs="宋体"/>
                <w:sz w:val="24"/>
                <w:szCs w:val="24"/>
                <w:highlight w:val="none"/>
              </w:rPr>
              <w:t>每投诉1次扣1分，扣完为止。(满分10分）</w:t>
            </w:r>
          </w:p>
        </w:tc>
        <w:tc>
          <w:tcPr>
            <w:tcW w:w="683"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52DBF5D7">
            <w:pPr>
              <w:jc w:val="center"/>
              <w:rPr>
                <w:rFonts w:hint="eastAsia" w:ascii="宋体" w:hAnsi="宋体" w:eastAsia="宋体" w:cs="宋体"/>
                <w:sz w:val="24"/>
                <w:szCs w:val="24"/>
                <w:highlight w:val="none"/>
                <w:lang w:val="en-US" w:eastAsia="zh-CN"/>
              </w:rPr>
            </w:pPr>
          </w:p>
        </w:tc>
        <w:tc>
          <w:tcPr>
            <w:tcW w:w="545"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39DA9956">
            <w:pPr>
              <w:jc w:val="center"/>
              <w:rPr>
                <w:rFonts w:hint="eastAsia" w:ascii="宋体" w:hAnsi="宋体" w:eastAsia="宋体" w:cs="宋体"/>
                <w:sz w:val="24"/>
                <w:szCs w:val="24"/>
                <w:highlight w:val="none"/>
              </w:rPr>
            </w:pPr>
          </w:p>
        </w:tc>
      </w:tr>
      <w:tr w14:paraId="7D1F329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492" w:hRule="atLeast"/>
          <w:jc w:val="center"/>
        </w:trPr>
        <w:tc>
          <w:tcPr>
            <w:tcW w:w="703" w:type="dxa"/>
            <w:vMerge w:val="restart"/>
            <w:tcBorders>
              <w:top w:val="single" w:color="000000" w:sz="6" w:space="0"/>
              <w:left w:val="single" w:color="000000" w:sz="6" w:space="0"/>
              <w:right w:val="single" w:color="000000" w:sz="6" w:space="0"/>
            </w:tcBorders>
            <w:noWrap w:val="0"/>
            <w:tcMar>
              <w:top w:w="15" w:type="dxa"/>
              <w:left w:w="15" w:type="dxa"/>
              <w:bottom w:w="15" w:type="dxa"/>
              <w:right w:w="15" w:type="dxa"/>
            </w:tcMar>
            <w:vAlign w:val="center"/>
          </w:tcPr>
          <w:p w14:paraId="2524FE5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198" w:type="dxa"/>
            <w:vMerge w:val="restart"/>
            <w:tcBorders>
              <w:top w:val="single" w:color="000000" w:sz="6" w:space="0"/>
              <w:left w:val="single" w:color="000000" w:sz="6" w:space="0"/>
              <w:right w:val="single" w:color="000000" w:sz="6" w:space="0"/>
            </w:tcBorders>
            <w:noWrap w:val="0"/>
            <w:tcMar>
              <w:top w:w="15" w:type="dxa"/>
              <w:left w:w="15" w:type="dxa"/>
              <w:bottom w:w="15" w:type="dxa"/>
              <w:right w:w="15" w:type="dxa"/>
            </w:tcMar>
            <w:vAlign w:val="center"/>
          </w:tcPr>
          <w:p w14:paraId="7F7BAD1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监理</w:t>
            </w:r>
            <w:r>
              <w:rPr>
                <w:rFonts w:hint="eastAsia" w:ascii="宋体" w:hAnsi="宋体" w:eastAsia="宋体" w:cs="宋体"/>
                <w:sz w:val="24"/>
                <w:szCs w:val="24"/>
                <w:highlight w:val="none"/>
              </w:rPr>
              <w:t>工作考核</w:t>
            </w:r>
          </w:p>
        </w:tc>
        <w:tc>
          <w:tcPr>
            <w:tcW w:w="650" w:type="dxa"/>
            <w:vMerge w:val="restart"/>
            <w:tcBorders>
              <w:top w:val="single" w:color="000000" w:sz="6" w:space="0"/>
              <w:left w:val="single" w:color="000000" w:sz="6" w:space="0"/>
              <w:right w:val="single" w:color="000000" w:sz="6" w:space="0"/>
            </w:tcBorders>
            <w:noWrap w:val="0"/>
            <w:tcMar>
              <w:top w:w="15" w:type="dxa"/>
              <w:left w:w="15" w:type="dxa"/>
              <w:bottom w:w="15" w:type="dxa"/>
              <w:right w:w="15" w:type="dxa"/>
            </w:tcMar>
            <w:vAlign w:val="center"/>
          </w:tcPr>
          <w:p w14:paraId="68469BF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5</w:t>
            </w:r>
          </w:p>
        </w:tc>
        <w:tc>
          <w:tcPr>
            <w:tcW w:w="5802" w:type="dxa"/>
            <w:gridSpan w:val="2"/>
            <w:tcBorders>
              <w:top w:val="single" w:color="000000" w:sz="6" w:space="0"/>
              <w:left w:val="single" w:color="000000" w:sz="6" w:space="0"/>
              <w:right w:val="single" w:color="000000" w:sz="6" w:space="0"/>
            </w:tcBorders>
            <w:noWrap w:val="0"/>
            <w:tcMar>
              <w:top w:w="15" w:type="dxa"/>
              <w:left w:w="15" w:type="dxa"/>
              <w:bottom w:w="15" w:type="dxa"/>
              <w:right w:w="15" w:type="dxa"/>
            </w:tcMar>
            <w:vAlign w:val="center"/>
          </w:tcPr>
          <w:p w14:paraId="6845BB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4.项目资产</w:t>
            </w:r>
            <w:r>
              <w:rPr>
                <w:rFonts w:hint="eastAsia" w:ascii="宋体" w:hAnsi="宋体" w:eastAsia="宋体" w:cs="宋体"/>
                <w:sz w:val="24"/>
                <w:szCs w:val="24"/>
                <w:highlight w:val="none"/>
                <w:lang w:eastAsia="zh-CN"/>
              </w:rPr>
              <w:t>监理</w:t>
            </w:r>
            <w:r>
              <w:rPr>
                <w:rFonts w:hint="eastAsia" w:ascii="宋体" w:hAnsi="宋体" w:eastAsia="宋体" w:cs="宋体"/>
                <w:sz w:val="24"/>
                <w:szCs w:val="24"/>
                <w:highlight w:val="none"/>
              </w:rPr>
              <w:t>情况评价。(满分10分）</w:t>
            </w:r>
          </w:p>
        </w:tc>
        <w:tc>
          <w:tcPr>
            <w:tcW w:w="683"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6BC8CFE2">
            <w:pPr>
              <w:jc w:val="center"/>
              <w:rPr>
                <w:rFonts w:hint="default" w:ascii="宋体" w:hAnsi="宋体" w:eastAsia="宋体" w:cs="宋体"/>
                <w:sz w:val="24"/>
                <w:szCs w:val="24"/>
                <w:highlight w:val="none"/>
                <w:lang w:val="en-US" w:eastAsia="zh-CN"/>
              </w:rPr>
            </w:pPr>
          </w:p>
        </w:tc>
        <w:tc>
          <w:tcPr>
            <w:tcW w:w="545"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31F168BB">
            <w:pPr>
              <w:jc w:val="center"/>
              <w:rPr>
                <w:rFonts w:hint="eastAsia" w:ascii="宋体" w:hAnsi="宋体" w:eastAsia="宋体" w:cs="宋体"/>
                <w:sz w:val="24"/>
                <w:szCs w:val="24"/>
                <w:highlight w:val="none"/>
              </w:rPr>
            </w:pPr>
          </w:p>
        </w:tc>
      </w:tr>
      <w:tr w14:paraId="5A20260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3" w:hRule="atLeast"/>
          <w:jc w:val="center"/>
        </w:trPr>
        <w:tc>
          <w:tcPr>
            <w:tcW w:w="703"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1BE0DEAA">
            <w:pPr>
              <w:jc w:val="center"/>
              <w:rPr>
                <w:rFonts w:hint="eastAsia" w:ascii="宋体" w:hAnsi="宋体" w:eastAsia="宋体" w:cs="宋体"/>
                <w:sz w:val="24"/>
                <w:szCs w:val="24"/>
                <w:highlight w:val="none"/>
              </w:rPr>
            </w:pPr>
          </w:p>
        </w:tc>
        <w:tc>
          <w:tcPr>
            <w:tcW w:w="1198"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118E8197">
            <w:pPr>
              <w:jc w:val="center"/>
              <w:rPr>
                <w:rFonts w:hint="eastAsia" w:ascii="宋体" w:hAnsi="宋体" w:eastAsia="宋体" w:cs="宋体"/>
                <w:sz w:val="24"/>
                <w:szCs w:val="24"/>
                <w:highlight w:val="none"/>
              </w:rPr>
            </w:pPr>
          </w:p>
        </w:tc>
        <w:tc>
          <w:tcPr>
            <w:tcW w:w="650"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22DDC9D5">
            <w:pPr>
              <w:jc w:val="center"/>
              <w:rPr>
                <w:rFonts w:hint="eastAsia" w:ascii="宋体" w:hAnsi="宋体" w:eastAsia="宋体" w:cs="宋体"/>
                <w:sz w:val="24"/>
                <w:szCs w:val="24"/>
                <w:highlight w:val="none"/>
              </w:rPr>
            </w:pPr>
          </w:p>
        </w:tc>
        <w:tc>
          <w:tcPr>
            <w:tcW w:w="5802" w:type="dxa"/>
            <w:gridSpan w:val="2"/>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75B864F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5.运维期间出现问题的整改进行监督和复查</w:t>
            </w:r>
            <w:r>
              <w:rPr>
                <w:rFonts w:hint="eastAsia" w:ascii="宋体" w:hAnsi="宋体" w:eastAsia="宋体" w:cs="宋体"/>
                <w:sz w:val="24"/>
                <w:szCs w:val="24"/>
                <w:highlight w:val="none"/>
                <w:lang w:eastAsia="zh-CN"/>
              </w:rPr>
              <w:t>监理情况评价</w:t>
            </w:r>
            <w:r>
              <w:rPr>
                <w:rFonts w:hint="eastAsia" w:ascii="宋体" w:hAnsi="宋体" w:eastAsia="宋体" w:cs="宋体"/>
                <w:sz w:val="24"/>
                <w:szCs w:val="24"/>
                <w:highlight w:val="none"/>
              </w:rPr>
              <w:t>(满分</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c>
          <w:tcPr>
            <w:tcW w:w="683"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559EEF5A">
            <w:pPr>
              <w:jc w:val="center"/>
              <w:rPr>
                <w:rFonts w:hint="default" w:ascii="宋体" w:hAnsi="宋体" w:eastAsia="宋体" w:cs="宋体"/>
                <w:sz w:val="24"/>
                <w:szCs w:val="24"/>
                <w:highlight w:val="none"/>
                <w:lang w:val="en-US" w:eastAsia="zh-CN"/>
              </w:rPr>
            </w:pPr>
          </w:p>
        </w:tc>
        <w:tc>
          <w:tcPr>
            <w:tcW w:w="545"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6192FE29">
            <w:pPr>
              <w:jc w:val="center"/>
              <w:rPr>
                <w:rFonts w:hint="eastAsia" w:ascii="宋体" w:hAnsi="宋体" w:eastAsia="宋体" w:cs="宋体"/>
                <w:sz w:val="24"/>
                <w:szCs w:val="24"/>
                <w:highlight w:val="none"/>
              </w:rPr>
            </w:pPr>
          </w:p>
        </w:tc>
      </w:tr>
      <w:tr w14:paraId="27C10A0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703"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26D721CA">
            <w:pPr>
              <w:jc w:val="center"/>
              <w:rPr>
                <w:rFonts w:hint="eastAsia" w:ascii="宋体" w:hAnsi="宋体" w:eastAsia="宋体" w:cs="宋体"/>
                <w:sz w:val="24"/>
                <w:szCs w:val="24"/>
                <w:highlight w:val="none"/>
              </w:rPr>
            </w:pPr>
          </w:p>
        </w:tc>
        <w:tc>
          <w:tcPr>
            <w:tcW w:w="1198"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03179269">
            <w:pPr>
              <w:jc w:val="center"/>
              <w:rPr>
                <w:rFonts w:hint="eastAsia" w:ascii="宋体" w:hAnsi="宋体" w:eastAsia="宋体" w:cs="宋体"/>
                <w:sz w:val="24"/>
                <w:szCs w:val="24"/>
                <w:highlight w:val="none"/>
              </w:rPr>
            </w:pPr>
          </w:p>
        </w:tc>
        <w:tc>
          <w:tcPr>
            <w:tcW w:w="650"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2CF1C1BA">
            <w:pPr>
              <w:jc w:val="center"/>
              <w:rPr>
                <w:rFonts w:hint="eastAsia" w:ascii="宋体" w:hAnsi="宋体" w:eastAsia="宋体" w:cs="宋体"/>
                <w:sz w:val="24"/>
                <w:szCs w:val="24"/>
                <w:highlight w:val="none"/>
              </w:rPr>
            </w:pPr>
          </w:p>
        </w:tc>
        <w:tc>
          <w:tcPr>
            <w:tcW w:w="5802" w:type="dxa"/>
            <w:gridSpan w:val="2"/>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7189C9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6.前端点位全覆盖现场检查</w:t>
            </w:r>
            <w:r>
              <w:rPr>
                <w:rFonts w:hint="eastAsia" w:ascii="宋体" w:hAnsi="宋体" w:eastAsia="宋体" w:cs="宋体"/>
                <w:sz w:val="24"/>
                <w:szCs w:val="24"/>
                <w:highlight w:val="none"/>
              </w:rPr>
              <w:t>情况评价。(满分</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分）</w:t>
            </w:r>
          </w:p>
        </w:tc>
        <w:tc>
          <w:tcPr>
            <w:tcW w:w="683"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5E9E71E5">
            <w:pPr>
              <w:jc w:val="center"/>
              <w:rPr>
                <w:rFonts w:hint="default" w:ascii="宋体" w:hAnsi="宋体" w:eastAsia="宋体" w:cs="宋体"/>
                <w:sz w:val="24"/>
                <w:szCs w:val="24"/>
                <w:highlight w:val="none"/>
                <w:lang w:val="en-US" w:eastAsia="zh-CN"/>
              </w:rPr>
            </w:pPr>
          </w:p>
        </w:tc>
        <w:tc>
          <w:tcPr>
            <w:tcW w:w="545"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31375D9E">
            <w:pPr>
              <w:jc w:val="center"/>
              <w:rPr>
                <w:rFonts w:hint="eastAsia" w:ascii="宋体" w:hAnsi="宋体" w:eastAsia="宋体" w:cs="宋体"/>
                <w:sz w:val="24"/>
                <w:szCs w:val="24"/>
                <w:highlight w:val="none"/>
              </w:rPr>
            </w:pPr>
          </w:p>
        </w:tc>
      </w:tr>
      <w:tr w14:paraId="7311DD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703"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2D7B3658">
            <w:pPr>
              <w:jc w:val="center"/>
              <w:rPr>
                <w:rFonts w:hint="eastAsia" w:ascii="宋体" w:hAnsi="宋体" w:eastAsia="宋体" w:cs="宋体"/>
                <w:sz w:val="24"/>
                <w:szCs w:val="24"/>
                <w:highlight w:val="none"/>
              </w:rPr>
            </w:pPr>
          </w:p>
        </w:tc>
        <w:tc>
          <w:tcPr>
            <w:tcW w:w="1198"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145D388F">
            <w:pPr>
              <w:jc w:val="center"/>
              <w:rPr>
                <w:rFonts w:hint="eastAsia" w:ascii="宋体" w:hAnsi="宋体" w:eastAsia="宋体" w:cs="宋体"/>
                <w:sz w:val="24"/>
                <w:szCs w:val="24"/>
                <w:highlight w:val="none"/>
              </w:rPr>
            </w:pPr>
          </w:p>
        </w:tc>
        <w:tc>
          <w:tcPr>
            <w:tcW w:w="650"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2E28A191">
            <w:pPr>
              <w:jc w:val="center"/>
              <w:rPr>
                <w:rFonts w:hint="eastAsia" w:ascii="宋体" w:hAnsi="宋体" w:eastAsia="宋体" w:cs="宋体"/>
                <w:sz w:val="24"/>
                <w:szCs w:val="24"/>
                <w:highlight w:val="none"/>
              </w:rPr>
            </w:pPr>
          </w:p>
        </w:tc>
        <w:tc>
          <w:tcPr>
            <w:tcW w:w="5802" w:type="dxa"/>
            <w:gridSpan w:val="2"/>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34A88D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7.响应时间</w:t>
            </w:r>
            <w:r>
              <w:rPr>
                <w:rFonts w:hint="eastAsia" w:ascii="宋体" w:hAnsi="宋体" w:eastAsia="宋体" w:cs="宋体"/>
                <w:sz w:val="24"/>
                <w:szCs w:val="24"/>
                <w:highlight w:val="none"/>
                <w:lang w:eastAsia="zh-CN"/>
              </w:rPr>
              <w:t>监理</w:t>
            </w:r>
            <w:r>
              <w:rPr>
                <w:rFonts w:hint="eastAsia" w:ascii="宋体" w:hAnsi="宋体" w:eastAsia="宋体" w:cs="宋体"/>
                <w:sz w:val="24"/>
                <w:szCs w:val="24"/>
                <w:highlight w:val="none"/>
              </w:rPr>
              <w:t>情况评价。(满分</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c>
          <w:tcPr>
            <w:tcW w:w="683"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79475C9D">
            <w:pPr>
              <w:jc w:val="center"/>
              <w:rPr>
                <w:rFonts w:hint="default" w:ascii="宋体" w:hAnsi="宋体" w:eastAsia="宋体" w:cs="宋体"/>
                <w:sz w:val="24"/>
                <w:szCs w:val="24"/>
                <w:highlight w:val="none"/>
                <w:lang w:val="en-US" w:eastAsia="zh-CN"/>
              </w:rPr>
            </w:pPr>
          </w:p>
        </w:tc>
        <w:tc>
          <w:tcPr>
            <w:tcW w:w="545"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0CC8C3DF">
            <w:pPr>
              <w:jc w:val="center"/>
              <w:rPr>
                <w:rFonts w:hint="eastAsia" w:ascii="宋体" w:hAnsi="宋体" w:eastAsia="宋体" w:cs="宋体"/>
                <w:sz w:val="24"/>
                <w:szCs w:val="24"/>
                <w:highlight w:val="none"/>
              </w:rPr>
            </w:pPr>
          </w:p>
        </w:tc>
      </w:tr>
      <w:tr w14:paraId="333E2E4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442" w:hRule="atLeast"/>
          <w:jc w:val="center"/>
        </w:trPr>
        <w:tc>
          <w:tcPr>
            <w:tcW w:w="703"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5CE5A653">
            <w:pPr>
              <w:jc w:val="center"/>
              <w:rPr>
                <w:rFonts w:hint="eastAsia" w:ascii="宋体" w:hAnsi="宋体" w:eastAsia="宋体" w:cs="宋体"/>
                <w:sz w:val="24"/>
                <w:szCs w:val="24"/>
                <w:highlight w:val="none"/>
              </w:rPr>
            </w:pPr>
          </w:p>
        </w:tc>
        <w:tc>
          <w:tcPr>
            <w:tcW w:w="1198"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38CED8A1">
            <w:pPr>
              <w:jc w:val="center"/>
              <w:rPr>
                <w:rFonts w:hint="eastAsia" w:ascii="宋体" w:hAnsi="宋体" w:eastAsia="宋体" w:cs="宋体"/>
                <w:sz w:val="24"/>
                <w:szCs w:val="24"/>
                <w:highlight w:val="none"/>
              </w:rPr>
            </w:pPr>
          </w:p>
        </w:tc>
        <w:tc>
          <w:tcPr>
            <w:tcW w:w="650"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02580176">
            <w:pPr>
              <w:jc w:val="center"/>
              <w:rPr>
                <w:rFonts w:hint="eastAsia" w:ascii="宋体" w:hAnsi="宋体" w:eastAsia="宋体" w:cs="宋体"/>
                <w:sz w:val="24"/>
                <w:szCs w:val="24"/>
                <w:highlight w:val="none"/>
              </w:rPr>
            </w:pPr>
          </w:p>
        </w:tc>
        <w:tc>
          <w:tcPr>
            <w:tcW w:w="5802" w:type="dxa"/>
            <w:gridSpan w:val="2"/>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337DCB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8.运维工作</w:t>
            </w:r>
            <w:r>
              <w:rPr>
                <w:rFonts w:hint="eastAsia" w:ascii="宋体" w:hAnsi="宋体" w:eastAsia="宋体" w:cs="宋体"/>
                <w:sz w:val="24"/>
                <w:szCs w:val="24"/>
                <w:highlight w:val="none"/>
                <w:lang w:eastAsia="zh-CN"/>
              </w:rPr>
              <w:t>方案审核监理</w:t>
            </w:r>
            <w:r>
              <w:rPr>
                <w:rFonts w:hint="eastAsia" w:ascii="宋体" w:hAnsi="宋体" w:eastAsia="宋体" w:cs="宋体"/>
                <w:sz w:val="24"/>
                <w:szCs w:val="24"/>
                <w:highlight w:val="none"/>
              </w:rPr>
              <w:t>情况评价。(满分</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c>
          <w:tcPr>
            <w:tcW w:w="683"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4DD1327E">
            <w:pPr>
              <w:jc w:val="center"/>
              <w:rPr>
                <w:rFonts w:hint="default" w:ascii="宋体" w:hAnsi="宋体" w:eastAsia="宋体" w:cs="宋体"/>
                <w:sz w:val="24"/>
                <w:szCs w:val="24"/>
                <w:highlight w:val="none"/>
                <w:lang w:val="en-US" w:eastAsia="zh-CN"/>
              </w:rPr>
            </w:pPr>
          </w:p>
        </w:tc>
        <w:tc>
          <w:tcPr>
            <w:tcW w:w="545"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3778F1E2">
            <w:pPr>
              <w:jc w:val="center"/>
              <w:rPr>
                <w:rFonts w:hint="eastAsia" w:ascii="宋体" w:hAnsi="宋体" w:eastAsia="宋体" w:cs="宋体"/>
                <w:sz w:val="24"/>
                <w:szCs w:val="24"/>
                <w:highlight w:val="none"/>
              </w:rPr>
            </w:pPr>
          </w:p>
        </w:tc>
      </w:tr>
      <w:tr w14:paraId="4B2448F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03"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504615C1">
            <w:pPr>
              <w:jc w:val="center"/>
              <w:rPr>
                <w:rFonts w:hint="eastAsia" w:ascii="宋体" w:hAnsi="宋体" w:eastAsia="宋体" w:cs="宋体"/>
                <w:sz w:val="24"/>
                <w:szCs w:val="24"/>
                <w:highlight w:val="none"/>
              </w:rPr>
            </w:pPr>
          </w:p>
        </w:tc>
        <w:tc>
          <w:tcPr>
            <w:tcW w:w="1198"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7BDBD09B">
            <w:pPr>
              <w:jc w:val="center"/>
              <w:rPr>
                <w:rFonts w:hint="eastAsia" w:ascii="宋体" w:hAnsi="宋体" w:eastAsia="宋体" w:cs="宋体"/>
                <w:sz w:val="24"/>
                <w:szCs w:val="24"/>
                <w:highlight w:val="none"/>
              </w:rPr>
            </w:pPr>
          </w:p>
        </w:tc>
        <w:tc>
          <w:tcPr>
            <w:tcW w:w="650"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62BAD7A4">
            <w:pPr>
              <w:jc w:val="center"/>
              <w:rPr>
                <w:rFonts w:hint="eastAsia" w:ascii="宋体" w:hAnsi="宋体" w:eastAsia="宋体" w:cs="宋体"/>
                <w:sz w:val="24"/>
                <w:szCs w:val="24"/>
                <w:highlight w:val="none"/>
              </w:rPr>
            </w:pPr>
          </w:p>
        </w:tc>
        <w:tc>
          <w:tcPr>
            <w:tcW w:w="5802" w:type="dxa"/>
            <w:gridSpan w:val="2"/>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461DD26E">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9.配合业主召开项目验收会及落实会议决议监理情况评价。(满分3分）</w:t>
            </w:r>
          </w:p>
        </w:tc>
        <w:tc>
          <w:tcPr>
            <w:tcW w:w="683"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31C7BB5C">
            <w:pPr>
              <w:jc w:val="center"/>
              <w:rPr>
                <w:rFonts w:hint="default" w:ascii="宋体" w:hAnsi="宋体" w:eastAsia="宋体" w:cs="宋体"/>
                <w:sz w:val="24"/>
                <w:szCs w:val="24"/>
                <w:highlight w:val="none"/>
                <w:lang w:val="en-US" w:eastAsia="zh-CN"/>
              </w:rPr>
            </w:pPr>
          </w:p>
        </w:tc>
        <w:tc>
          <w:tcPr>
            <w:tcW w:w="545"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2B1028AC">
            <w:pPr>
              <w:jc w:val="center"/>
              <w:rPr>
                <w:rFonts w:hint="eastAsia" w:ascii="宋体" w:hAnsi="宋体" w:eastAsia="宋体" w:cs="宋体"/>
                <w:sz w:val="24"/>
                <w:szCs w:val="24"/>
                <w:highlight w:val="none"/>
              </w:rPr>
            </w:pPr>
          </w:p>
        </w:tc>
      </w:tr>
      <w:tr w14:paraId="4D0EB25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703"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4F76F153">
            <w:pPr>
              <w:jc w:val="center"/>
              <w:rPr>
                <w:rFonts w:hint="eastAsia" w:ascii="宋体" w:hAnsi="宋体" w:eastAsia="宋体" w:cs="宋体"/>
                <w:sz w:val="24"/>
                <w:szCs w:val="24"/>
                <w:highlight w:val="none"/>
              </w:rPr>
            </w:pPr>
          </w:p>
        </w:tc>
        <w:tc>
          <w:tcPr>
            <w:tcW w:w="1198"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40CD6BC4">
            <w:pPr>
              <w:jc w:val="center"/>
              <w:rPr>
                <w:rFonts w:hint="eastAsia" w:ascii="宋体" w:hAnsi="宋体" w:eastAsia="宋体" w:cs="宋体"/>
                <w:sz w:val="24"/>
                <w:szCs w:val="24"/>
                <w:highlight w:val="none"/>
              </w:rPr>
            </w:pPr>
          </w:p>
        </w:tc>
        <w:tc>
          <w:tcPr>
            <w:tcW w:w="650"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45A2156A">
            <w:pPr>
              <w:jc w:val="center"/>
              <w:rPr>
                <w:rFonts w:hint="eastAsia" w:ascii="宋体" w:hAnsi="宋体" w:eastAsia="宋体" w:cs="宋体"/>
                <w:sz w:val="24"/>
                <w:szCs w:val="24"/>
                <w:highlight w:val="none"/>
              </w:rPr>
            </w:pPr>
          </w:p>
        </w:tc>
        <w:tc>
          <w:tcPr>
            <w:tcW w:w="5802" w:type="dxa"/>
            <w:gridSpan w:val="2"/>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5582D79E">
            <w:pPr>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10.提出项目相关网络配置及安全优化建议</w:t>
            </w:r>
            <w:r>
              <w:rPr>
                <w:rFonts w:hint="eastAsia" w:ascii="宋体" w:hAnsi="宋体" w:eastAsia="宋体" w:cs="宋体"/>
                <w:sz w:val="24"/>
                <w:szCs w:val="24"/>
                <w:highlight w:val="none"/>
                <w:lang w:eastAsia="zh-CN"/>
              </w:rPr>
              <w:t>监理</w:t>
            </w:r>
            <w:r>
              <w:rPr>
                <w:rFonts w:hint="eastAsia" w:ascii="宋体" w:hAnsi="宋体" w:eastAsia="宋体" w:cs="宋体"/>
                <w:sz w:val="24"/>
                <w:szCs w:val="24"/>
                <w:highlight w:val="none"/>
              </w:rPr>
              <w:t>情况评价。(满分</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tc>
        <w:tc>
          <w:tcPr>
            <w:tcW w:w="683"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44EEDAE6">
            <w:pPr>
              <w:jc w:val="center"/>
              <w:rPr>
                <w:rFonts w:hint="default" w:ascii="宋体" w:hAnsi="宋体" w:eastAsia="宋体" w:cs="宋体"/>
                <w:sz w:val="24"/>
                <w:szCs w:val="24"/>
                <w:highlight w:val="none"/>
                <w:lang w:val="en-US" w:eastAsia="zh-CN"/>
              </w:rPr>
            </w:pPr>
          </w:p>
        </w:tc>
        <w:tc>
          <w:tcPr>
            <w:tcW w:w="545"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24BE5A73">
            <w:pPr>
              <w:jc w:val="center"/>
              <w:rPr>
                <w:rFonts w:hint="eastAsia" w:ascii="宋体" w:hAnsi="宋体" w:eastAsia="宋体" w:cs="宋体"/>
                <w:sz w:val="24"/>
                <w:szCs w:val="24"/>
                <w:highlight w:val="none"/>
              </w:rPr>
            </w:pPr>
          </w:p>
        </w:tc>
      </w:tr>
      <w:tr w14:paraId="135FE47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703"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6C218A3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highlight w:val="none"/>
              </w:rPr>
            </w:pPr>
          </w:p>
        </w:tc>
        <w:tc>
          <w:tcPr>
            <w:tcW w:w="1198"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001F4B1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highlight w:val="none"/>
              </w:rPr>
            </w:pPr>
          </w:p>
        </w:tc>
        <w:tc>
          <w:tcPr>
            <w:tcW w:w="650"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472B412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highlight w:val="none"/>
              </w:rPr>
            </w:pPr>
          </w:p>
        </w:tc>
        <w:tc>
          <w:tcPr>
            <w:tcW w:w="5802" w:type="dxa"/>
            <w:gridSpan w:val="2"/>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1D121677">
            <w:pPr>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11.审核运维服务报告及其他相关文件及规范文档格式</w:t>
            </w:r>
            <w:r>
              <w:rPr>
                <w:rFonts w:hint="eastAsia" w:ascii="宋体" w:hAnsi="宋体" w:eastAsia="宋体" w:cs="宋体"/>
                <w:sz w:val="24"/>
                <w:szCs w:val="24"/>
                <w:highlight w:val="none"/>
                <w:lang w:eastAsia="zh-CN"/>
              </w:rPr>
              <w:t>监理</w:t>
            </w:r>
            <w:r>
              <w:rPr>
                <w:rFonts w:hint="eastAsia" w:ascii="宋体" w:hAnsi="宋体" w:eastAsia="宋体" w:cs="宋体"/>
                <w:sz w:val="24"/>
                <w:szCs w:val="24"/>
                <w:highlight w:val="none"/>
              </w:rPr>
              <w:t>情况评价。(满分</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tc>
        <w:tc>
          <w:tcPr>
            <w:tcW w:w="683"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2F8782A2">
            <w:pPr>
              <w:jc w:val="center"/>
              <w:rPr>
                <w:rFonts w:hint="default" w:ascii="宋体" w:hAnsi="宋体" w:eastAsia="宋体" w:cs="宋体"/>
                <w:sz w:val="24"/>
                <w:szCs w:val="24"/>
                <w:highlight w:val="none"/>
                <w:lang w:val="en-US" w:eastAsia="zh-CN"/>
              </w:rPr>
            </w:pPr>
          </w:p>
        </w:tc>
        <w:tc>
          <w:tcPr>
            <w:tcW w:w="545"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3820BB95">
            <w:pPr>
              <w:jc w:val="center"/>
              <w:rPr>
                <w:rFonts w:hint="eastAsia" w:ascii="宋体" w:hAnsi="宋体" w:eastAsia="宋体" w:cs="宋体"/>
                <w:sz w:val="24"/>
                <w:szCs w:val="24"/>
                <w:highlight w:val="none"/>
              </w:rPr>
            </w:pPr>
          </w:p>
        </w:tc>
      </w:tr>
      <w:tr w14:paraId="5CCC1A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703"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6D8BDBF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highlight w:val="none"/>
              </w:rPr>
            </w:pPr>
          </w:p>
        </w:tc>
        <w:tc>
          <w:tcPr>
            <w:tcW w:w="1198"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5780C71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highlight w:val="none"/>
              </w:rPr>
            </w:pPr>
          </w:p>
        </w:tc>
        <w:tc>
          <w:tcPr>
            <w:tcW w:w="650"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64A0BC2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highlight w:val="none"/>
              </w:rPr>
            </w:pPr>
          </w:p>
        </w:tc>
        <w:tc>
          <w:tcPr>
            <w:tcW w:w="5802" w:type="dxa"/>
            <w:gridSpan w:val="2"/>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2AE4B741">
            <w:pPr>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12.审核运维服务费用结算</w:t>
            </w:r>
            <w:r>
              <w:rPr>
                <w:rFonts w:hint="eastAsia" w:ascii="宋体" w:hAnsi="宋体" w:eastAsia="宋体" w:cs="宋体"/>
                <w:sz w:val="24"/>
                <w:szCs w:val="24"/>
                <w:highlight w:val="none"/>
                <w:lang w:eastAsia="zh-CN"/>
              </w:rPr>
              <w:t>监理</w:t>
            </w:r>
            <w:r>
              <w:rPr>
                <w:rFonts w:hint="eastAsia" w:ascii="宋体" w:hAnsi="宋体" w:eastAsia="宋体" w:cs="宋体"/>
                <w:sz w:val="24"/>
                <w:szCs w:val="24"/>
                <w:highlight w:val="none"/>
              </w:rPr>
              <w:t>情况评价。(满分</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tc>
        <w:tc>
          <w:tcPr>
            <w:tcW w:w="683"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62FBB548">
            <w:pPr>
              <w:jc w:val="center"/>
              <w:rPr>
                <w:rFonts w:hint="default" w:ascii="宋体" w:hAnsi="宋体" w:eastAsia="宋体" w:cs="宋体"/>
                <w:sz w:val="24"/>
                <w:szCs w:val="24"/>
                <w:highlight w:val="none"/>
                <w:lang w:val="en-US" w:eastAsia="zh-CN"/>
              </w:rPr>
            </w:pPr>
          </w:p>
        </w:tc>
        <w:tc>
          <w:tcPr>
            <w:tcW w:w="545"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2DF22A65">
            <w:pPr>
              <w:jc w:val="center"/>
              <w:rPr>
                <w:rFonts w:hint="eastAsia" w:ascii="宋体" w:hAnsi="宋体" w:eastAsia="宋体" w:cs="宋体"/>
                <w:sz w:val="24"/>
                <w:szCs w:val="24"/>
                <w:highlight w:val="none"/>
              </w:rPr>
            </w:pPr>
          </w:p>
        </w:tc>
      </w:tr>
      <w:tr w14:paraId="24C133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494" w:hRule="atLeast"/>
          <w:jc w:val="center"/>
        </w:trPr>
        <w:tc>
          <w:tcPr>
            <w:tcW w:w="703"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00662EF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highlight w:val="none"/>
              </w:rPr>
            </w:pPr>
          </w:p>
        </w:tc>
        <w:tc>
          <w:tcPr>
            <w:tcW w:w="1198"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63E8778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highlight w:val="none"/>
              </w:rPr>
            </w:pPr>
          </w:p>
        </w:tc>
        <w:tc>
          <w:tcPr>
            <w:tcW w:w="650"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7DCBF75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highlight w:val="none"/>
              </w:rPr>
            </w:pPr>
          </w:p>
        </w:tc>
        <w:tc>
          <w:tcPr>
            <w:tcW w:w="5802" w:type="dxa"/>
            <w:gridSpan w:val="2"/>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0D91C6E2">
            <w:pPr>
              <w:jc w:val="left"/>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13.</w:t>
            </w:r>
            <w:r>
              <w:rPr>
                <w:rFonts w:hint="eastAsia" w:ascii="宋体" w:hAnsi="宋体" w:eastAsia="宋体" w:cs="宋体"/>
                <w:sz w:val="24"/>
                <w:szCs w:val="24"/>
                <w:highlight w:val="none"/>
                <w:lang w:val="en-US" w:eastAsia="zh-CN"/>
              </w:rPr>
              <w:t>提供</w:t>
            </w:r>
            <w:r>
              <w:rPr>
                <w:rFonts w:hint="eastAsia" w:ascii="宋体" w:hAnsi="宋体" w:eastAsia="宋体" w:cs="宋体"/>
                <w:kern w:val="2"/>
                <w:sz w:val="24"/>
                <w:szCs w:val="24"/>
                <w:highlight w:val="none"/>
                <w:lang w:val="en-US" w:eastAsia="zh-CN" w:bidi="ar-SA"/>
              </w:rPr>
              <w:t>技术支持，包括但不限于技术咨询、技术服务等监理情况评价。(满分1分）</w:t>
            </w:r>
          </w:p>
        </w:tc>
        <w:tc>
          <w:tcPr>
            <w:tcW w:w="683"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04D7C264">
            <w:pPr>
              <w:jc w:val="center"/>
              <w:rPr>
                <w:rFonts w:hint="default" w:ascii="宋体" w:hAnsi="宋体" w:eastAsia="宋体" w:cs="宋体"/>
                <w:sz w:val="24"/>
                <w:szCs w:val="24"/>
                <w:highlight w:val="none"/>
                <w:lang w:val="en-US" w:eastAsia="zh-CN"/>
              </w:rPr>
            </w:pPr>
          </w:p>
        </w:tc>
        <w:tc>
          <w:tcPr>
            <w:tcW w:w="545"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0BACEF6B">
            <w:pPr>
              <w:jc w:val="center"/>
              <w:rPr>
                <w:rFonts w:hint="eastAsia" w:ascii="宋体" w:hAnsi="宋体" w:eastAsia="宋体" w:cs="宋体"/>
                <w:sz w:val="24"/>
                <w:szCs w:val="24"/>
                <w:highlight w:val="none"/>
              </w:rPr>
            </w:pPr>
          </w:p>
        </w:tc>
      </w:tr>
      <w:tr w14:paraId="0515893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703"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4B07ABA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highlight w:val="none"/>
              </w:rPr>
            </w:pPr>
          </w:p>
        </w:tc>
        <w:tc>
          <w:tcPr>
            <w:tcW w:w="1198"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6938F40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highlight w:val="none"/>
              </w:rPr>
            </w:pPr>
          </w:p>
        </w:tc>
        <w:tc>
          <w:tcPr>
            <w:tcW w:w="650"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795CB0E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highlight w:val="none"/>
              </w:rPr>
            </w:pPr>
          </w:p>
        </w:tc>
        <w:tc>
          <w:tcPr>
            <w:tcW w:w="5802" w:type="dxa"/>
            <w:gridSpan w:val="2"/>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3C4C40D4">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各种</w:t>
            </w:r>
            <w:r>
              <w:rPr>
                <w:rFonts w:hint="eastAsia" w:ascii="宋体" w:hAnsi="宋体" w:eastAsia="宋体" w:cs="宋体"/>
                <w:sz w:val="24"/>
                <w:szCs w:val="24"/>
                <w:highlight w:val="none"/>
                <w:lang w:val="en-US" w:eastAsia="zh-CN"/>
              </w:rPr>
              <w:t>监理成果文档</w:t>
            </w:r>
            <w:r>
              <w:rPr>
                <w:rFonts w:hint="eastAsia" w:ascii="宋体" w:hAnsi="宋体" w:eastAsia="宋体" w:cs="宋体"/>
                <w:sz w:val="24"/>
                <w:szCs w:val="24"/>
                <w:highlight w:val="none"/>
                <w:lang w:eastAsia="zh-CN"/>
              </w:rPr>
              <w:t>质量、</w:t>
            </w:r>
            <w:r>
              <w:rPr>
                <w:rFonts w:hint="eastAsia" w:ascii="宋体" w:hAnsi="宋体" w:eastAsia="宋体" w:cs="宋体"/>
                <w:sz w:val="24"/>
                <w:szCs w:val="24"/>
                <w:highlight w:val="none"/>
              </w:rPr>
              <w:t>归档整理</w:t>
            </w:r>
            <w:r>
              <w:rPr>
                <w:rFonts w:hint="eastAsia" w:ascii="宋体" w:hAnsi="宋体" w:eastAsia="宋体" w:cs="宋体"/>
                <w:sz w:val="24"/>
                <w:szCs w:val="24"/>
                <w:highlight w:val="none"/>
                <w:lang w:eastAsia="zh-CN"/>
              </w:rPr>
              <w:t>情况、</w:t>
            </w:r>
            <w:r>
              <w:rPr>
                <w:rFonts w:hint="eastAsia" w:ascii="宋体" w:hAnsi="宋体" w:eastAsia="宋体" w:cs="宋体"/>
                <w:sz w:val="24"/>
                <w:szCs w:val="24"/>
                <w:highlight w:val="none"/>
              </w:rPr>
              <w:t>按时提交情况评价。（共</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tc>
        <w:tc>
          <w:tcPr>
            <w:tcW w:w="683"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3AB20A9F">
            <w:pPr>
              <w:jc w:val="center"/>
              <w:rPr>
                <w:rFonts w:hint="default" w:ascii="宋体" w:hAnsi="宋体" w:eastAsia="宋体" w:cs="宋体"/>
                <w:sz w:val="24"/>
                <w:szCs w:val="24"/>
                <w:highlight w:val="none"/>
                <w:lang w:val="en-US" w:eastAsia="zh-CN"/>
              </w:rPr>
            </w:pPr>
          </w:p>
        </w:tc>
        <w:tc>
          <w:tcPr>
            <w:tcW w:w="545"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00C69F7D">
            <w:pPr>
              <w:jc w:val="center"/>
              <w:rPr>
                <w:rFonts w:hint="eastAsia" w:ascii="宋体" w:hAnsi="宋体" w:eastAsia="宋体" w:cs="宋体"/>
                <w:sz w:val="24"/>
                <w:szCs w:val="24"/>
                <w:highlight w:val="none"/>
              </w:rPr>
            </w:pPr>
          </w:p>
        </w:tc>
      </w:tr>
      <w:tr w14:paraId="37C6CD4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703" w:type="dxa"/>
            <w:vMerge w:val="continue"/>
            <w:tcBorders>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565B403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0" w:firstLineChars="0"/>
              <w:jc w:val="center"/>
              <w:rPr>
                <w:rFonts w:hint="eastAsia" w:ascii="宋体" w:hAnsi="宋体" w:eastAsia="宋体" w:cs="宋体"/>
                <w:sz w:val="24"/>
                <w:szCs w:val="24"/>
                <w:highlight w:val="none"/>
              </w:rPr>
            </w:pPr>
          </w:p>
        </w:tc>
        <w:tc>
          <w:tcPr>
            <w:tcW w:w="1198" w:type="dxa"/>
            <w:vMerge w:val="continue"/>
            <w:tcBorders>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1E39265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0" w:firstLineChars="0"/>
              <w:jc w:val="center"/>
              <w:rPr>
                <w:rFonts w:hint="eastAsia" w:ascii="宋体" w:hAnsi="宋体" w:eastAsia="宋体" w:cs="宋体"/>
                <w:sz w:val="24"/>
                <w:szCs w:val="24"/>
                <w:highlight w:val="none"/>
              </w:rPr>
            </w:pPr>
          </w:p>
        </w:tc>
        <w:tc>
          <w:tcPr>
            <w:tcW w:w="650" w:type="dxa"/>
            <w:vMerge w:val="continue"/>
            <w:tcBorders>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3904A5D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0" w:firstLineChars="0"/>
              <w:jc w:val="center"/>
              <w:rPr>
                <w:rFonts w:hint="eastAsia" w:ascii="宋体" w:hAnsi="宋体" w:eastAsia="宋体" w:cs="宋体"/>
                <w:sz w:val="24"/>
                <w:szCs w:val="24"/>
                <w:highlight w:val="none"/>
              </w:rPr>
            </w:pPr>
          </w:p>
        </w:tc>
        <w:tc>
          <w:tcPr>
            <w:tcW w:w="5802" w:type="dxa"/>
            <w:gridSpan w:val="2"/>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17DA6524">
            <w:pPr>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15.运维服务期间监理情况评价</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满分</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分</w:t>
            </w:r>
            <w:r>
              <w:rPr>
                <w:rFonts w:hint="eastAsia" w:ascii="宋体" w:hAnsi="宋体" w:eastAsia="宋体" w:cs="宋体"/>
                <w:sz w:val="24"/>
                <w:szCs w:val="24"/>
                <w:highlight w:val="none"/>
                <w:lang w:val="en-US" w:eastAsia="zh-CN"/>
              </w:rPr>
              <w:t>）</w:t>
            </w:r>
          </w:p>
        </w:tc>
        <w:tc>
          <w:tcPr>
            <w:tcW w:w="683"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5F2F5EAA">
            <w:pPr>
              <w:jc w:val="center"/>
              <w:rPr>
                <w:rFonts w:hint="default" w:ascii="宋体" w:hAnsi="宋体" w:eastAsia="宋体" w:cs="宋体"/>
                <w:sz w:val="24"/>
                <w:szCs w:val="24"/>
                <w:highlight w:val="none"/>
                <w:lang w:val="en-US" w:eastAsia="zh-CN"/>
              </w:rPr>
            </w:pPr>
          </w:p>
        </w:tc>
        <w:tc>
          <w:tcPr>
            <w:tcW w:w="545" w:type="dxa"/>
            <w:vMerge w:val="continue"/>
            <w:tcBorders>
              <w:left w:val="single" w:color="000000" w:sz="6" w:space="0"/>
              <w:right w:val="single" w:color="000000" w:sz="6" w:space="0"/>
            </w:tcBorders>
            <w:noWrap w:val="0"/>
            <w:tcMar>
              <w:top w:w="15" w:type="dxa"/>
              <w:left w:w="15" w:type="dxa"/>
              <w:bottom w:w="15" w:type="dxa"/>
              <w:right w:w="15" w:type="dxa"/>
            </w:tcMar>
            <w:vAlign w:val="center"/>
          </w:tcPr>
          <w:p w14:paraId="18A0B72F">
            <w:pPr>
              <w:jc w:val="center"/>
              <w:rPr>
                <w:rFonts w:hint="eastAsia" w:ascii="宋体" w:hAnsi="宋体" w:eastAsia="宋体" w:cs="宋体"/>
                <w:sz w:val="24"/>
                <w:szCs w:val="24"/>
                <w:highlight w:val="none"/>
              </w:rPr>
            </w:pPr>
          </w:p>
        </w:tc>
      </w:tr>
      <w:tr w14:paraId="09D2BA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703"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385B88C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合计</w:t>
            </w:r>
          </w:p>
        </w:tc>
        <w:tc>
          <w:tcPr>
            <w:tcW w:w="1198"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7A8282D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650"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17AD047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5802" w:type="dxa"/>
            <w:gridSpan w:val="2"/>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0BE4C1B3">
            <w:pPr>
              <w:jc w:val="center"/>
              <w:rPr>
                <w:rFonts w:hint="eastAsia" w:ascii="宋体" w:hAnsi="宋体" w:eastAsia="宋体" w:cs="宋体"/>
                <w:sz w:val="24"/>
                <w:szCs w:val="24"/>
                <w:highlight w:val="none"/>
              </w:rPr>
            </w:pPr>
          </w:p>
        </w:tc>
        <w:tc>
          <w:tcPr>
            <w:tcW w:w="683"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74D6A32F">
            <w:pPr>
              <w:jc w:val="center"/>
              <w:rPr>
                <w:rFonts w:hint="default" w:ascii="宋体" w:hAnsi="宋体" w:eastAsia="宋体" w:cs="宋体"/>
                <w:sz w:val="24"/>
                <w:szCs w:val="24"/>
                <w:highlight w:val="none"/>
                <w:lang w:val="en-US" w:eastAsia="zh-CN"/>
              </w:rPr>
            </w:pPr>
          </w:p>
        </w:tc>
        <w:tc>
          <w:tcPr>
            <w:tcW w:w="545" w:type="dxa"/>
            <w:vMerge w:val="continue"/>
            <w:tcBorders>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796C0D96">
            <w:pPr>
              <w:jc w:val="center"/>
              <w:rPr>
                <w:rFonts w:hint="eastAsia" w:ascii="宋体" w:hAnsi="宋体" w:eastAsia="宋体" w:cs="宋体"/>
                <w:sz w:val="24"/>
                <w:szCs w:val="24"/>
                <w:highlight w:val="none"/>
              </w:rPr>
            </w:pPr>
          </w:p>
        </w:tc>
      </w:tr>
      <w:tr w14:paraId="6DEB05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9581" w:type="dxa"/>
            <w:gridSpan w:val="7"/>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26E81D9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1.前端现场检查每少一个点位扣款300元。</w:t>
            </w:r>
          </w:p>
        </w:tc>
      </w:tr>
      <w:tr w14:paraId="77E6329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9581" w:type="dxa"/>
            <w:gridSpan w:val="7"/>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14:paraId="2667EDB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双方项目管理人员意见</w:t>
            </w:r>
          </w:p>
        </w:tc>
      </w:tr>
      <w:tr w14:paraId="469EDC3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732" w:hRule="atLeast"/>
          <w:jc w:val="center"/>
        </w:trPr>
        <w:tc>
          <w:tcPr>
            <w:tcW w:w="5087" w:type="dxa"/>
            <w:gridSpan w:val="4"/>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top"/>
          </w:tcPr>
          <w:p w14:paraId="7FBEF30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p>
        </w:tc>
        <w:tc>
          <w:tcPr>
            <w:tcW w:w="4494" w:type="dxa"/>
            <w:gridSpan w:val="3"/>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top"/>
          </w:tcPr>
          <w:p w14:paraId="1510429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p>
        </w:tc>
      </w:tr>
    </w:tbl>
    <w:p w14:paraId="762BAA98"/>
    <w:p w14:paraId="3095CB6E">
      <w:bookmarkStart w:id="5" w:name="_GoBack"/>
      <w:bookmarkEnd w:id="5"/>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A4CD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C4416B">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3C4416B">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1C7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line="360" w:lineRule="auto"/>
      <w:ind w:firstLine="420" w:firstLineChars="200"/>
    </w:pPr>
    <w:rPr>
      <w:rFonts w:hint="default" w:ascii="Calibri" w:hAnsi="Calibri" w:eastAsia="宋体"/>
      <w:kern w:val="2"/>
      <w:sz w:val="24"/>
      <w:szCs w:val="24"/>
    </w:rPr>
  </w:style>
  <w:style w:type="paragraph" w:styleId="3">
    <w:name w:val="Body Text Indent"/>
    <w:basedOn w:val="1"/>
    <w:unhideWhenUsed/>
    <w:qFormat/>
    <w:uiPriority w:val="99"/>
    <w:pPr>
      <w:spacing w:after="120"/>
      <w:ind w:left="420" w:leftChars="200"/>
    </w:pPr>
    <w:rPr>
      <w:rFonts w:hint="eastAsia" w:ascii="Times New Roman" w:hAnsi="Times New Roman" w:eastAsia="Times New Roman"/>
      <w:kern w:val="0"/>
      <w:sz w:val="20"/>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2026-06-15T09:46:52Z</dcterms:created>
  <dc:creator>Administrator</dc:creator>
  <cp:lastModifiedBy>Administrator</cp:lastModifiedBy>
  <dcterms:modified xsi:type="dcterms:W3CDTF">2026-06-15T09:47:45Z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13D1CB1309F540C8A27C0D9E91362F81_12</vt:lpwstr>
  </property>
</Properties>
</file>