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1424D0">
      <w:pPr>
        <w:spacing w:line="560" w:lineRule="exact"/>
        <w:jc w:val="center"/>
        <w:rPr>
          <w:rFonts w:hint="eastAsia" w:ascii="方正小标宋简体" w:hAnsi="宋体" w:eastAsia="方正小标宋简体"/>
          <w:bCs/>
          <w:color w:val="auto"/>
          <w:sz w:val="36"/>
          <w:szCs w:val="36"/>
          <w:highlight w:val="none"/>
        </w:rPr>
      </w:pPr>
      <w:r>
        <w:rPr>
          <w:rFonts w:hint="eastAsia" w:ascii="方正小标宋简体" w:hAnsi="宋体" w:eastAsia="方正小标宋简体"/>
          <w:bCs/>
          <w:color w:val="auto"/>
          <w:sz w:val="36"/>
          <w:szCs w:val="36"/>
          <w:highlight w:val="none"/>
        </w:rPr>
        <w:t>福建省小型水库雨水情数据治理及水利工程非结构化数据整编分析上图服务</w:t>
      </w:r>
      <w:r>
        <w:rPr>
          <w:rFonts w:hint="eastAsia" w:ascii="方正小标宋简体" w:hAnsi="宋体" w:eastAsia="方正小标宋简体"/>
          <w:bCs/>
          <w:color w:val="auto"/>
          <w:sz w:val="36"/>
          <w:szCs w:val="36"/>
          <w:highlight w:val="none"/>
        </w:rPr>
        <w:t>项目监理服务内容及要求</w:t>
      </w:r>
    </w:p>
    <w:p w14:paraId="3E059EA3">
      <w:pPr>
        <w:spacing w:line="560" w:lineRule="exact"/>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rPr>
        <w:t xml:space="preserve">    </w:t>
      </w:r>
    </w:p>
    <w:p w14:paraId="38F836B0">
      <w:pPr>
        <w:spacing w:line="56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237404E6">
      <w:pPr>
        <w:spacing w:line="560" w:lineRule="exact"/>
        <w:ind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（一）项目背景</w:t>
      </w:r>
    </w:p>
    <w:p w14:paraId="3B6F20C0">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（1）业务管理需求</w:t>
      </w:r>
    </w:p>
    <w:p w14:paraId="477418E4">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为提升福建省水利工程运行管理水平，推动全省水利工程安全运行和科学管理，确定</w:t>
      </w:r>
      <w:r>
        <w:rPr>
          <w:rFonts w:hint="eastAsia" w:ascii="仿宋_GB2312" w:hAnsi="Times New Roman" w:eastAsia="仿宋_GB2312"/>
          <w:color w:val="auto"/>
          <w:sz w:val="32"/>
          <w:szCs w:val="32"/>
          <w:highlight w:val="none"/>
          <w:lang w:eastAsia="zh-CN"/>
        </w:rPr>
        <w:t>小型水库</w:t>
      </w:r>
      <w:r>
        <w:rPr>
          <w:rFonts w:hint="eastAsia" w:ascii="仿宋_GB2312" w:hAnsi="Times New Roman" w:eastAsia="仿宋_GB2312"/>
          <w:color w:val="auto"/>
          <w:sz w:val="32"/>
          <w:szCs w:val="32"/>
          <w:highlight w:val="none"/>
        </w:rPr>
        <w:t>雨水情数据治理及水利工程非结构化数据整编分析上图服务构建的具体内容与实施路径，开展《福建省小型水库雨水情数据治理及水利工程非结构化数据整编分析上图服务》项目，结合现代化技术手段，在提升管理效能同时，推动水利工程运行管理向数字化、智能化转型。</w:t>
      </w:r>
    </w:p>
    <w:p w14:paraId="361ED8D4">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（2）福建省水利工程运行管理信息平台现状</w:t>
      </w:r>
    </w:p>
    <w:p w14:paraId="4755F7D3">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福建省水利工程运行管理信息平台（原福建省水库运行管理信息平台）经过多年建设，整合了全省3522座水库大坝、2349段堤防、1390座水闸的工程管理功能，实现了对全省水利工程管理单位、监管单位及巡查员的全面用户覆盖，并提供涵盖工程特征、运行管理、巡查巡检等方面的综合业务支持。平台采用负载均衡的方式部署于福建省电子政务云，使用电子政务云提供的网络与环境，为福建省水利工程的高效管理和决策提供了强有力的信息化支持。</w:t>
      </w:r>
    </w:p>
    <w:p w14:paraId="6B443388">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（3）福建省水利工程运行管理数据现状</w:t>
      </w:r>
    </w:p>
    <w:p w14:paraId="7F4E2FE8">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福建省水利工程运行管理信息平台积累了大量水利工程运管数据，包括全省水库基本信息、水库调度运用方案信息、水库应急管理信息、水库除险加固信息、堤防基本信息、堤防责任人信息、水闸基本信息、水闸责任人信息等。</w:t>
      </w:r>
    </w:p>
    <w:p w14:paraId="1D0D7296">
      <w:pPr>
        <w:spacing w:line="560" w:lineRule="exact"/>
        <w:ind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（二）项目概述</w:t>
      </w:r>
    </w:p>
    <w:p w14:paraId="2979B928">
      <w:pPr>
        <w:spacing w:line="560" w:lineRule="exact"/>
        <w:ind w:firstLine="64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项目服务内容主要包括小型水库雨水情数据治理服务、水利工程非结构化数据整编分析上图服务、福建省水利工程数据与全国水利工程运行管理信息系统数据比对校核服务、日常服务与应急服务。</w:t>
      </w:r>
    </w:p>
    <w:p w14:paraId="2B70692A">
      <w:pPr>
        <w:spacing w:line="56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二、监理服务内容及要求</w:t>
      </w:r>
    </w:p>
    <w:p w14:paraId="0B3FD19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按照国家标准、福建省小型水库雨水情数据治理及水利工程非结构化数据整编分析上图服务项目招投标文件和服务合同等相关要求，对服务单位的合同履行情况及服务质量进行监理。</w:t>
      </w:r>
    </w:p>
    <w:p w14:paraId="78417A05">
      <w:pPr>
        <w:spacing w:line="560" w:lineRule="exact"/>
        <w:ind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（一）工作内容</w:t>
      </w:r>
    </w:p>
    <w:p w14:paraId="037CB67C">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本标为福建省小型水库雨水情数据治理及水利工程非结构化数据整编分析上图服务项目</w:t>
      </w:r>
      <w:r>
        <w:rPr>
          <w:rFonts w:ascii="仿宋_GB2312" w:hAnsi="仿宋_GB2312" w:eastAsia="仿宋_GB2312" w:cs="仿宋_GB2312"/>
          <w:color w:val="auto"/>
          <w:sz w:val="32"/>
          <w:szCs w:val="32"/>
          <w:highlight w:val="none"/>
        </w:rPr>
        <w:t>的监理服务，中标人应对该项目的服务合同签订阶段、实施阶段、验收和考核考评阶段实行全过程监理，实现监理工作“控制、管理、协调”的目标。</w:t>
      </w:r>
    </w:p>
    <w:p w14:paraId="6CAE3341">
      <w:pPr>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对服务合同的签订和建设中遇到的问题提供咨询意见。</w:t>
      </w:r>
    </w:p>
    <w:p w14:paraId="3A0BD18F">
      <w:pPr>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监督本服务项目实施工作，具体包含</w:t>
      </w:r>
      <w:r>
        <w:rPr>
          <w:rFonts w:hint="eastAsia" w:ascii="仿宋_GB2312" w:hAnsi="仿宋_GB2312" w:eastAsia="仿宋_GB2312" w:cs="仿宋_GB2312"/>
          <w:color w:val="auto"/>
          <w:sz w:val="32"/>
          <w:szCs w:val="32"/>
          <w:highlight w:val="none"/>
        </w:rPr>
        <w:t>小型水库雨水情数据治理服务、水利工程非结构化数据整编分析上图服务、福建省水利工程数据与全国水利工程运行管理信息系统数据比对校核服务、日常服务与应急服务五</w:t>
      </w:r>
      <w:r>
        <w:rPr>
          <w:rFonts w:ascii="仿宋_GB2312" w:hAnsi="仿宋_GB2312" w:eastAsia="仿宋_GB2312" w:cs="仿宋_GB2312"/>
          <w:color w:val="auto"/>
          <w:sz w:val="32"/>
          <w:szCs w:val="32"/>
          <w:highlight w:val="none"/>
        </w:rPr>
        <w:t>部分内容。协助业主进行总体把握和评估，以确保</w:t>
      </w:r>
      <w:r>
        <w:rPr>
          <w:rFonts w:hint="eastAsia" w:ascii="仿宋_GB2312" w:hAnsi="仿宋_GB2312" w:eastAsia="仿宋_GB2312" w:cs="仿宋_GB2312"/>
          <w:color w:val="auto"/>
          <w:sz w:val="32"/>
          <w:szCs w:val="32"/>
          <w:highlight w:val="none"/>
        </w:rPr>
        <w:t>服务及服务成果</w:t>
      </w:r>
      <w:r>
        <w:rPr>
          <w:rFonts w:ascii="仿宋_GB2312" w:hAnsi="仿宋_GB2312" w:eastAsia="仿宋_GB2312" w:cs="仿宋_GB2312"/>
          <w:color w:val="auto"/>
          <w:sz w:val="32"/>
          <w:szCs w:val="32"/>
          <w:highlight w:val="none"/>
        </w:rPr>
        <w:t>满足业主要求。</w:t>
      </w:r>
    </w:p>
    <w:p w14:paraId="2C400C12">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小型水库雨水情数据治理服务的监理：</w:t>
      </w:r>
      <w:r>
        <w:rPr>
          <w:rFonts w:ascii="仿宋_GB2312" w:hAnsi="仿宋_GB2312" w:eastAsia="仿宋_GB2312" w:cs="仿宋_GB2312"/>
          <w:color w:val="auto"/>
          <w:sz w:val="32"/>
          <w:szCs w:val="32"/>
          <w:highlight w:val="none"/>
        </w:rPr>
        <w:t>监理中标单位应根据服务招标文</w:t>
      </w:r>
      <w:r>
        <w:rPr>
          <w:rFonts w:hint="eastAsia" w:ascii="仿宋_GB2312" w:hAnsi="仿宋_GB2312" w:eastAsia="仿宋_GB2312" w:cs="仿宋_GB2312"/>
          <w:color w:val="auto"/>
          <w:sz w:val="32"/>
          <w:szCs w:val="32"/>
          <w:highlight w:val="none"/>
        </w:rPr>
        <w:t>件要求，审核服务中标单位提供的小型水库雨水情数据治理规则整理服务、小型水库雨水情原始数据分析服务、小型水库雨量数据异常诊断服务、小型水库雨量数据异常人工修正建议服务、小型水库水位数据异常诊断服务、小型水库水位数据异常人工修正建议服务、小型水库雨量数据预处理服务、小型水库水位数据预处理服务是否满足服务招标文件要求。</w:t>
      </w:r>
    </w:p>
    <w:p w14:paraId="3A469152">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水利工程非结构化数据整编分析上图服务的监理：监理中标单位应督促监管服务中标单位及时开展数据整编分析上图服务，审核服务中标单位提供的水利工程非结构化数据梳理收集服务、水利工程非结构化数据质量核查服务、水利工程非结构化数据关联与语义标注服务、水利工程非结构化数据整编成果分类归档服务、空间基准对接与坐标匹配服务、水利工程非结构化数据上图服务是否满足服务招标文件要求。</w:t>
      </w:r>
    </w:p>
    <w:p w14:paraId="02C17BB0">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福建省水利工程数据与全国水利工程运行管理信息系统数据比对校核服务的监理：监理中标单位应督促监管服务中标单位及时开展数据比对校核服务，审核服务中标单位提供的水库基本信息比对校核、水库调度运用方案信息比对校核、水库应急管理信息比对校核、水库除险加固信息比对校核、堤防基本信息比对校核、堤防责任人信息比对校核、水闸基本信息比对校核、水闸责任人信息比对校核是否满足服务招标文件要求。</w:t>
      </w:r>
    </w:p>
    <w:p w14:paraId="63482FBA">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日常服务方面的监理：</w:t>
      </w:r>
      <w:r>
        <w:rPr>
          <w:rFonts w:ascii="仿宋_GB2312" w:hAnsi="仿宋_GB2312" w:eastAsia="仿宋_GB2312" w:cs="仿宋_GB2312"/>
          <w:color w:val="auto"/>
          <w:sz w:val="32"/>
          <w:szCs w:val="32"/>
          <w:highlight w:val="none"/>
        </w:rPr>
        <w:t>监理中标单位应根据服务招标文件要求</w:t>
      </w:r>
      <w:r>
        <w:rPr>
          <w:rFonts w:hint="eastAsia" w:ascii="仿宋_GB2312" w:hAnsi="仿宋_GB2312" w:eastAsia="仿宋_GB2312" w:cs="仿宋_GB2312"/>
          <w:color w:val="auto"/>
          <w:sz w:val="32"/>
          <w:szCs w:val="32"/>
          <w:highlight w:val="none"/>
        </w:rPr>
        <w:t>督促并核实服务中标单位提供至少1名日常服务人员严格遵守项目任务要求，协助推进本次服务内容的正常开展，按照服务期限规定的时间节点及时交付项目成果，并每周撰写报表汇报项目进度。</w:t>
      </w:r>
    </w:p>
    <w:p w14:paraId="48B39969">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应急服务方面的监理：</w:t>
      </w:r>
      <w:r>
        <w:rPr>
          <w:rFonts w:ascii="仿宋_GB2312" w:hAnsi="仿宋_GB2312" w:eastAsia="仿宋_GB2312" w:cs="仿宋_GB2312"/>
          <w:color w:val="auto"/>
          <w:sz w:val="32"/>
          <w:szCs w:val="32"/>
          <w:highlight w:val="none"/>
        </w:rPr>
        <w:t>督促服务中标单位</w:t>
      </w:r>
      <w:r>
        <w:rPr>
          <w:rFonts w:hint="eastAsia" w:ascii="仿宋_GB2312" w:hAnsi="仿宋_GB2312" w:eastAsia="仿宋_GB2312" w:cs="仿宋_GB2312"/>
          <w:color w:val="auto"/>
          <w:sz w:val="32"/>
          <w:szCs w:val="32"/>
          <w:highlight w:val="none"/>
        </w:rPr>
        <w:t>对于具有技术难度较高的任务或应急事件发生时，应至少提供1名具有经验丰富的应急服务人员进行处置，快速响应福建省洪水预警报中心（福建省水利信息中心）的需求，并结合具体情况开展应急处置服务。</w:t>
      </w:r>
    </w:p>
    <w:p w14:paraId="0446AA8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.年度考核考评：监理中标单位根据服务合同条款，</w:t>
      </w:r>
      <w:r>
        <w:rPr>
          <w:rFonts w:hint="eastAsia" w:ascii="仿宋_GB2312" w:hAnsi="仿宋_GB2312" w:eastAsia="仿宋_GB2312" w:cs="仿宋_GB2312"/>
          <w:color w:val="auto"/>
          <w:sz w:val="32"/>
          <w:szCs w:val="32"/>
          <w:highlight w:val="none"/>
        </w:rPr>
        <w:t>对福建省小型水库雨水情数据治理及水利工程非结构化数据整编分析上图服务的各项成果、各项成果提交时间进行考核确认</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对福建省小型水库雨水情数据治理及水利工程非结构化数据整编分析上图服务的服务中标单位提供本次项目服务考核建议。</w:t>
      </w:r>
    </w:p>
    <w:p w14:paraId="1FEA3ACF">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ascii="仿宋_GB2312" w:hAnsi="仿宋_GB2312" w:eastAsia="仿宋_GB2312" w:cs="仿宋_GB2312"/>
          <w:color w:val="auto"/>
          <w:sz w:val="32"/>
          <w:szCs w:val="32"/>
          <w:highlight w:val="none"/>
        </w:rPr>
        <w:t>.监理中标单位在本项目</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的各个阶段，对</w:t>
      </w:r>
      <w:r>
        <w:rPr>
          <w:rFonts w:hint="eastAsia" w:ascii="仿宋_GB2312" w:hAnsi="仿宋_GB2312" w:eastAsia="仿宋_GB2312" w:cs="仿宋_GB2312"/>
          <w:color w:val="auto"/>
          <w:sz w:val="32"/>
          <w:szCs w:val="32"/>
          <w:highlight w:val="none"/>
        </w:rPr>
        <w:t>服务</w:t>
      </w:r>
      <w:r>
        <w:rPr>
          <w:rFonts w:ascii="仿宋_GB2312" w:hAnsi="仿宋_GB2312" w:eastAsia="仿宋_GB2312" w:cs="仿宋_GB2312"/>
          <w:color w:val="auto"/>
          <w:sz w:val="32"/>
          <w:szCs w:val="32"/>
          <w:highlight w:val="none"/>
        </w:rPr>
        <w:t>所产生的信息进行比对、整理、核实、抽查，协助</w:t>
      </w:r>
      <w:r>
        <w:rPr>
          <w:rFonts w:hint="eastAsia" w:ascii="仿宋_GB2312" w:hAnsi="仿宋_GB2312" w:eastAsia="仿宋_GB2312" w:cs="仿宋_GB2312"/>
          <w:color w:val="auto"/>
          <w:sz w:val="32"/>
          <w:szCs w:val="32"/>
          <w:highlight w:val="none"/>
        </w:rPr>
        <w:t>业主</w:t>
      </w:r>
      <w:r>
        <w:rPr>
          <w:rFonts w:ascii="仿宋_GB2312" w:hAnsi="仿宋_GB2312" w:eastAsia="仿宋_GB2312" w:cs="仿宋_GB2312"/>
          <w:color w:val="auto"/>
          <w:sz w:val="32"/>
          <w:szCs w:val="32"/>
          <w:highlight w:val="none"/>
        </w:rPr>
        <w:t>单位建立信息管理制度，产生包括</w:t>
      </w:r>
      <w:r>
        <w:rPr>
          <w:rFonts w:hint="eastAsia" w:ascii="仿宋_GB2312" w:hAnsi="仿宋_GB2312" w:eastAsia="仿宋_GB2312" w:cs="仿宋_GB2312"/>
          <w:color w:val="auto"/>
          <w:sz w:val="32"/>
          <w:szCs w:val="32"/>
          <w:highlight w:val="none"/>
        </w:rPr>
        <w:t>监理规划</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监理意见、</w:t>
      </w:r>
      <w:r>
        <w:rPr>
          <w:rFonts w:ascii="仿宋_GB2312" w:hAnsi="仿宋_GB2312" w:eastAsia="仿宋_GB2312" w:cs="仿宋_GB2312"/>
          <w:color w:val="auto"/>
          <w:sz w:val="32"/>
          <w:szCs w:val="32"/>
          <w:highlight w:val="none"/>
        </w:rPr>
        <w:t>监理报告、年度考核评价等完整的总控类文档、监理实施类文档和回复（批复）类文档。</w:t>
      </w:r>
    </w:p>
    <w:p w14:paraId="188B274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w:t>
      </w:r>
      <w:r>
        <w:rPr>
          <w:rFonts w:ascii="仿宋_GB2312" w:hAnsi="仿宋_GB2312" w:eastAsia="仿宋_GB2312" w:cs="仿宋_GB2312"/>
          <w:color w:val="auto"/>
          <w:sz w:val="32"/>
          <w:szCs w:val="32"/>
          <w:highlight w:val="none"/>
        </w:rPr>
        <w:t>.按照预定计划对</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进度进行有效控制，根据项目整体进度要求，结合项目的特点对服务中标单位提交的进度计划进行审查、修改。在进度计划的执行过程中，按计划对</w:t>
      </w:r>
      <w:r>
        <w:rPr>
          <w:rFonts w:hint="eastAsia" w:ascii="仿宋_GB2312" w:hAnsi="仿宋_GB2312" w:eastAsia="仿宋_GB2312" w:cs="仿宋_GB2312"/>
          <w:color w:val="auto"/>
          <w:sz w:val="32"/>
          <w:szCs w:val="32"/>
          <w:highlight w:val="none"/>
        </w:rPr>
        <w:t>服务实施</w:t>
      </w:r>
      <w:r>
        <w:rPr>
          <w:rFonts w:ascii="仿宋_GB2312" w:hAnsi="仿宋_GB2312" w:eastAsia="仿宋_GB2312" w:cs="仿宋_GB2312"/>
          <w:color w:val="auto"/>
          <w:sz w:val="32"/>
          <w:szCs w:val="32"/>
          <w:highlight w:val="none"/>
        </w:rPr>
        <w:t>活动进行全面控制，检查和分析计划的执行情况；并根据实际情况调整计划，以确保</w:t>
      </w:r>
      <w:r>
        <w:rPr>
          <w:rFonts w:hint="eastAsia" w:ascii="仿宋_GB2312" w:hAnsi="仿宋_GB2312" w:eastAsia="仿宋_GB2312" w:cs="仿宋_GB2312"/>
          <w:color w:val="auto"/>
          <w:sz w:val="32"/>
          <w:szCs w:val="32"/>
          <w:highlight w:val="none"/>
        </w:rPr>
        <w:t>项目</w:t>
      </w:r>
      <w:r>
        <w:rPr>
          <w:rFonts w:ascii="仿宋_GB2312" w:hAnsi="仿宋_GB2312" w:eastAsia="仿宋_GB2312" w:cs="仿宋_GB2312"/>
          <w:color w:val="auto"/>
          <w:sz w:val="32"/>
          <w:szCs w:val="32"/>
          <w:highlight w:val="none"/>
        </w:rPr>
        <w:t>按合同规定的日期竣工</w:t>
      </w:r>
      <w:r>
        <w:rPr>
          <w:rFonts w:hint="eastAsia" w:ascii="仿宋_GB2312" w:hAnsi="仿宋_GB2312" w:eastAsia="仿宋_GB2312" w:cs="仿宋_GB2312"/>
          <w:color w:val="auto"/>
          <w:sz w:val="32"/>
          <w:szCs w:val="32"/>
          <w:highlight w:val="none"/>
        </w:rPr>
        <w:t>。</w:t>
      </w:r>
    </w:p>
    <w:p w14:paraId="1121A78C">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w:t>
      </w:r>
      <w:r>
        <w:rPr>
          <w:rFonts w:ascii="仿宋_GB2312" w:hAnsi="仿宋_GB2312" w:eastAsia="仿宋_GB2312" w:cs="仿宋_GB2312"/>
          <w:color w:val="auto"/>
          <w:sz w:val="32"/>
          <w:szCs w:val="32"/>
          <w:highlight w:val="none"/>
        </w:rPr>
        <w:t>.按照合同对投资总额进行有效控制，监理单位按采购合同的规定负责审核</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单位提交的付款</w:t>
      </w:r>
      <w:r>
        <w:rPr>
          <w:rFonts w:hint="eastAsia" w:ascii="仿宋_GB2312" w:hAnsi="仿宋_GB2312" w:eastAsia="仿宋_GB2312" w:cs="仿宋_GB2312"/>
          <w:color w:val="auto"/>
          <w:sz w:val="32"/>
          <w:szCs w:val="32"/>
          <w:highlight w:val="none"/>
        </w:rPr>
        <w:t>申请，</w:t>
      </w:r>
      <w:r>
        <w:rPr>
          <w:rFonts w:ascii="仿宋_GB2312" w:hAnsi="仿宋_GB2312" w:eastAsia="仿宋_GB2312" w:cs="仿宋_GB2312"/>
          <w:color w:val="auto"/>
          <w:sz w:val="32"/>
          <w:szCs w:val="32"/>
          <w:highlight w:val="none"/>
        </w:rPr>
        <w:t>提出审核意见</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服务过程中随时督促</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单位，严格控制投资变更。</w:t>
      </w:r>
    </w:p>
    <w:p w14:paraId="352775DE">
      <w:pPr>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.依据合同及其附件的相关条款梳理验收程序和标准，监理单位协助</w:t>
      </w:r>
      <w:r>
        <w:rPr>
          <w:rFonts w:hint="eastAsia" w:ascii="仿宋_GB2312" w:hAnsi="仿宋_GB2312" w:eastAsia="仿宋_GB2312" w:cs="仿宋_GB2312"/>
          <w:color w:val="auto"/>
          <w:sz w:val="32"/>
          <w:szCs w:val="32"/>
          <w:highlight w:val="none"/>
        </w:rPr>
        <w:t>业主</w:t>
      </w:r>
      <w:r>
        <w:rPr>
          <w:rFonts w:ascii="仿宋_GB2312" w:hAnsi="仿宋_GB2312" w:eastAsia="仿宋_GB2312" w:cs="仿宋_GB2312"/>
          <w:color w:val="auto"/>
          <w:sz w:val="32"/>
          <w:szCs w:val="32"/>
          <w:highlight w:val="none"/>
        </w:rPr>
        <w:t>单位做好对</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单位提交的验收计划合理性审核工作。在此基础上，协助</w:t>
      </w:r>
      <w:r>
        <w:rPr>
          <w:rFonts w:hint="eastAsia" w:ascii="仿宋_GB2312" w:hAnsi="仿宋_GB2312" w:eastAsia="仿宋_GB2312" w:cs="仿宋_GB2312"/>
          <w:color w:val="auto"/>
          <w:sz w:val="32"/>
          <w:szCs w:val="32"/>
          <w:highlight w:val="none"/>
        </w:rPr>
        <w:t>业主</w:t>
      </w:r>
      <w:r>
        <w:rPr>
          <w:rFonts w:ascii="仿宋_GB2312" w:hAnsi="仿宋_GB2312" w:eastAsia="仿宋_GB2312" w:cs="仿宋_GB2312"/>
          <w:color w:val="auto"/>
          <w:sz w:val="32"/>
          <w:szCs w:val="32"/>
          <w:highlight w:val="none"/>
        </w:rPr>
        <w:t>单位制定验收程序和标准</w:t>
      </w:r>
      <w:r>
        <w:rPr>
          <w:rFonts w:hint="eastAsia" w:ascii="仿宋_GB2312" w:hAnsi="仿宋_GB2312" w:eastAsia="仿宋_GB2312" w:cs="仿宋_GB2312"/>
          <w:color w:val="auto"/>
          <w:sz w:val="32"/>
          <w:szCs w:val="32"/>
          <w:highlight w:val="none"/>
        </w:rPr>
        <w:t>。</w:t>
      </w:r>
    </w:p>
    <w:p w14:paraId="15787849">
      <w:pPr>
        <w:spacing w:line="560" w:lineRule="exact"/>
        <w:ind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（二）工作要求</w:t>
      </w:r>
    </w:p>
    <w:p w14:paraId="4E34C53E">
      <w:pPr>
        <w:spacing w:line="560" w:lineRule="exact"/>
        <w:ind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1.具体工作要求</w:t>
      </w:r>
    </w:p>
    <w:p w14:paraId="2413939D">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理单位必须坚持以“守法、公平、公正、独立”为原则，安排工作人员做好本项目质量和进度控制，协助业主单位完成本项目任务，提供管理和技术咨询服务。监理单位必须依照有关标准和法律法规以及业主单位的需求，以高度的责任心、丰富的项目管理和专业技术经验，对项目实施全面的、有重点的、精线条的监督管理，受业主单位委托负责审核合同条款、控制项目质量、进度、投资和变更，按期完成项目验收，保证项目按期、高质量地完成，最终提交业主单位满意的成果。</w:t>
      </w:r>
    </w:p>
    <w:p w14:paraId="7E9D259F">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本监理项目工作要求具体包括：“四控制、三管理、一协调”，即：质量控制、进度控制、投资控制、变更控制；安全管理、合同管理、信息管理；组织协调。</w:t>
      </w:r>
      <w:r>
        <w:rPr>
          <w:rFonts w:ascii="仿宋_GB2312" w:hAnsi="仿宋_GB2312" w:eastAsia="仿宋_GB2312" w:cs="仿宋_GB2312"/>
          <w:color w:val="auto"/>
          <w:sz w:val="32"/>
          <w:szCs w:val="32"/>
          <w:highlight w:val="none"/>
        </w:rPr>
        <w:t xml:space="preserve"> </w:t>
      </w:r>
    </w:p>
    <w:p w14:paraId="1526D83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ascii="仿宋_GB2312" w:hAnsi="仿宋_GB2312" w:eastAsia="仿宋_GB2312" w:cs="仿宋_GB2312"/>
          <w:color w:val="auto"/>
          <w:sz w:val="32"/>
          <w:szCs w:val="32"/>
          <w:highlight w:val="none"/>
        </w:rPr>
        <w:t>质量控制</w:t>
      </w:r>
    </w:p>
    <w:p w14:paraId="15602BB5">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085A728A">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依据采购文件、响应文件、合同，审查、监督、控制项目</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 xml:space="preserve">过程、项目成果的质量。 </w:t>
      </w:r>
    </w:p>
    <w:p w14:paraId="0A93571F">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采取事前预防、事中控制、事后纠正的监理方式，依据国家法律、法规、标准以及项目合同、设计方案、监理规划等文件控制项目质量。 </w:t>
      </w:r>
    </w:p>
    <w:p w14:paraId="42261520">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根据项目的特点，制定验收标准，验收方法</w:t>
      </w:r>
      <w:r>
        <w:rPr>
          <w:rFonts w:hint="eastAsia" w:ascii="仿宋_GB2312" w:hAnsi="仿宋_GB2312" w:eastAsia="仿宋_GB2312" w:cs="仿宋_GB2312"/>
          <w:color w:val="auto"/>
          <w:sz w:val="32"/>
          <w:szCs w:val="32"/>
          <w:highlight w:val="none"/>
        </w:rPr>
        <w:t>和</w:t>
      </w:r>
      <w:r>
        <w:rPr>
          <w:rFonts w:ascii="仿宋_GB2312" w:hAnsi="仿宋_GB2312" w:eastAsia="仿宋_GB2312" w:cs="仿宋_GB2312"/>
          <w:color w:val="auto"/>
          <w:sz w:val="32"/>
          <w:szCs w:val="32"/>
          <w:highlight w:val="none"/>
        </w:rPr>
        <w:t xml:space="preserve">监理控制方案。 </w:t>
      </w:r>
    </w:p>
    <w:p w14:paraId="761F5ECA">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编制重大质量问题的处理预案，包括</w:t>
      </w:r>
      <w:r>
        <w:rPr>
          <w:rFonts w:hint="eastAsia" w:ascii="仿宋_GB2312" w:hAnsi="仿宋_GB2312" w:eastAsia="仿宋_GB2312" w:cs="仿宋_GB2312"/>
          <w:color w:val="auto"/>
          <w:sz w:val="32"/>
          <w:szCs w:val="32"/>
          <w:highlight w:val="none"/>
        </w:rPr>
        <w:t>福建省小型水库雨水情数据治理及水利工程非结构化数据整编分析上图服务</w:t>
      </w:r>
      <w:r>
        <w:rPr>
          <w:rFonts w:ascii="仿宋_GB2312" w:hAnsi="仿宋_GB2312" w:eastAsia="仿宋_GB2312" w:cs="仿宋_GB2312"/>
          <w:color w:val="auto"/>
          <w:sz w:val="32"/>
          <w:szCs w:val="32"/>
          <w:highlight w:val="none"/>
        </w:rPr>
        <w:t xml:space="preserve">过程中可能出现的重大质量问题的处理预案。 </w:t>
      </w:r>
    </w:p>
    <w:p w14:paraId="6B05E545">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rPr>
        <w:t>福建省小型水库雨水情数据治理及水利工程非结构化数据整编分析上图服务</w:t>
      </w:r>
      <w:r>
        <w:rPr>
          <w:rFonts w:ascii="仿宋_GB2312" w:hAnsi="仿宋_GB2312" w:eastAsia="仿宋_GB2312" w:cs="仿宋_GB2312"/>
          <w:color w:val="auto"/>
          <w:sz w:val="32"/>
          <w:szCs w:val="32"/>
          <w:highlight w:val="none"/>
        </w:rPr>
        <w:t xml:space="preserve">质量事故的原因调查、问题分析、问题评估、事故处理。 </w:t>
      </w:r>
    </w:p>
    <w:p w14:paraId="16AAE1C9">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组织</w:t>
      </w:r>
      <w:r>
        <w:rPr>
          <w:rFonts w:hint="eastAsia" w:ascii="仿宋_GB2312" w:hAnsi="仿宋_GB2312" w:eastAsia="仿宋_GB2312" w:cs="仿宋_GB2312"/>
          <w:color w:val="auto"/>
          <w:sz w:val="32"/>
          <w:szCs w:val="32"/>
          <w:highlight w:val="none"/>
        </w:rPr>
        <w:t>福建省小型水库雨水情数据治理及水利工程非结构化数据整编分析上图服务的</w:t>
      </w:r>
      <w:r>
        <w:rPr>
          <w:rFonts w:ascii="仿宋_GB2312" w:hAnsi="仿宋_GB2312" w:eastAsia="仿宋_GB2312" w:cs="仿宋_GB2312"/>
          <w:color w:val="auto"/>
          <w:sz w:val="32"/>
          <w:szCs w:val="32"/>
          <w:highlight w:val="none"/>
        </w:rPr>
        <w:t xml:space="preserve">质量检查和验收。 </w:t>
      </w:r>
    </w:p>
    <w:p w14:paraId="54E0C08E">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督促服务中标单位整改存在问题。 </w:t>
      </w:r>
    </w:p>
    <w:p w14:paraId="419083FB">
      <w:pPr>
        <w:pStyle w:val="188"/>
        <w:numPr>
          <w:ilvl w:val="0"/>
          <w:numId w:val="1"/>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参与项目竣工验收和交接。 </w:t>
      </w:r>
    </w:p>
    <w:p w14:paraId="34E37E73">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进度控制</w:t>
      </w:r>
    </w:p>
    <w:p w14:paraId="0914894A">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61AFB6D5">
      <w:pPr>
        <w:pStyle w:val="188"/>
        <w:numPr>
          <w:ilvl w:val="0"/>
          <w:numId w:val="2"/>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审查项目的</w:t>
      </w:r>
      <w:r>
        <w:rPr>
          <w:rFonts w:hint="eastAsia" w:ascii="仿宋_GB2312" w:hAnsi="仿宋_GB2312" w:eastAsia="仿宋_GB2312" w:cs="仿宋_GB2312"/>
          <w:color w:val="auto"/>
          <w:sz w:val="32"/>
          <w:szCs w:val="32"/>
          <w:highlight w:val="none"/>
        </w:rPr>
        <w:t>服务实施和</w:t>
      </w:r>
      <w:r>
        <w:rPr>
          <w:rFonts w:ascii="仿宋_GB2312" w:hAnsi="仿宋_GB2312" w:eastAsia="仿宋_GB2312" w:cs="仿宋_GB2312"/>
          <w:color w:val="auto"/>
          <w:sz w:val="32"/>
          <w:szCs w:val="32"/>
          <w:highlight w:val="none"/>
        </w:rPr>
        <w:t>成果</w:t>
      </w:r>
      <w:r>
        <w:rPr>
          <w:rFonts w:hint="eastAsia" w:ascii="仿宋_GB2312" w:hAnsi="仿宋_GB2312" w:eastAsia="仿宋_GB2312" w:cs="仿宋_GB2312"/>
          <w:color w:val="auto"/>
          <w:sz w:val="32"/>
          <w:szCs w:val="32"/>
          <w:highlight w:val="none"/>
        </w:rPr>
        <w:t>推送的</w:t>
      </w:r>
      <w:r>
        <w:rPr>
          <w:rFonts w:ascii="仿宋_GB2312" w:hAnsi="仿宋_GB2312" w:eastAsia="仿宋_GB2312" w:cs="仿宋_GB2312"/>
          <w:color w:val="auto"/>
          <w:sz w:val="32"/>
          <w:szCs w:val="32"/>
          <w:highlight w:val="none"/>
        </w:rPr>
        <w:t>进度计划，监督计划的执行</w:t>
      </w:r>
      <w:r>
        <w:rPr>
          <w:rFonts w:hint="eastAsia" w:ascii="仿宋_GB2312" w:hAnsi="仿宋_GB2312" w:eastAsia="仿宋_GB2312" w:cs="仿宋_GB2312"/>
          <w:color w:val="auto"/>
          <w:sz w:val="32"/>
          <w:szCs w:val="32"/>
          <w:highlight w:val="none"/>
        </w:rPr>
        <w:t>情况</w:t>
      </w:r>
      <w:r>
        <w:rPr>
          <w:rFonts w:ascii="仿宋_GB2312" w:hAnsi="仿宋_GB2312" w:eastAsia="仿宋_GB2312" w:cs="仿宋_GB2312"/>
          <w:color w:val="auto"/>
          <w:sz w:val="32"/>
          <w:szCs w:val="32"/>
          <w:highlight w:val="none"/>
        </w:rPr>
        <w:t xml:space="preserve">。 </w:t>
      </w:r>
    </w:p>
    <w:p w14:paraId="6180466B">
      <w:pPr>
        <w:pStyle w:val="188"/>
        <w:numPr>
          <w:ilvl w:val="0"/>
          <w:numId w:val="2"/>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采用项目管理工具，如：WBS、甘特图等，确定项目</w:t>
      </w:r>
      <w:r>
        <w:rPr>
          <w:rFonts w:hint="eastAsia" w:ascii="仿宋_GB2312" w:hAnsi="仿宋_GB2312" w:eastAsia="仿宋_GB2312" w:cs="仿宋_GB2312"/>
          <w:color w:val="auto"/>
          <w:sz w:val="32"/>
          <w:szCs w:val="32"/>
          <w:highlight w:val="none"/>
        </w:rPr>
        <w:t>服务实施和成果推送</w:t>
      </w:r>
      <w:r>
        <w:rPr>
          <w:rFonts w:ascii="仿宋_GB2312" w:hAnsi="仿宋_GB2312" w:eastAsia="仿宋_GB2312" w:cs="仿宋_GB2312"/>
          <w:color w:val="auto"/>
          <w:sz w:val="32"/>
          <w:szCs w:val="32"/>
          <w:highlight w:val="none"/>
        </w:rPr>
        <w:t>的工序顺序，控制项目</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 xml:space="preserve">进度。 </w:t>
      </w:r>
    </w:p>
    <w:p w14:paraId="65AD3922">
      <w:pPr>
        <w:pStyle w:val="188"/>
        <w:numPr>
          <w:ilvl w:val="0"/>
          <w:numId w:val="2"/>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发现未能按计划进行时，要求调整或修改计划，采取必要措施，以使实际</w:t>
      </w:r>
      <w:r>
        <w:rPr>
          <w:rFonts w:hint="eastAsia" w:ascii="仿宋_GB2312" w:hAnsi="仿宋_GB2312" w:eastAsia="仿宋_GB2312" w:cs="仿宋_GB2312"/>
          <w:color w:val="auto"/>
          <w:sz w:val="32"/>
          <w:szCs w:val="32"/>
          <w:highlight w:val="none"/>
        </w:rPr>
        <w:t>实施</w:t>
      </w:r>
      <w:r>
        <w:rPr>
          <w:rFonts w:ascii="仿宋_GB2312" w:hAnsi="仿宋_GB2312" w:eastAsia="仿宋_GB2312" w:cs="仿宋_GB2312"/>
          <w:color w:val="auto"/>
          <w:sz w:val="32"/>
          <w:szCs w:val="32"/>
          <w:highlight w:val="none"/>
        </w:rPr>
        <w:t xml:space="preserve">进度符合合同的要求。 </w:t>
      </w:r>
    </w:p>
    <w:p w14:paraId="45063608">
      <w:pPr>
        <w:pStyle w:val="188"/>
        <w:numPr>
          <w:ilvl w:val="0"/>
          <w:numId w:val="2"/>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当进度拖后可能导致合同工期严重延误时，作详细报告分析原因和提出对策，供采购人采取措施或做出决定</w:t>
      </w:r>
      <w:r>
        <w:rPr>
          <w:rFonts w:hint="eastAsia" w:ascii="仿宋_GB2312" w:hAnsi="仿宋_GB2312" w:eastAsia="仿宋_GB2312" w:cs="仿宋_GB2312"/>
          <w:color w:val="auto"/>
          <w:sz w:val="32"/>
          <w:szCs w:val="32"/>
          <w:highlight w:val="none"/>
        </w:rPr>
        <w:t>，并要求服务中标单位采取赶工措施</w:t>
      </w:r>
      <w:r>
        <w:rPr>
          <w:rFonts w:ascii="仿宋_GB2312" w:hAnsi="仿宋_GB2312" w:eastAsia="仿宋_GB2312" w:cs="仿宋_GB2312"/>
          <w:color w:val="auto"/>
          <w:sz w:val="32"/>
          <w:szCs w:val="32"/>
          <w:highlight w:val="none"/>
        </w:rPr>
        <w:t xml:space="preserve">。 </w:t>
      </w:r>
    </w:p>
    <w:p w14:paraId="7202F1BD">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（3）投资</w:t>
      </w:r>
      <w:r>
        <w:rPr>
          <w:rFonts w:ascii="仿宋_GB2312" w:hAnsi="仿宋_GB2312" w:eastAsia="仿宋_GB2312" w:cs="仿宋_GB2312"/>
          <w:color w:val="auto"/>
          <w:sz w:val="32"/>
          <w:szCs w:val="32"/>
          <w:highlight w:val="none"/>
        </w:rPr>
        <w:t>控制</w:t>
      </w:r>
    </w:p>
    <w:p w14:paraId="0389F83E">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5199C7C1">
      <w:pPr>
        <w:pStyle w:val="188"/>
        <w:numPr>
          <w:ilvl w:val="0"/>
          <w:numId w:val="3"/>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动态管理跟踪项目</w:t>
      </w:r>
      <w:r>
        <w:rPr>
          <w:rFonts w:hint="eastAsia" w:ascii="仿宋_GB2312" w:hAnsi="仿宋_GB2312" w:eastAsia="仿宋_GB2312" w:cs="仿宋_GB2312"/>
          <w:color w:val="auto"/>
          <w:sz w:val="32"/>
          <w:szCs w:val="32"/>
          <w:highlight w:val="none"/>
        </w:rPr>
        <w:t>服务实施和成果推送的投资变动情况</w:t>
      </w:r>
      <w:r>
        <w:rPr>
          <w:rFonts w:ascii="仿宋_GB2312" w:hAnsi="仿宋_GB2312" w:eastAsia="仿宋_GB2312" w:cs="仿宋_GB2312"/>
          <w:color w:val="auto"/>
          <w:sz w:val="32"/>
          <w:szCs w:val="32"/>
          <w:highlight w:val="none"/>
        </w:rPr>
        <w:t xml:space="preserve">，进行成本、费用控制和分析。 </w:t>
      </w:r>
    </w:p>
    <w:p w14:paraId="06F66A00">
      <w:pPr>
        <w:pStyle w:val="188"/>
        <w:numPr>
          <w:ilvl w:val="0"/>
          <w:numId w:val="3"/>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严格控制和审查项目变更，核算</w:t>
      </w:r>
      <w:r>
        <w:rPr>
          <w:rFonts w:hint="eastAsia" w:ascii="仿宋_GB2312" w:hAnsi="仿宋_GB2312" w:eastAsia="仿宋_GB2312" w:cs="仿宋_GB2312"/>
          <w:color w:val="auto"/>
          <w:sz w:val="32"/>
          <w:szCs w:val="32"/>
          <w:highlight w:val="none"/>
        </w:rPr>
        <w:t>投资</w:t>
      </w:r>
      <w:r>
        <w:rPr>
          <w:rFonts w:ascii="仿宋_GB2312" w:hAnsi="仿宋_GB2312" w:eastAsia="仿宋_GB2312" w:cs="仿宋_GB2312"/>
          <w:color w:val="auto"/>
          <w:sz w:val="32"/>
          <w:szCs w:val="32"/>
          <w:highlight w:val="none"/>
        </w:rPr>
        <w:t>和变化量，报采购人审批。</w:t>
      </w:r>
    </w:p>
    <w:p w14:paraId="48A4D7ED">
      <w:pPr>
        <w:pStyle w:val="188"/>
        <w:numPr>
          <w:ilvl w:val="0"/>
          <w:numId w:val="3"/>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针对项目过程中的需求变更导致的费用增加，审核其合理性。</w:t>
      </w:r>
    </w:p>
    <w:p w14:paraId="51201393">
      <w:pPr>
        <w:pStyle w:val="188"/>
        <w:numPr>
          <w:ilvl w:val="0"/>
          <w:numId w:val="3"/>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审核服务中标单位的</w:t>
      </w:r>
      <w:r>
        <w:rPr>
          <w:rFonts w:hint="eastAsia" w:ascii="仿宋_GB2312" w:hAnsi="仿宋_GB2312" w:eastAsia="仿宋_GB2312" w:cs="仿宋_GB2312"/>
          <w:color w:val="auto"/>
          <w:sz w:val="32"/>
          <w:szCs w:val="32"/>
          <w:highlight w:val="none"/>
        </w:rPr>
        <w:t>服务及成果</w:t>
      </w:r>
      <w:r>
        <w:rPr>
          <w:rFonts w:ascii="仿宋_GB2312" w:hAnsi="仿宋_GB2312" w:eastAsia="仿宋_GB2312" w:cs="仿宋_GB2312"/>
          <w:color w:val="auto"/>
          <w:sz w:val="32"/>
          <w:szCs w:val="32"/>
          <w:highlight w:val="none"/>
        </w:rPr>
        <w:t>清单</w:t>
      </w:r>
      <w:r>
        <w:rPr>
          <w:rFonts w:hint="eastAsia" w:ascii="仿宋_GB2312" w:hAnsi="仿宋_GB2312" w:eastAsia="仿宋_GB2312" w:cs="仿宋_GB2312"/>
          <w:color w:val="auto"/>
          <w:sz w:val="32"/>
          <w:szCs w:val="32"/>
          <w:highlight w:val="none"/>
        </w:rPr>
        <w:t>，协助业主单位做好</w:t>
      </w:r>
      <w:r>
        <w:rPr>
          <w:rFonts w:ascii="仿宋_GB2312" w:hAnsi="仿宋_GB2312" w:eastAsia="仿宋_GB2312" w:cs="仿宋_GB2312"/>
          <w:color w:val="auto"/>
          <w:sz w:val="32"/>
          <w:szCs w:val="32"/>
          <w:highlight w:val="none"/>
        </w:rPr>
        <w:t>竣工结算。</w:t>
      </w:r>
    </w:p>
    <w:p w14:paraId="70B4844D">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变更控制</w:t>
      </w:r>
    </w:p>
    <w:p w14:paraId="21B0779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54437C83">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做好项目变更控制，对变更的初审以及对执行的变更进行过程的监督，召集服务中标单位和业主对变更进行分析，对变更结果进行评估。如水利部或相关行业业务规范发生变更，应主动要求服务中标单位按新规范和标准提供服务内容。</w:t>
      </w:r>
    </w:p>
    <w:p w14:paraId="3D846242">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ascii="仿宋_GB2312" w:hAnsi="仿宋_GB2312" w:eastAsia="仿宋_GB2312" w:cs="仿宋_GB2312"/>
          <w:color w:val="auto"/>
          <w:sz w:val="32"/>
          <w:szCs w:val="32"/>
          <w:highlight w:val="none"/>
        </w:rPr>
        <w:t>安全管理</w:t>
      </w:r>
    </w:p>
    <w:p w14:paraId="5ADEBE91">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7A590C57">
      <w:pPr>
        <w:pStyle w:val="188"/>
        <w:numPr>
          <w:ilvl w:val="0"/>
          <w:numId w:val="4"/>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检查督促服务中标单位建立、完善安全实施制度</w:t>
      </w:r>
      <w:r>
        <w:rPr>
          <w:rFonts w:hint="eastAsia" w:ascii="仿宋_GB2312" w:hAnsi="仿宋_GB2312" w:eastAsia="仿宋_GB2312" w:cs="仿宋_GB2312"/>
          <w:color w:val="auto"/>
          <w:sz w:val="32"/>
          <w:szCs w:val="32"/>
          <w:highlight w:val="none"/>
        </w:rPr>
        <w:t>，提交安全保密方案</w:t>
      </w:r>
      <w:r>
        <w:rPr>
          <w:rFonts w:ascii="仿宋_GB2312" w:hAnsi="仿宋_GB2312" w:eastAsia="仿宋_GB2312" w:cs="仿宋_GB2312"/>
          <w:color w:val="auto"/>
          <w:sz w:val="32"/>
          <w:szCs w:val="32"/>
          <w:highlight w:val="none"/>
        </w:rPr>
        <w:t xml:space="preserve">。 </w:t>
      </w:r>
    </w:p>
    <w:p w14:paraId="18EFC6F8">
      <w:pPr>
        <w:pStyle w:val="188"/>
        <w:numPr>
          <w:ilvl w:val="0"/>
          <w:numId w:val="4"/>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确立项目安全</w:t>
      </w:r>
      <w:r>
        <w:rPr>
          <w:rFonts w:hint="eastAsia" w:ascii="仿宋_GB2312" w:hAnsi="仿宋_GB2312" w:eastAsia="仿宋_GB2312" w:cs="仿宋_GB2312"/>
          <w:color w:val="auto"/>
          <w:sz w:val="32"/>
          <w:szCs w:val="32"/>
          <w:highlight w:val="none"/>
        </w:rPr>
        <w:t>泄密</w:t>
      </w:r>
      <w:r>
        <w:rPr>
          <w:rFonts w:ascii="仿宋_GB2312" w:hAnsi="仿宋_GB2312" w:eastAsia="仿宋_GB2312" w:cs="仿宋_GB2312"/>
          <w:color w:val="auto"/>
          <w:sz w:val="32"/>
          <w:szCs w:val="32"/>
          <w:highlight w:val="none"/>
        </w:rPr>
        <w:t xml:space="preserve">监督的工作目标。 </w:t>
      </w:r>
    </w:p>
    <w:p w14:paraId="7ABA944B">
      <w:pPr>
        <w:pStyle w:val="188"/>
        <w:numPr>
          <w:ilvl w:val="0"/>
          <w:numId w:val="4"/>
        </w:num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监督服务中标单位在服务实施过程中，做好</w:t>
      </w:r>
      <w:r>
        <w:rPr>
          <w:rFonts w:ascii="仿宋_GB2312" w:hAnsi="仿宋_GB2312" w:eastAsia="仿宋_GB2312" w:cs="仿宋_GB2312"/>
          <w:color w:val="auto"/>
          <w:sz w:val="32"/>
          <w:szCs w:val="32"/>
          <w:highlight w:val="none"/>
        </w:rPr>
        <w:t>所涉及的</w:t>
      </w:r>
      <w:r>
        <w:rPr>
          <w:rFonts w:hint="eastAsia" w:ascii="仿宋_GB2312" w:hAnsi="仿宋_GB2312" w:eastAsia="仿宋_GB2312" w:cs="仿宋_GB2312"/>
          <w:color w:val="auto"/>
          <w:sz w:val="32"/>
          <w:szCs w:val="32"/>
          <w:highlight w:val="none"/>
        </w:rPr>
        <w:t>水利</w:t>
      </w:r>
      <w:r>
        <w:rPr>
          <w:rFonts w:ascii="仿宋_GB2312" w:hAnsi="仿宋_GB2312" w:eastAsia="仿宋_GB2312" w:cs="仿宋_GB2312"/>
          <w:color w:val="auto"/>
          <w:sz w:val="32"/>
          <w:szCs w:val="32"/>
          <w:highlight w:val="none"/>
        </w:rPr>
        <w:t>数据和资料的安全保护</w:t>
      </w:r>
      <w:r>
        <w:rPr>
          <w:rFonts w:hint="eastAsia" w:ascii="仿宋_GB2312" w:hAnsi="仿宋_GB2312" w:eastAsia="仿宋_GB2312" w:cs="仿宋_GB2312"/>
          <w:color w:val="auto"/>
          <w:sz w:val="32"/>
          <w:szCs w:val="32"/>
          <w:highlight w:val="none"/>
        </w:rPr>
        <w:t>，避免数据泄露、泄密等数据安全事故的发生，</w:t>
      </w:r>
      <w:r>
        <w:rPr>
          <w:rFonts w:ascii="仿宋_GB2312" w:hAnsi="仿宋_GB2312" w:eastAsia="仿宋_GB2312" w:cs="仿宋_GB2312"/>
          <w:color w:val="auto"/>
          <w:sz w:val="32"/>
          <w:szCs w:val="32"/>
          <w:highlight w:val="none"/>
        </w:rPr>
        <w:t>确保</w:t>
      </w:r>
      <w:r>
        <w:rPr>
          <w:rFonts w:hint="eastAsia" w:ascii="仿宋_GB2312" w:hAnsi="仿宋_GB2312" w:eastAsia="仿宋_GB2312" w:cs="仿宋_GB2312"/>
          <w:color w:val="auto"/>
          <w:sz w:val="32"/>
          <w:szCs w:val="32"/>
          <w:highlight w:val="none"/>
        </w:rPr>
        <w:t>数据</w:t>
      </w:r>
      <w:r>
        <w:rPr>
          <w:rFonts w:ascii="仿宋_GB2312" w:hAnsi="仿宋_GB2312" w:eastAsia="仿宋_GB2312" w:cs="仿宋_GB2312"/>
          <w:color w:val="auto"/>
          <w:sz w:val="32"/>
          <w:szCs w:val="32"/>
          <w:highlight w:val="none"/>
        </w:rPr>
        <w:t>不被非授权使用。</w:t>
      </w:r>
    </w:p>
    <w:p w14:paraId="25743A1A">
      <w:pPr>
        <w:pStyle w:val="188"/>
        <w:numPr>
          <w:ilvl w:val="0"/>
          <w:numId w:val="4"/>
        </w:num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要求服务中标单位从人员安全、终端（场所）安全、数据安全三个方面严格落实数据安全管理工作。</w:t>
      </w:r>
    </w:p>
    <w:p w14:paraId="68413146">
      <w:pPr>
        <w:pStyle w:val="188"/>
        <w:numPr>
          <w:ilvl w:val="0"/>
          <w:numId w:val="4"/>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组织项目安全</w:t>
      </w:r>
      <w:r>
        <w:rPr>
          <w:rFonts w:hint="eastAsia" w:ascii="仿宋_GB2312" w:hAnsi="仿宋_GB2312" w:eastAsia="仿宋_GB2312" w:cs="仿宋_GB2312"/>
          <w:color w:val="auto"/>
          <w:sz w:val="32"/>
          <w:szCs w:val="32"/>
          <w:highlight w:val="none"/>
        </w:rPr>
        <w:t>泄密</w:t>
      </w:r>
      <w:r>
        <w:rPr>
          <w:rFonts w:ascii="仿宋_GB2312" w:hAnsi="仿宋_GB2312" w:eastAsia="仿宋_GB2312" w:cs="仿宋_GB2312"/>
          <w:color w:val="auto"/>
          <w:sz w:val="32"/>
          <w:szCs w:val="32"/>
          <w:highlight w:val="none"/>
        </w:rPr>
        <w:t>事故的调查与处理。</w:t>
      </w:r>
    </w:p>
    <w:p w14:paraId="1A42E6F5">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合同管理</w:t>
      </w:r>
    </w:p>
    <w:p w14:paraId="2AE0C0AB">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6256B7F9">
      <w:pPr>
        <w:pStyle w:val="188"/>
        <w:numPr>
          <w:ilvl w:val="0"/>
          <w:numId w:val="5"/>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跟踪检查合同的执行情况，确保</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单位按时履约；</w:t>
      </w:r>
    </w:p>
    <w:p w14:paraId="4A9E043F">
      <w:pPr>
        <w:pStyle w:val="188"/>
        <w:numPr>
          <w:ilvl w:val="0"/>
          <w:numId w:val="5"/>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对合同工期的延误和延期进行解释，协助采购人处理项目实施的每个过程出现的合同变更、违约、索赔、延期、分包、纠纷调解及仲裁等问题；</w:t>
      </w:r>
    </w:p>
    <w:p w14:paraId="1402E6F2">
      <w:pPr>
        <w:pStyle w:val="188"/>
        <w:numPr>
          <w:ilvl w:val="0"/>
          <w:numId w:val="5"/>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根据合同约定，对</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单位提交的付款申请，提出付款建议</w:t>
      </w:r>
      <w:r>
        <w:rPr>
          <w:rFonts w:hint="eastAsia" w:ascii="仿宋_GB2312" w:hAnsi="仿宋_GB2312" w:eastAsia="仿宋_GB2312" w:cs="仿宋_GB2312"/>
          <w:color w:val="auto"/>
          <w:sz w:val="32"/>
          <w:szCs w:val="32"/>
          <w:highlight w:val="none"/>
        </w:rPr>
        <w:t>。</w:t>
      </w:r>
    </w:p>
    <w:p w14:paraId="705C2F09">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ascii="仿宋_GB2312" w:hAnsi="仿宋_GB2312" w:eastAsia="仿宋_GB2312" w:cs="仿宋_GB2312"/>
          <w:color w:val="auto"/>
          <w:sz w:val="32"/>
          <w:szCs w:val="32"/>
          <w:highlight w:val="none"/>
        </w:rPr>
        <w:t>信息管理</w:t>
      </w:r>
    </w:p>
    <w:p w14:paraId="5664CF79">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4DCEA430">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及时向采购人提交反映项目动态和监理工作情况的项目文档，包括但不仅限于：项目月/季报、项目会议纪要、工作记录等，提供完善的文档管理和审批流程。 </w:t>
      </w:r>
    </w:p>
    <w:p w14:paraId="78F71ECD">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建立全面、准确反映项目各阶段工程状况的图表、文档，收集、管理项目各类文档和资料。 </w:t>
      </w:r>
    </w:p>
    <w:p w14:paraId="1ED772AF">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督促、检查服务中标单位及时完成各阶段</w:t>
      </w:r>
      <w:r>
        <w:rPr>
          <w:rFonts w:hint="eastAsia" w:ascii="仿宋_GB2312" w:hAnsi="仿宋_GB2312" w:eastAsia="仿宋_GB2312" w:cs="仿宋_GB2312"/>
          <w:color w:val="auto"/>
          <w:sz w:val="32"/>
          <w:szCs w:val="32"/>
          <w:highlight w:val="none"/>
        </w:rPr>
        <w:t>服务实施</w:t>
      </w:r>
      <w:r>
        <w:rPr>
          <w:rFonts w:ascii="仿宋_GB2312" w:hAnsi="仿宋_GB2312" w:eastAsia="仿宋_GB2312" w:cs="仿宋_GB2312"/>
          <w:color w:val="auto"/>
          <w:sz w:val="32"/>
          <w:szCs w:val="32"/>
          <w:highlight w:val="none"/>
        </w:rPr>
        <w:t xml:space="preserve">资料、技术资料的整理和归档工作。 </w:t>
      </w:r>
    </w:p>
    <w:p w14:paraId="4951F062">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转发采购人发出的一切指示、通知和业务联系单。 </w:t>
      </w:r>
    </w:p>
    <w:p w14:paraId="42D011C0">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采用图表、统计技术或其他先进的管理方法，定期公布项目质量、进度、成本数据，就项目中存在或出现的问题向采购人、</w:t>
      </w:r>
      <w:r>
        <w:rPr>
          <w:rFonts w:hint="eastAsia" w:ascii="仿宋_GB2312" w:hAnsi="仿宋_GB2312" w:eastAsia="仿宋_GB2312" w:cs="仿宋_GB2312"/>
          <w:color w:val="auto"/>
          <w:sz w:val="32"/>
          <w:szCs w:val="32"/>
          <w:highlight w:val="none"/>
        </w:rPr>
        <w:t>服务中标单位</w:t>
      </w:r>
      <w:r>
        <w:rPr>
          <w:rFonts w:ascii="仿宋_GB2312" w:hAnsi="仿宋_GB2312" w:eastAsia="仿宋_GB2312" w:cs="仿宋_GB2312"/>
          <w:color w:val="auto"/>
          <w:sz w:val="32"/>
          <w:szCs w:val="32"/>
          <w:highlight w:val="none"/>
        </w:rPr>
        <w:t xml:space="preserve">提出独立、公正的意见建议或解决方案。 </w:t>
      </w:r>
    </w:p>
    <w:p w14:paraId="19162724">
      <w:pPr>
        <w:pStyle w:val="188"/>
        <w:numPr>
          <w:ilvl w:val="0"/>
          <w:numId w:val="6"/>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负责编写项目建设监理报告及项目大事记，项目协调会、技术研讨会等各类会议的纪要，阶段性项目总结、阶段性项目监理总结、各类监理通知等，参与项目实施期间各类技术文件、合同执行过程中的各类往来文件及存档等的管理工作。 </w:t>
      </w:r>
    </w:p>
    <w:p w14:paraId="5FE5463A">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ascii="仿宋_GB2312" w:hAnsi="仿宋_GB2312" w:eastAsia="仿宋_GB2312" w:cs="仿宋_GB2312"/>
          <w:color w:val="auto"/>
          <w:sz w:val="32"/>
          <w:szCs w:val="32"/>
          <w:highlight w:val="none"/>
        </w:rPr>
        <w:t>组织协调</w:t>
      </w:r>
    </w:p>
    <w:p w14:paraId="3FAA78C1">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包括但不仅限于：</w:t>
      </w:r>
    </w:p>
    <w:p w14:paraId="208C5833">
      <w:pPr>
        <w:pStyle w:val="188"/>
        <w:numPr>
          <w:ilvl w:val="0"/>
          <w:numId w:val="7"/>
        </w:numPr>
        <w:spacing w:line="560" w:lineRule="exact"/>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确定</w:t>
      </w:r>
      <w:r>
        <w:rPr>
          <w:rFonts w:hint="eastAsia" w:ascii="仿宋_GB2312" w:hAnsi="仿宋_GB2312" w:eastAsia="仿宋_GB2312" w:cs="仿宋_GB2312"/>
          <w:color w:val="auto"/>
          <w:sz w:val="32"/>
          <w:szCs w:val="32"/>
          <w:highlight w:val="none"/>
        </w:rPr>
        <w:t>服务参与</w:t>
      </w:r>
      <w:r>
        <w:rPr>
          <w:rFonts w:ascii="仿宋_GB2312" w:hAnsi="仿宋_GB2312" w:eastAsia="仿宋_GB2312" w:cs="仿宋_GB2312"/>
          <w:color w:val="auto"/>
          <w:sz w:val="32"/>
          <w:szCs w:val="32"/>
          <w:highlight w:val="none"/>
        </w:rPr>
        <w:t xml:space="preserve">单位各方之间的工作范围和职责。 </w:t>
      </w:r>
    </w:p>
    <w:p w14:paraId="23CACE35">
      <w:pPr>
        <w:pStyle w:val="188"/>
        <w:numPr>
          <w:ilvl w:val="0"/>
          <w:numId w:val="7"/>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监督各方履行职责，协调各方的工作关系。 </w:t>
      </w:r>
    </w:p>
    <w:p w14:paraId="38BDA87D">
      <w:pPr>
        <w:pStyle w:val="188"/>
        <w:numPr>
          <w:ilvl w:val="0"/>
          <w:numId w:val="7"/>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 xml:space="preserve">建立畅通的沟通平台和沟通渠道，采取有效措施使项目信息在有关各方之间保持顺畅流通，积极协调项目各方之间的关系，推动项目实施过程中问题的解决。 </w:t>
      </w:r>
    </w:p>
    <w:p w14:paraId="6381E73F">
      <w:pPr>
        <w:pStyle w:val="188"/>
        <w:numPr>
          <w:ilvl w:val="0"/>
          <w:numId w:val="7"/>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rPr>
        <w:t>服务中标</w:t>
      </w:r>
      <w:r>
        <w:rPr>
          <w:rFonts w:ascii="仿宋_GB2312" w:hAnsi="仿宋_GB2312" w:eastAsia="仿宋_GB2312" w:cs="仿宋_GB2312"/>
          <w:color w:val="auto"/>
          <w:sz w:val="32"/>
          <w:szCs w:val="32"/>
          <w:highlight w:val="none"/>
        </w:rPr>
        <w:t>单位实施人员进行日常考核管理。</w:t>
      </w:r>
    </w:p>
    <w:p w14:paraId="462181CD">
      <w:pPr>
        <w:pStyle w:val="188"/>
        <w:numPr>
          <w:ilvl w:val="0"/>
          <w:numId w:val="7"/>
        </w:numPr>
        <w:spacing w:line="560" w:lineRule="exact"/>
        <w:ind w:left="0"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组织必要的会议，包括但不限于：项目协调会、项目例会、项目专题研讨会、项目问题通报会、项目阶段及最终验收会等。同时监理方还应积极参加以下会议：项目专家论证评审会、项目阶段工作总结会等，并根据采购人要求邀请相关行业专家参与论证评审。</w:t>
      </w:r>
    </w:p>
    <w:p w14:paraId="3A2D4310">
      <w:pPr>
        <w:spacing w:line="560" w:lineRule="exact"/>
        <w:ind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2.监理团队人员要求：</w:t>
      </w:r>
    </w:p>
    <w:p w14:paraId="0333A6A1">
      <w:pPr>
        <w:spacing w:line="560" w:lineRule="exact"/>
        <w:ind w:firstLine="64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为保证本次项目建设质量，拟投入本项目的监理团队至少配备</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人，其中总监理工程师1人(须同时具备信息系统监理师证书、</w:t>
      </w:r>
      <w:r>
        <w:rPr>
          <w:rFonts w:hint="eastAsia" w:ascii="仿宋_GB2312" w:hAnsi="仿宋_GB2312" w:eastAsia="仿宋_GB2312" w:cs="仿宋_GB2312"/>
          <w:color w:val="auto"/>
          <w:sz w:val="32"/>
          <w:szCs w:val="32"/>
          <w:highlight w:val="none"/>
        </w:rPr>
        <w:t>信息系统项目管理师、系统分析师资格证书</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现场监理工程师1人(须</w:t>
      </w:r>
      <w:r>
        <w:rPr>
          <w:rFonts w:ascii="仿宋_GB2312" w:hAnsi="仿宋_GB2312" w:eastAsia="仿宋_GB2312" w:cs="仿宋_GB2312"/>
          <w:color w:val="auto"/>
          <w:sz w:val="32"/>
          <w:szCs w:val="32"/>
          <w:highlight w:val="none"/>
        </w:rPr>
        <w:t>同时</w:t>
      </w:r>
      <w:r>
        <w:rPr>
          <w:rFonts w:ascii="仿宋_GB2312" w:hAnsi="仿宋_GB2312" w:eastAsia="仿宋_GB2312" w:cs="仿宋_GB2312"/>
          <w:color w:val="auto"/>
          <w:sz w:val="32"/>
          <w:szCs w:val="32"/>
          <w:highlight w:val="none"/>
        </w:rPr>
        <w:t>具备信息系统监理师证书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eastAsia="zh-CN"/>
        </w:rPr>
        <w:t>网络信息安全工程师</w:t>
      </w:r>
      <w:r>
        <w:rPr>
          <w:rFonts w:hint="eastAsia" w:ascii="仿宋_GB2312" w:hAnsi="仿宋_GB2312" w:eastAsia="仿宋_GB2312" w:cs="仿宋_GB2312"/>
          <w:color w:val="auto"/>
          <w:sz w:val="32"/>
          <w:szCs w:val="32"/>
          <w:highlight w:val="none"/>
          <w:u w:val="none"/>
        </w:rPr>
        <w:t>证书</w:t>
      </w:r>
      <w:r>
        <w:rPr>
          <w:rFonts w:ascii="仿宋_GB2312" w:hAnsi="仿宋_GB2312" w:eastAsia="仿宋_GB2312" w:cs="仿宋_GB2312"/>
          <w:color w:val="auto"/>
          <w:sz w:val="32"/>
          <w:szCs w:val="32"/>
          <w:highlight w:val="none"/>
        </w:rPr>
        <w:t>)。</w:t>
      </w:r>
      <w:bookmarkStart w:id="0" w:name="_GoBack"/>
      <w:bookmarkEnd w:id="0"/>
    </w:p>
    <w:p w14:paraId="7C38CCA5">
      <w:pPr>
        <w:spacing w:line="560" w:lineRule="exact"/>
        <w:ind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注：投标人在成交后3个工作日内需提供符合以上要求的人员证书原件以及投标人近六个月任意一个月（不含报价文件提交截止时间的当月）为其缴纳的职工养老保险缴费证明复印件并加盖公章确认核查，否则采购人有权不予以签订合同。</w:t>
      </w:r>
    </w:p>
    <w:p w14:paraId="7AF4072B">
      <w:pPr>
        <w:spacing w:line="560" w:lineRule="exact"/>
        <w:ind w:firstLine="643"/>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3.保密要求：</w:t>
      </w:r>
    </w:p>
    <w:p w14:paraId="00987266">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标人及其工作人员(无论今后是否离职)保证所对所获取的各类项目资料进行保密，签订保密协议，未经采购人允许不得将所获取的、以及监理服务期间所产生的项目信息资料对外泄露。中标人有义务对所聘用的工作人员进行保密教育，并承担其相关行为责任。</w:t>
      </w:r>
    </w:p>
    <w:p w14:paraId="3E82124B">
      <w:pPr>
        <w:spacing w:line="560" w:lineRule="exact"/>
        <w:ind w:firstLine="643"/>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（三）付款方式</w:t>
      </w:r>
    </w:p>
    <w:p w14:paraId="23DAA17F">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1.合同签订生效后，在收到成交人开具的等额增值税发票，达到付款条件起15个工作日内，采购人向成交人支付50%的合同款。</w:t>
      </w:r>
    </w:p>
    <w:p w14:paraId="204B70DA">
      <w:pPr>
        <w:spacing w:line="560" w:lineRule="exact"/>
        <w:ind w:firstLine="640"/>
        <w:rPr>
          <w:rFonts w:hint="eastAsia"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2.所监理的项目完成</w:t>
      </w:r>
      <w:r>
        <w:rPr>
          <w:rFonts w:hint="eastAsia" w:ascii="仿宋_GB2312" w:hAnsi="仿宋_GB2312" w:eastAsia="仿宋_GB2312" w:cs="仿宋_GB2312"/>
          <w:color w:val="auto"/>
          <w:sz w:val="32"/>
          <w:szCs w:val="32"/>
          <w:highlight w:val="none"/>
          <w:lang w:eastAsia="zh-CN"/>
        </w:rPr>
        <w:t>最</w:t>
      </w:r>
      <w:r>
        <w:rPr>
          <w:rFonts w:hint="eastAsia" w:ascii="仿宋_GB2312" w:hAnsi="仿宋_GB2312" w:eastAsia="仿宋_GB2312" w:cs="仿宋_GB2312"/>
          <w:color w:val="auto"/>
          <w:sz w:val="32"/>
          <w:szCs w:val="32"/>
          <w:highlight w:val="none"/>
        </w:rPr>
        <w:t>终验收，监理服务通过采购人组织的服务评价后，在收到成交人开具的等额增值税发票，达到付款条件起15个工作日内，采购人向成交人支付剩余的50%合同款。</w:t>
      </w:r>
    </w:p>
    <w:p w14:paraId="34C8321E">
      <w:pPr>
        <w:spacing w:line="560" w:lineRule="exact"/>
        <w:ind w:firstLine="64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三、报价与最高限价</w:t>
      </w:r>
    </w:p>
    <w:p w14:paraId="705C1BC2">
      <w:pPr>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本项目最高限价为</w:t>
      </w:r>
      <w:r>
        <w:rPr>
          <w:rFonts w:hint="eastAsia" w:ascii="Times New Roman" w:hAnsi="Times New Roman" w:eastAsia="仿宋_GB2312" w:cs="Times New Roman"/>
          <w:color w:val="auto"/>
          <w:sz w:val="32"/>
          <w:szCs w:val="32"/>
          <w:highlight w:val="none"/>
          <w:lang w:val="en-US" w:eastAsia="zh-CN"/>
        </w:rPr>
        <w:t>2.27</w:t>
      </w:r>
      <w:r>
        <w:rPr>
          <w:rFonts w:hint="eastAsia" w:ascii="仿宋_GB2312" w:hAnsi="仿宋_GB2312" w:eastAsia="仿宋_GB2312" w:cs="仿宋_GB2312"/>
          <w:color w:val="auto"/>
          <w:sz w:val="32"/>
          <w:szCs w:val="32"/>
          <w:highlight w:val="none"/>
        </w:rPr>
        <w:t>万元，按照最低价方式中标。投标人所报总价应包含本监理项目所涉及的所有监理服务相关费用。</w:t>
      </w:r>
    </w:p>
    <w:p w14:paraId="4FFAF92C">
      <w:pPr>
        <w:pStyle w:val="31"/>
        <w:rPr>
          <w:rFonts w:ascii="仿宋_GB2312" w:hAnsi="仿宋_GB2312" w:eastAsia="仿宋_GB2312" w:cs="仿宋_GB2312"/>
          <w:color w:val="auto"/>
          <w:highlight w:val="none"/>
        </w:rPr>
      </w:pPr>
    </w:p>
    <w:p w14:paraId="4B1E7FED">
      <w:pPr>
        <w:rPr>
          <w:rFonts w:ascii="仿宋_GB2312" w:hAnsi="仿宋_GB2312" w:eastAsia="仿宋_GB2312" w:cs="仿宋_GB2312"/>
          <w:color w:val="auto"/>
          <w:sz w:val="32"/>
          <w:szCs w:val="32"/>
          <w:highlight w:val="none"/>
        </w:rPr>
      </w:pPr>
    </w:p>
    <w:p w14:paraId="602C5CF2">
      <w:pPr>
        <w:rPr>
          <w:rFonts w:ascii="仿宋_GB2312" w:hAnsi="仿宋_GB2312" w:eastAsia="仿宋_GB2312" w:cs="仿宋_GB2312"/>
          <w:color w:val="auto"/>
          <w:highlight w:val="none"/>
        </w:rPr>
      </w:pPr>
      <w:r>
        <w:rPr>
          <w:rFonts w:ascii="仿宋_GB2312" w:hAnsi="仿宋_GB2312" w:eastAsia="仿宋_GB2312" w:cs="仿宋_GB2312"/>
          <w:color w:val="auto"/>
          <w:highlight w:val="none"/>
        </w:rPr>
        <w:br w:type="page" w:clear="all"/>
      </w:r>
    </w:p>
    <w:p w14:paraId="35678056">
      <w:pPr>
        <w:rPr>
          <w:rFonts w:hint="eastAsia"/>
          <w:color w:val="auto"/>
          <w:highlight w:val="none"/>
        </w:rPr>
      </w:pPr>
    </w:p>
    <w:p w14:paraId="02932DB5">
      <w:pPr>
        <w:rPr>
          <w:rFonts w:ascii="仿宋_GB2312" w:hAnsi="仿宋_GB2312" w:eastAsia="仿宋_GB2312" w:cs="仿宋_GB2312"/>
          <w:color w:val="auto"/>
          <w:sz w:val="32"/>
          <w:szCs w:val="32"/>
          <w:highlight w:val="none"/>
        </w:rPr>
      </w:pPr>
    </w:p>
    <w:p w14:paraId="263F5185">
      <w:pPr>
        <w:pStyle w:val="30"/>
        <w:widowControl/>
        <w:spacing w:beforeAutospacing="0" w:afterAutospacing="0" w:line="560" w:lineRule="exac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w:t>
      </w:r>
    </w:p>
    <w:p w14:paraId="78A17120">
      <w:pPr>
        <w:pStyle w:val="30"/>
        <w:widowControl/>
        <w:spacing w:beforeAutospacing="0" w:afterAutospacing="0" w:line="56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监理服务评价</w:t>
      </w:r>
    </w:p>
    <w:p w14:paraId="6CE67E44">
      <w:pPr>
        <w:pStyle w:val="30"/>
        <w:widowControl/>
        <w:spacing w:beforeAutospacing="0" w:afterAutospacing="0" w:line="560" w:lineRule="exact"/>
        <w:ind w:firstLine="640"/>
        <w:jc w:val="both"/>
        <w:rPr>
          <w:rFonts w:hint="eastAsia" w:ascii="黑体" w:hAnsi="黑体" w:eastAsia="黑体" w:cs="黑体"/>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rPr>
        <w:t>考核办法满分为100分，由采购人结合工作实际，给予工作服务考核。该分数将作为合同款支付的依据。考核分数90-100分，支付100%合同款；考核分数80-89分，支付85%合同款；考核分数低于70-79分，支付70%合同款；考核分数低于70分的视为验收不合格，中标人赔付采购人30%合同款的违约金。</w:t>
      </w:r>
    </w:p>
    <w:p w14:paraId="16D4C6DA">
      <w:pPr>
        <w:pStyle w:val="30"/>
        <w:widowControl/>
        <w:spacing w:beforeAutospacing="0" w:afterAutospacing="0" w:line="480" w:lineRule="atLeast"/>
        <w:jc w:val="center"/>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监理工作考核表</w:t>
      </w:r>
    </w:p>
    <w:tbl>
      <w:tblPr>
        <w:tblStyle w:val="33"/>
        <w:tblW w:w="9305" w:type="dxa"/>
        <w:tblInd w:w="-257" w:type="dxa"/>
        <w:tblLayout w:type="autofit"/>
        <w:tblCellMar>
          <w:top w:w="0" w:type="dxa"/>
          <w:left w:w="108" w:type="dxa"/>
          <w:bottom w:w="0" w:type="dxa"/>
          <w:right w:w="108" w:type="dxa"/>
        </w:tblCellMar>
      </w:tblPr>
      <w:tblGrid>
        <w:gridCol w:w="660"/>
        <w:gridCol w:w="1850"/>
        <w:gridCol w:w="2026"/>
        <w:gridCol w:w="3767"/>
        <w:gridCol w:w="990"/>
        <w:gridCol w:w="12"/>
      </w:tblGrid>
      <w:tr w14:paraId="212E8E77">
        <w:tblPrEx>
          <w:tblCellMar>
            <w:top w:w="0" w:type="dxa"/>
            <w:left w:w="108" w:type="dxa"/>
            <w:bottom w:w="0" w:type="dxa"/>
            <w:right w:w="108" w:type="dxa"/>
          </w:tblCellMar>
        </w:tblPrEx>
        <w:trPr>
          <w:gridAfter w:val="1"/>
          <w:wAfter w:w="12" w:type="dxa"/>
          <w:trHeight w:val="270" w:hRule="atLeast"/>
          <w:tblHeader/>
        </w:trPr>
        <w:tc>
          <w:tcPr>
            <w:tcW w:w="660" w:type="dxa"/>
            <w:tcBorders>
              <w:top w:val="single" w:color="000000" w:sz="4" w:space="0"/>
              <w:left w:val="single" w:color="000000" w:sz="4" w:space="0"/>
              <w:bottom w:val="single" w:color="000000" w:sz="4" w:space="0"/>
              <w:right w:val="single" w:color="000000" w:sz="4" w:space="0"/>
            </w:tcBorders>
            <w:vAlign w:val="center"/>
          </w:tcPr>
          <w:p w14:paraId="63CC3B91">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序号</w:t>
            </w:r>
          </w:p>
        </w:tc>
        <w:tc>
          <w:tcPr>
            <w:tcW w:w="1850" w:type="dxa"/>
            <w:tcBorders>
              <w:top w:val="single" w:color="000000" w:sz="4" w:space="0"/>
              <w:left w:val="single" w:color="000000" w:sz="4" w:space="0"/>
              <w:bottom w:val="single" w:color="000000" w:sz="4" w:space="0"/>
              <w:right w:val="single" w:color="000000" w:sz="4" w:space="0"/>
            </w:tcBorders>
            <w:vAlign w:val="center"/>
          </w:tcPr>
          <w:p w14:paraId="53553402">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考核项目</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36D3F9C5">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考核评分标准</w:t>
            </w:r>
          </w:p>
        </w:tc>
        <w:tc>
          <w:tcPr>
            <w:tcW w:w="990" w:type="dxa"/>
            <w:tcBorders>
              <w:top w:val="single" w:color="000000" w:sz="4" w:space="0"/>
              <w:left w:val="single" w:color="000000" w:sz="4" w:space="0"/>
              <w:bottom w:val="single" w:color="000000" w:sz="4" w:space="0"/>
              <w:right w:val="single" w:color="000000" w:sz="4" w:space="0"/>
            </w:tcBorders>
            <w:vAlign w:val="center"/>
          </w:tcPr>
          <w:p w14:paraId="306F66F0">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分值</w:t>
            </w:r>
          </w:p>
        </w:tc>
      </w:tr>
      <w:tr w14:paraId="246E610D">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1468C0C1">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14:paraId="54FA94CF">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服务团队人员考核（30分）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094BA0C5">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合同签订3天内服务团队人员未足量到位开展监理工作的扣10分（满分10分）</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04299155">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30</w:t>
            </w:r>
          </w:p>
        </w:tc>
      </w:tr>
      <w:tr w14:paraId="6C871FF2">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A456BF8">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39B41D20">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2D038CF9">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未经采购人同意，随意调换监理人员的扣2分/人，扣完为止（满分10分）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036CF0CD">
            <w:pPr>
              <w:jc w:val="center"/>
              <w:rPr>
                <w:rFonts w:hint="eastAsia" w:ascii="仿宋" w:hAnsi="仿宋" w:eastAsia="仿宋" w:cs="宋体"/>
                <w:color w:val="auto"/>
                <w:sz w:val="24"/>
                <w:highlight w:val="none"/>
              </w:rPr>
            </w:pPr>
          </w:p>
        </w:tc>
      </w:tr>
      <w:tr w14:paraId="35FB1DA0">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01935A3">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14E14B19">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2D6AEC5F">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采购人对服务人员工作情况和工作满意度打分（满分10分）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D47D9F5">
            <w:pPr>
              <w:jc w:val="center"/>
              <w:rPr>
                <w:rFonts w:hint="eastAsia" w:ascii="仿宋" w:hAnsi="仿宋" w:eastAsia="仿宋" w:cs="宋体"/>
                <w:color w:val="auto"/>
                <w:sz w:val="24"/>
                <w:highlight w:val="none"/>
              </w:rPr>
            </w:pPr>
          </w:p>
        </w:tc>
      </w:tr>
      <w:tr w14:paraId="6B5FAE08">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161C67FF">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2</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14:paraId="37F24570">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质量控制（20分）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361595EB">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未发现服务成果与服务招标文件要求不相符的，每1项扣1分，扣完为止（满分5分）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392146AF">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20</w:t>
            </w:r>
          </w:p>
        </w:tc>
      </w:tr>
      <w:tr w14:paraId="2848F569">
        <w:tblPrEx>
          <w:tblCellMar>
            <w:top w:w="0" w:type="dxa"/>
            <w:left w:w="108" w:type="dxa"/>
            <w:bottom w:w="0" w:type="dxa"/>
            <w:right w:w="108" w:type="dxa"/>
          </w:tblCellMar>
        </w:tblPrEx>
        <w:trPr>
          <w:gridAfter w:val="1"/>
          <w:wAfter w:w="12" w:type="dxa"/>
          <w:trHeight w:val="68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2D7346A4">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3D893541">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311A1616">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对关键节点开展旁站监理工作并形成监理旁站记录，未到场1次扣1分，扣完为止（满分5分）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6436B29">
            <w:pPr>
              <w:jc w:val="center"/>
              <w:rPr>
                <w:rFonts w:hint="eastAsia" w:ascii="仿宋" w:hAnsi="仿宋" w:eastAsia="仿宋" w:cs="宋体"/>
                <w:color w:val="auto"/>
                <w:sz w:val="24"/>
                <w:highlight w:val="none"/>
              </w:rPr>
            </w:pPr>
          </w:p>
        </w:tc>
      </w:tr>
      <w:tr w14:paraId="541D93D2">
        <w:tblPrEx>
          <w:tblCellMar>
            <w:top w:w="0" w:type="dxa"/>
            <w:left w:w="108" w:type="dxa"/>
            <w:bottom w:w="0" w:type="dxa"/>
            <w:right w:w="108" w:type="dxa"/>
          </w:tblCellMar>
        </w:tblPrEx>
        <w:trPr>
          <w:gridAfter w:val="1"/>
          <w:wAfter w:w="12" w:type="dxa"/>
          <w:trHeight w:val="62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3F72439B">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5DB5A74D">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28CBE155">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经审核签认的验收文档资料，存在与福建省水利厅等有关验收要求存在偏差的，每发现一处扣1分（满分5分）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BEE666C">
            <w:pPr>
              <w:jc w:val="center"/>
              <w:rPr>
                <w:rFonts w:hint="eastAsia" w:ascii="仿宋" w:hAnsi="仿宋" w:eastAsia="仿宋" w:cs="宋体"/>
                <w:color w:val="auto"/>
                <w:sz w:val="24"/>
                <w:highlight w:val="none"/>
              </w:rPr>
            </w:pPr>
          </w:p>
        </w:tc>
      </w:tr>
      <w:tr w14:paraId="09A731BB">
        <w:tblPrEx>
          <w:tblCellMar>
            <w:top w:w="0" w:type="dxa"/>
            <w:left w:w="108" w:type="dxa"/>
            <w:bottom w:w="0" w:type="dxa"/>
            <w:right w:w="108" w:type="dxa"/>
          </w:tblCellMar>
        </w:tblPrEx>
        <w:trPr>
          <w:gridAfter w:val="1"/>
          <w:wAfter w:w="12" w:type="dxa"/>
          <w:trHeight w:val="72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BF0A511">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31D191BC">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460E7765">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未及时有效开展最终验收问题整改监理工作的扣5分（满分5分）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2BD59A2">
            <w:pPr>
              <w:jc w:val="center"/>
              <w:rPr>
                <w:rFonts w:hint="eastAsia" w:ascii="仿宋" w:hAnsi="仿宋" w:eastAsia="仿宋" w:cs="宋体"/>
                <w:color w:val="auto"/>
                <w:sz w:val="24"/>
                <w:highlight w:val="none"/>
              </w:rPr>
            </w:pPr>
          </w:p>
        </w:tc>
      </w:tr>
      <w:tr w14:paraId="4C1AD4CB">
        <w:tblPrEx>
          <w:tblCellMar>
            <w:top w:w="0" w:type="dxa"/>
            <w:left w:w="108" w:type="dxa"/>
            <w:bottom w:w="0" w:type="dxa"/>
            <w:right w:w="108" w:type="dxa"/>
          </w:tblCellMar>
        </w:tblPrEx>
        <w:trPr>
          <w:gridAfter w:val="1"/>
          <w:wAfter w:w="12" w:type="dxa"/>
          <w:trHeight w:val="810"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1AC3C90F">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3</w:t>
            </w:r>
          </w:p>
        </w:tc>
        <w:tc>
          <w:tcPr>
            <w:tcW w:w="1850" w:type="dxa"/>
            <w:tcBorders>
              <w:top w:val="single" w:color="000000" w:sz="4" w:space="0"/>
              <w:left w:val="single" w:color="000000" w:sz="4" w:space="0"/>
              <w:bottom w:val="single" w:color="000000" w:sz="4" w:space="0"/>
              <w:right w:val="single" w:color="000000" w:sz="4" w:space="0"/>
            </w:tcBorders>
            <w:vAlign w:val="center"/>
          </w:tcPr>
          <w:p w14:paraId="1A5507A4">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进度控制（10分）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5B4ECB49">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未及时提交年度监理报告、实施进度对照表或对实施进度计划出现偏差而无分析调整建议的，每发现1次扣5分（满分10分）</w:t>
            </w:r>
          </w:p>
        </w:tc>
        <w:tc>
          <w:tcPr>
            <w:tcW w:w="990" w:type="dxa"/>
            <w:tcBorders>
              <w:top w:val="single" w:color="000000" w:sz="4" w:space="0"/>
              <w:left w:val="single" w:color="000000" w:sz="4" w:space="0"/>
              <w:bottom w:val="single" w:color="000000" w:sz="4" w:space="0"/>
              <w:right w:val="single" w:color="000000" w:sz="4" w:space="0"/>
            </w:tcBorders>
            <w:vAlign w:val="center"/>
          </w:tcPr>
          <w:p w14:paraId="0990816B">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10</w:t>
            </w:r>
          </w:p>
        </w:tc>
      </w:tr>
      <w:tr w14:paraId="00E1918E">
        <w:tblPrEx>
          <w:tblCellMar>
            <w:top w:w="0" w:type="dxa"/>
            <w:left w:w="108" w:type="dxa"/>
            <w:bottom w:w="0" w:type="dxa"/>
            <w:right w:w="108" w:type="dxa"/>
          </w:tblCellMar>
        </w:tblPrEx>
        <w:trPr>
          <w:gridAfter w:val="1"/>
          <w:wAfter w:w="12" w:type="dxa"/>
          <w:trHeight w:val="309"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67CCB699">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4</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14:paraId="39890F2E">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投资和变更控制（10分）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6A92F3D6">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未及时审核签发工程款支付意见的，每次扣1分（满分5分）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759D6681">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10</w:t>
            </w:r>
          </w:p>
        </w:tc>
      </w:tr>
      <w:tr w14:paraId="55DCFAA6">
        <w:tblPrEx>
          <w:tblCellMar>
            <w:top w:w="0" w:type="dxa"/>
            <w:left w:w="108" w:type="dxa"/>
            <w:bottom w:w="0" w:type="dxa"/>
            <w:right w:w="108" w:type="dxa"/>
          </w:tblCellMar>
        </w:tblPrEx>
        <w:trPr>
          <w:gridAfter w:val="1"/>
          <w:wAfter w:w="12" w:type="dxa"/>
          <w:trHeight w:val="98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5C824D7D">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513F80C3">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64D46FEB">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未及时发现工程变更情况并组织采购人、服务中标单位协商沟通形成工程备忘录的，每次扣1分（满分5分）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53A2F7E">
            <w:pPr>
              <w:jc w:val="center"/>
              <w:rPr>
                <w:rFonts w:hint="eastAsia" w:ascii="仿宋" w:hAnsi="仿宋" w:eastAsia="仿宋" w:cs="宋体"/>
                <w:color w:val="auto"/>
                <w:sz w:val="24"/>
                <w:highlight w:val="none"/>
              </w:rPr>
            </w:pPr>
          </w:p>
        </w:tc>
      </w:tr>
      <w:tr w14:paraId="28C4FE7F">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16155A1E">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5</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14:paraId="559D17FD">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合同和信息管理（10分）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05233CEF">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未及时协调合同纠纷，并出具监理意见的，每次扣1分（满分5分）</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54040067">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10</w:t>
            </w:r>
          </w:p>
        </w:tc>
      </w:tr>
      <w:tr w14:paraId="674940F5">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037993BB">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2384EBF2">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7E559F23">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项目文档存在资料不齐全、分类不清晰、内容不规范的，每发现1份扣1分，扣完为止（满分5分）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91CC5E9">
            <w:pPr>
              <w:jc w:val="center"/>
              <w:rPr>
                <w:rFonts w:hint="eastAsia" w:ascii="仿宋" w:hAnsi="仿宋" w:eastAsia="仿宋" w:cs="宋体"/>
                <w:color w:val="auto"/>
                <w:sz w:val="24"/>
                <w:highlight w:val="none"/>
              </w:rPr>
            </w:pPr>
          </w:p>
        </w:tc>
      </w:tr>
      <w:tr w14:paraId="7B0D5061">
        <w:tblPrEx>
          <w:tblCellMar>
            <w:top w:w="0" w:type="dxa"/>
            <w:left w:w="108" w:type="dxa"/>
            <w:bottom w:w="0" w:type="dxa"/>
            <w:right w:w="108" w:type="dxa"/>
          </w:tblCellMar>
        </w:tblPrEx>
        <w:trPr>
          <w:gridAfter w:val="1"/>
          <w:wAfter w:w="12" w:type="dxa"/>
          <w:trHeight w:val="540" w:hRule="atLeast"/>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37F965CE">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6</w:t>
            </w:r>
          </w:p>
        </w:tc>
        <w:tc>
          <w:tcPr>
            <w:tcW w:w="1850" w:type="dxa"/>
            <w:vMerge w:val="restart"/>
            <w:tcBorders>
              <w:top w:val="single" w:color="000000" w:sz="4" w:space="0"/>
              <w:left w:val="single" w:color="000000" w:sz="4" w:space="0"/>
              <w:bottom w:val="single" w:color="000000" w:sz="4" w:space="0"/>
              <w:right w:val="single" w:color="000000" w:sz="4" w:space="0"/>
            </w:tcBorders>
            <w:vAlign w:val="center"/>
          </w:tcPr>
          <w:p w14:paraId="0CE900D1">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组织协调(10分)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6A21A116">
            <w:pPr>
              <w:widowControl/>
              <w:jc w:val="left"/>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未及时召开监理例会、专题会议的，每次扣1分，扣完为止（满分5分）</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6D7C4A92">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10</w:t>
            </w:r>
          </w:p>
        </w:tc>
      </w:tr>
      <w:tr w14:paraId="17571511">
        <w:tblPrEx>
          <w:tblCellMar>
            <w:top w:w="0" w:type="dxa"/>
            <w:left w:w="108" w:type="dxa"/>
            <w:bottom w:w="0" w:type="dxa"/>
            <w:right w:w="108" w:type="dxa"/>
          </w:tblCellMar>
        </w:tblPrEx>
        <w:trPr>
          <w:gridAfter w:val="1"/>
          <w:wAfter w:w="12" w:type="dxa"/>
          <w:trHeight w:val="540" w:hRule="atLeast"/>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77CDB312">
            <w:pPr>
              <w:jc w:val="center"/>
              <w:rPr>
                <w:rFonts w:hint="eastAsia" w:ascii="仿宋" w:hAnsi="仿宋" w:eastAsia="仿宋" w:cs="宋体"/>
                <w:color w:val="auto"/>
                <w:sz w:val="24"/>
                <w:highlight w:val="none"/>
              </w:rPr>
            </w:pPr>
          </w:p>
        </w:tc>
        <w:tc>
          <w:tcPr>
            <w:tcW w:w="1850" w:type="dxa"/>
            <w:vMerge w:val="continue"/>
            <w:tcBorders>
              <w:top w:val="single" w:color="000000" w:sz="4" w:space="0"/>
              <w:left w:val="single" w:color="000000" w:sz="4" w:space="0"/>
              <w:bottom w:val="single" w:color="000000" w:sz="4" w:space="0"/>
              <w:right w:val="single" w:color="000000" w:sz="4" w:space="0"/>
            </w:tcBorders>
            <w:vAlign w:val="center"/>
          </w:tcPr>
          <w:p w14:paraId="769CE841">
            <w:pPr>
              <w:jc w:val="center"/>
              <w:rPr>
                <w:rFonts w:hint="eastAsia" w:ascii="仿宋" w:hAnsi="仿宋" w:eastAsia="仿宋" w:cs="宋体"/>
                <w:color w:val="auto"/>
                <w:sz w:val="24"/>
                <w:highlight w:val="none"/>
              </w:rPr>
            </w:pP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60D18A5D">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lang w:bidi="ar"/>
              </w:rPr>
              <w:t>未及时开展沟通协调工作并形成工程备忘录的，每次扣1分（满分5分）</w:t>
            </w: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03B3C2E">
            <w:pPr>
              <w:jc w:val="center"/>
              <w:rPr>
                <w:rFonts w:hint="eastAsia" w:ascii="仿宋" w:hAnsi="仿宋" w:eastAsia="仿宋" w:cs="宋体"/>
                <w:color w:val="auto"/>
                <w:sz w:val="24"/>
                <w:highlight w:val="none"/>
              </w:rPr>
            </w:pPr>
          </w:p>
        </w:tc>
      </w:tr>
      <w:tr w14:paraId="694B9171">
        <w:tblPrEx>
          <w:tblCellMar>
            <w:top w:w="0" w:type="dxa"/>
            <w:left w:w="108" w:type="dxa"/>
            <w:bottom w:w="0" w:type="dxa"/>
            <w:right w:w="108" w:type="dxa"/>
          </w:tblCellMar>
        </w:tblPrEx>
        <w:trPr>
          <w:gridAfter w:val="1"/>
          <w:wAfter w:w="12" w:type="dxa"/>
          <w:trHeight w:val="540"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7E5F7493">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7</w:t>
            </w:r>
          </w:p>
        </w:tc>
        <w:tc>
          <w:tcPr>
            <w:tcW w:w="1850" w:type="dxa"/>
            <w:tcBorders>
              <w:top w:val="single" w:color="000000" w:sz="4" w:space="0"/>
              <w:left w:val="single" w:color="000000" w:sz="4" w:space="0"/>
              <w:bottom w:val="single" w:color="000000" w:sz="4" w:space="0"/>
              <w:right w:val="single" w:color="000000" w:sz="4" w:space="0"/>
            </w:tcBorders>
            <w:vAlign w:val="center"/>
          </w:tcPr>
          <w:p w14:paraId="39AF857C">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服务管理（10分）</w:t>
            </w:r>
          </w:p>
        </w:tc>
        <w:tc>
          <w:tcPr>
            <w:tcW w:w="5793" w:type="dxa"/>
            <w:gridSpan w:val="2"/>
            <w:tcBorders>
              <w:top w:val="single" w:color="000000" w:sz="4" w:space="0"/>
              <w:left w:val="single" w:color="000000" w:sz="4" w:space="0"/>
              <w:bottom w:val="single" w:color="000000" w:sz="4" w:space="0"/>
              <w:right w:val="single" w:color="000000" w:sz="4" w:space="0"/>
            </w:tcBorders>
            <w:vAlign w:val="center"/>
          </w:tcPr>
          <w:p w14:paraId="1B3D8666">
            <w:pPr>
              <w:widowControl/>
              <w:jc w:val="left"/>
              <w:rPr>
                <w:rFonts w:hint="eastAsia" w:ascii="仿宋" w:hAnsi="仿宋" w:eastAsia="仿宋" w:cs="宋体"/>
                <w:color w:val="auto"/>
                <w:sz w:val="24"/>
                <w:highlight w:val="none"/>
              </w:rPr>
            </w:pPr>
            <w:r>
              <w:rPr>
                <w:rFonts w:ascii="仿宋" w:hAnsi="仿宋" w:eastAsia="仿宋" w:cs="宋体"/>
                <w:color w:val="auto"/>
                <w:sz w:val="24"/>
                <w:highlight w:val="none"/>
                <w:lang w:bidi="ar"/>
              </w:rPr>
              <w:t>每月对中标单位日常服务响应、月度服务的服务落实情况进行评价与考核，在本项目服务期结束前当月对中标单位进行年度服务</w:t>
            </w:r>
            <w:r>
              <w:rPr>
                <w:rFonts w:ascii="仿宋" w:hAnsi="仿宋" w:eastAsia="仿宋" w:cs="宋体"/>
                <w:color w:val="auto"/>
                <w:sz w:val="24"/>
                <w:highlight w:val="none"/>
              </w:rPr>
              <w:t>评价与考核，</w:t>
            </w:r>
            <w:r>
              <w:rPr>
                <w:rFonts w:ascii="仿宋" w:hAnsi="仿宋" w:eastAsia="仿宋" w:cs="宋体"/>
                <w:color w:val="auto"/>
                <w:sz w:val="24"/>
                <w:highlight w:val="none"/>
                <w:lang w:bidi="ar"/>
              </w:rPr>
              <w:t>形成评价与考核建议，每缺少1次扣1分（满分10分）</w:t>
            </w:r>
          </w:p>
        </w:tc>
        <w:tc>
          <w:tcPr>
            <w:tcW w:w="990" w:type="dxa"/>
            <w:tcBorders>
              <w:top w:val="single" w:color="000000" w:sz="4" w:space="0"/>
              <w:left w:val="single" w:color="000000" w:sz="4" w:space="0"/>
              <w:bottom w:val="single" w:color="000000" w:sz="4" w:space="0"/>
              <w:right w:val="single" w:color="000000" w:sz="4" w:space="0"/>
            </w:tcBorders>
            <w:vAlign w:val="center"/>
          </w:tcPr>
          <w:p w14:paraId="58D46D48">
            <w:pPr>
              <w:widowControl/>
              <w:jc w:val="center"/>
              <w:rPr>
                <w:rFonts w:hint="eastAsia" w:ascii="仿宋" w:hAnsi="仿宋" w:eastAsia="仿宋" w:cs="宋体"/>
                <w:color w:val="auto"/>
                <w:sz w:val="24"/>
                <w:highlight w:val="none"/>
              </w:rPr>
            </w:pPr>
            <w:r>
              <w:rPr>
                <w:rFonts w:hint="eastAsia" w:ascii="仿宋" w:hAnsi="仿宋" w:eastAsia="仿宋" w:cs="宋体"/>
                <w:color w:val="auto"/>
                <w:sz w:val="24"/>
                <w:szCs w:val="24"/>
                <w:highlight w:val="none"/>
                <w:lang w:bidi="ar"/>
              </w:rPr>
              <w:t>10</w:t>
            </w:r>
          </w:p>
        </w:tc>
      </w:tr>
      <w:tr w14:paraId="7145274F">
        <w:tblPrEx>
          <w:tblCellMar>
            <w:top w:w="0" w:type="dxa"/>
            <w:left w:w="108" w:type="dxa"/>
            <w:bottom w:w="0" w:type="dxa"/>
            <w:right w:w="108" w:type="dxa"/>
          </w:tblCellMar>
        </w:tblPrEx>
        <w:trPr>
          <w:gridAfter w:val="1"/>
          <w:wAfter w:w="12" w:type="dxa"/>
          <w:trHeight w:val="270" w:hRule="atLeast"/>
        </w:trPr>
        <w:tc>
          <w:tcPr>
            <w:tcW w:w="8303" w:type="dxa"/>
            <w:gridSpan w:val="4"/>
            <w:tcBorders>
              <w:top w:val="single" w:color="000000" w:sz="4" w:space="0"/>
              <w:left w:val="single" w:color="000000" w:sz="4" w:space="0"/>
              <w:bottom w:val="single" w:color="000000" w:sz="4" w:space="0"/>
              <w:right w:val="single" w:color="000000" w:sz="4" w:space="0"/>
            </w:tcBorders>
            <w:vAlign w:val="center"/>
          </w:tcPr>
          <w:p w14:paraId="621732A7">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合计：</w:t>
            </w:r>
          </w:p>
        </w:tc>
        <w:tc>
          <w:tcPr>
            <w:tcW w:w="990" w:type="dxa"/>
            <w:tcBorders>
              <w:top w:val="single" w:color="000000" w:sz="4" w:space="0"/>
              <w:left w:val="single" w:color="000000" w:sz="4" w:space="0"/>
              <w:bottom w:val="single" w:color="000000" w:sz="4" w:space="0"/>
              <w:right w:val="single" w:color="000000" w:sz="4" w:space="0"/>
            </w:tcBorders>
            <w:vAlign w:val="center"/>
          </w:tcPr>
          <w:p w14:paraId="79B5A419">
            <w:pPr>
              <w:widowControl/>
              <w:jc w:val="center"/>
              <w:rPr>
                <w:rFonts w:hint="eastAsia" w:ascii="仿宋" w:hAnsi="仿宋" w:eastAsia="仿宋" w:cs="宋体"/>
                <w:b/>
                <w:bCs/>
                <w:color w:val="auto"/>
                <w:sz w:val="24"/>
                <w:highlight w:val="none"/>
              </w:rPr>
            </w:pPr>
            <w:r>
              <w:rPr>
                <w:rFonts w:hint="eastAsia" w:ascii="仿宋" w:hAnsi="仿宋" w:eastAsia="仿宋" w:cs="宋体"/>
                <w:b/>
                <w:bCs/>
                <w:color w:val="auto"/>
                <w:sz w:val="24"/>
                <w:szCs w:val="24"/>
                <w:highlight w:val="none"/>
                <w:lang w:bidi="ar"/>
              </w:rPr>
              <w:t>100</w:t>
            </w:r>
          </w:p>
        </w:tc>
      </w:tr>
      <w:tr w14:paraId="5609ED04">
        <w:tblPrEx>
          <w:tblCellMar>
            <w:top w:w="0" w:type="dxa"/>
            <w:left w:w="108" w:type="dxa"/>
            <w:bottom w:w="0" w:type="dxa"/>
            <w:right w:w="108" w:type="dxa"/>
          </w:tblCellMar>
        </w:tblPrEx>
        <w:trPr>
          <w:trHeight w:val="270" w:hRule="atLeast"/>
        </w:trPr>
        <w:tc>
          <w:tcPr>
            <w:tcW w:w="9305" w:type="dxa"/>
            <w:gridSpan w:val="6"/>
            <w:tcBorders>
              <w:top w:val="single" w:color="000000" w:sz="4" w:space="0"/>
              <w:left w:val="single" w:color="000000" w:sz="4" w:space="0"/>
              <w:bottom w:val="single" w:color="000000" w:sz="4" w:space="0"/>
              <w:right w:val="single" w:color="000000" w:sz="4" w:space="0"/>
            </w:tcBorders>
            <w:vAlign w:val="center"/>
          </w:tcPr>
          <w:p w14:paraId="05A4507D">
            <w:pPr>
              <w:widowControl/>
              <w:jc w:val="center"/>
              <w:rPr>
                <w:rFonts w:hint="eastAsia" w:ascii="仿宋" w:hAnsi="仿宋" w:eastAsia="仿宋" w:cs="宋体"/>
                <w:b/>
                <w:bCs/>
                <w:color w:val="auto"/>
                <w:sz w:val="24"/>
                <w:szCs w:val="24"/>
                <w:highlight w:val="none"/>
                <w:lang w:bidi="ar"/>
              </w:rPr>
            </w:pPr>
            <w:r>
              <w:rPr>
                <w:rFonts w:hint="eastAsia" w:ascii="仿宋" w:hAnsi="仿宋" w:eastAsia="仿宋" w:cs="宋体"/>
                <w:b/>
                <w:bCs/>
                <w:color w:val="auto"/>
                <w:sz w:val="24"/>
                <w:szCs w:val="24"/>
                <w:highlight w:val="none"/>
                <w:lang w:bidi="ar"/>
              </w:rPr>
              <w:t>双方项目管理人员意见</w:t>
            </w:r>
          </w:p>
        </w:tc>
      </w:tr>
      <w:tr w14:paraId="0DFE82C0">
        <w:tblPrEx>
          <w:tblCellMar>
            <w:top w:w="0" w:type="dxa"/>
            <w:left w:w="108" w:type="dxa"/>
            <w:bottom w:w="0" w:type="dxa"/>
            <w:right w:w="108" w:type="dxa"/>
          </w:tblCellMar>
        </w:tblPrEx>
        <w:trPr>
          <w:trHeight w:val="270" w:hRule="atLeast"/>
        </w:trPr>
        <w:tc>
          <w:tcPr>
            <w:tcW w:w="4536" w:type="dxa"/>
            <w:gridSpan w:val="3"/>
            <w:tcBorders>
              <w:top w:val="single" w:color="000000" w:sz="4" w:space="0"/>
              <w:left w:val="single" w:color="000000" w:sz="4" w:space="0"/>
              <w:bottom w:val="single" w:color="000000" w:sz="4" w:space="0"/>
              <w:right w:val="single" w:color="000000" w:sz="4" w:space="0"/>
            </w:tcBorders>
          </w:tcPr>
          <w:p w14:paraId="5F55A2C0">
            <w:pPr>
              <w:pStyle w:val="30"/>
              <w:widowControl/>
              <w:spacing w:beforeAutospacing="0" w:afterAutospacing="0" w:line="480" w:lineRule="atLeast"/>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甲方：</w:t>
            </w:r>
          </w:p>
          <w:p w14:paraId="61B03440">
            <w:pPr>
              <w:pStyle w:val="30"/>
              <w:widowControl/>
              <w:spacing w:beforeAutospacing="0" w:afterAutospacing="0" w:line="480" w:lineRule="atLeast"/>
              <w:jc w:val="both"/>
              <w:rPr>
                <w:rFonts w:hint="eastAsia" w:ascii="仿宋" w:hAnsi="仿宋" w:eastAsia="仿宋" w:cs="宋体"/>
                <w:color w:val="auto"/>
                <w:szCs w:val="24"/>
                <w:highlight w:val="none"/>
              </w:rPr>
            </w:pPr>
          </w:p>
          <w:p w14:paraId="4B751047">
            <w:pPr>
              <w:pStyle w:val="30"/>
              <w:widowControl/>
              <w:spacing w:beforeAutospacing="0" w:afterAutospacing="0" w:line="480" w:lineRule="atLeast"/>
              <w:jc w:val="both"/>
              <w:rPr>
                <w:rFonts w:hint="eastAsia" w:ascii="仿宋" w:hAnsi="仿宋" w:eastAsia="仿宋" w:cs="宋体"/>
                <w:color w:val="auto"/>
                <w:szCs w:val="24"/>
                <w:highlight w:val="none"/>
              </w:rPr>
            </w:pPr>
          </w:p>
          <w:p w14:paraId="248754E2">
            <w:pPr>
              <w:pStyle w:val="30"/>
              <w:widowControl/>
              <w:spacing w:beforeAutospacing="0" w:afterAutospacing="0" w:line="480" w:lineRule="atLeast"/>
              <w:jc w:val="both"/>
              <w:rPr>
                <w:rFonts w:hint="eastAsia" w:ascii="仿宋" w:hAnsi="仿宋" w:eastAsia="仿宋" w:cs="宋体"/>
                <w:color w:val="auto"/>
                <w:szCs w:val="24"/>
                <w:highlight w:val="none"/>
              </w:rPr>
            </w:pPr>
          </w:p>
          <w:p w14:paraId="6BF70ADF">
            <w:pPr>
              <w:pStyle w:val="30"/>
              <w:widowControl/>
              <w:spacing w:beforeAutospacing="0" w:afterAutospacing="0" w:line="480" w:lineRule="atLeast"/>
              <w:jc w:val="both"/>
              <w:rPr>
                <w:rFonts w:hint="eastAsia" w:ascii="仿宋" w:hAnsi="仿宋" w:eastAsia="仿宋" w:cs="宋体"/>
                <w:color w:val="auto"/>
                <w:szCs w:val="24"/>
                <w:highlight w:val="none"/>
              </w:rPr>
            </w:pPr>
          </w:p>
        </w:tc>
        <w:tc>
          <w:tcPr>
            <w:tcW w:w="4769" w:type="dxa"/>
            <w:gridSpan w:val="3"/>
            <w:tcBorders>
              <w:top w:val="single" w:color="000000" w:sz="4" w:space="0"/>
              <w:left w:val="single" w:color="000000" w:sz="4" w:space="0"/>
              <w:bottom w:val="single" w:color="000000" w:sz="4" w:space="0"/>
              <w:right w:val="single" w:color="000000" w:sz="4" w:space="0"/>
            </w:tcBorders>
          </w:tcPr>
          <w:p w14:paraId="5DE0D1C3">
            <w:pPr>
              <w:pStyle w:val="30"/>
              <w:widowControl/>
              <w:spacing w:beforeAutospacing="0" w:afterAutospacing="0" w:line="480" w:lineRule="atLeast"/>
              <w:jc w:val="both"/>
              <w:rPr>
                <w:rFonts w:hint="eastAsia" w:ascii="仿宋" w:hAnsi="仿宋" w:eastAsia="仿宋" w:cs="宋体"/>
                <w:color w:val="auto"/>
                <w:szCs w:val="24"/>
                <w:highlight w:val="none"/>
              </w:rPr>
            </w:pPr>
            <w:r>
              <w:rPr>
                <w:rFonts w:hint="eastAsia" w:ascii="仿宋" w:hAnsi="仿宋" w:eastAsia="仿宋" w:cs="宋体"/>
                <w:color w:val="auto"/>
                <w:szCs w:val="24"/>
                <w:highlight w:val="none"/>
              </w:rPr>
              <w:t>乙方：</w:t>
            </w:r>
          </w:p>
        </w:tc>
      </w:tr>
    </w:tbl>
    <w:p w14:paraId="02A8D400">
      <w:pPr>
        <w:pStyle w:val="30"/>
        <w:widowControl/>
        <w:spacing w:beforeAutospacing="0" w:afterAutospacing="0" w:line="480" w:lineRule="atLeast"/>
        <w:ind w:firstLine="420"/>
        <w:jc w:val="center"/>
        <w:rPr>
          <w:rFonts w:hint="eastAsia"/>
          <w:color w:val="auto"/>
          <w:highlight w:val="none"/>
        </w:rPr>
      </w:pPr>
    </w:p>
    <w:sectPr>
      <w:footerReference r:id="rId3" w:type="default"/>
      <w:pgSz w:w="11906" w:h="16838" w:orient="landscape"/>
      <w:pgMar w:top="2098" w:right="1474" w:bottom="1984" w:left="158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5B741">
    <w:pPr>
      <w:pStyle w:val="20"/>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A5201FB">
                          <w:pPr>
                            <w:pStyle w:val="2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TxD+bzAEAAJsDAAAOAAAAAAAAAAEAIAAAAB4BAABkcnMvZTJv&#10;RG9jLnhtbFBLBQYAAAAABgAGAFkBAABcBQAAAAA=&#10;">
              <v:fill on="f" focussize="0,0"/>
              <v:stroke on="f"/>
              <v:imagedata o:title=""/>
              <o:lock v:ext="edit" aspectratio="f"/>
              <v:textbox inset="0mm,0mm,0mm,0mm" style="mso-fit-shape-to-text:t;">
                <w:txbxContent>
                  <w:p w14:paraId="2A5201FB">
                    <w:pPr>
                      <w:pStyle w:val="2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suff w:val="space"/>
      <w:lvlText w:val="%1)"/>
      <w:lvlJc w:val="left"/>
      <w:pPr>
        <w:ind w:left="1060" w:hanging="42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1">
    <w:nsid w:val="B728A38C"/>
    <w:multiLevelType w:val="multilevel"/>
    <w:tmpl w:val="B728A38C"/>
    <w:lvl w:ilvl="0" w:tentative="0">
      <w:start w:val="1"/>
      <w:numFmt w:val="lowerLetter"/>
      <w:suff w:val="space"/>
      <w:lvlText w:val="%1)"/>
      <w:lvlJc w:val="left"/>
      <w:pPr>
        <w:ind w:left="0" w:firstLine="64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2">
    <w:nsid w:val="C00C3D50"/>
    <w:multiLevelType w:val="multilevel"/>
    <w:tmpl w:val="C00C3D50"/>
    <w:lvl w:ilvl="0" w:tentative="0">
      <w:start w:val="1"/>
      <w:numFmt w:val="lowerLetter"/>
      <w:suff w:val="space"/>
      <w:lvlText w:val="%1)"/>
      <w:lvlJc w:val="left"/>
      <w:pPr>
        <w:ind w:left="0" w:firstLine="64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3">
    <w:nsid w:val="0053208E"/>
    <w:multiLevelType w:val="multilevel"/>
    <w:tmpl w:val="0053208E"/>
    <w:lvl w:ilvl="0" w:tentative="0">
      <w:start w:val="1"/>
      <w:numFmt w:val="lowerLetter"/>
      <w:suff w:val="space"/>
      <w:lvlText w:val="%1)"/>
      <w:lvlJc w:val="left"/>
      <w:pPr>
        <w:ind w:left="1060" w:hanging="42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4">
    <w:nsid w:val="25B654F3"/>
    <w:multiLevelType w:val="multilevel"/>
    <w:tmpl w:val="25B654F3"/>
    <w:lvl w:ilvl="0" w:tentative="0">
      <w:start w:val="1"/>
      <w:numFmt w:val="lowerLetter"/>
      <w:suff w:val="space"/>
      <w:lvlText w:val="%1)"/>
      <w:lvlJc w:val="left"/>
      <w:pPr>
        <w:ind w:left="1060" w:hanging="42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5">
    <w:nsid w:val="66095B21"/>
    <w:multiLevelType w:val="multilevel"/>
    <w:tmpl w:val="66095B21"/>
    <w:lvl w:ilvl="0" w:tentative="0">
      <w:start w:val="1"/>
      <w:numFmt w:val="lowerLetter"/>
      <w:suff w:val="space"/>
      <w:lvlText w:val="%1)"/>
      <w:lvlJc w:val="left"/>
      <w:pPr>
        <w:ind w:left="0" w:firstLine="64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abstractNum w:abstractNumId="6">
    <w:nsid w:val="7B9F125D"/>
    <w:multiLevelType w:val="multilevel"/>
    <w:tmpl w:val="7B9F125D"/>
    <w:lvl w:ilvl="0" w:tentative="0">
      <w:start w:val="1"/>
      <w:numFmt w:val="lowerLetter"/>
      <w:suff w:val="space"/>
      <w:lvlText w:val="%1)"/>
      <w:lvlJc w:val="left"/>
      <w:pPr>
        <w:ind w:left="0" w:firstLine="640"/>
      </w:pPr>
    </w:lvl>
    <w:lvl w:ilvl="1" w:tentative="0">
      <w:start w:val="1"/>
      <w:numFmt w:val="lowerLetter"/>
      <w:suff w:val="space"/>
      <w:lvlText w:val="%2)"/>
      <w:lvlJc w:val="left"/>
      <w:pPr>
        <w:ind w:left="1480" w:hanging="420"/>
      </w:pPr>
    </w:lvl>
    <w:lvl w:ilvl="2" w:tentative="0">
      <w:start w:val="1"/>
      <w:numFmt w:val="lowerRoman"/>
      <w:suff w:val="space"/>
      <w:lvlText w:val="%3."/>
      <w:lvlJc w:val="right"/>
      <w:pPr>
        <w:ind w:left="1900" w:hanging="420"/>
      </w:pPr>
    </w:lvl>
    <w:lvl w:ilvl="3" w:tentative="0">
      <w:start w:val="1"/>
      <w:numFmt w:val="decimal"/>
      <w:suff w:val="space"/>
      <w:lvlText w:val="%4."/>
      <w:lvlJc w:val="left"/>
      <w:pPr>
        <w:ind w:left="2320" w:hanging="420"/>
      </w:pPr>
    </w:lvl>
    <w:lvl w:ilvl="4" w:tentative="0">
      <w:start w:val="1"/>
      <w:numFmt w:val="lowerLetter"/>
      <w:suff w:val="space"/>
      <w:lvlText w:val="%5)"/>
      <w:lvlJc w:val="left"/>
      <w:pPr>
        <w:ind w:left="2740" w:hanging="420"/>
      </w:pPr>
    </w:lvl>
    <w:lvl w:ilvl="5" w:tentative="0">
      <w:start w:val="1"/>
      <w:numFmt w:val="lowerRoman"/>
      <w:suff w:val="space"/>
      <w:lvlText w:val="%6."/>
      <w:lvlJc w:val="right"/>
      <w:pPr>
        <w:ind w:left="3160" w:hanging="420"/>
      </w:pPr>
    </w:lvl>
    <w:lvl w:ilvl="6" w:tentative="0">
      <w:start w:val="1"/>
      <w:numFmt w:val="decimal"/>
      <w:suff w:val="space"/>
      <w:lvlText w:val="%7."/>
      <w:lvlJc w:val="left"/>
      <w:pPr>
        <w:ind w:left="3580" w:hanging="420"/>
      </w:pPr>
    </w:lvl>
    <w:lvl w:ilvl="7" w:tentative="0">
      <w:start w:val="1"/>
      <w:numFmt w:val="lowerLetter"/>
      <w:suff w:val="space"/>
      <w:lvlText w:val="%8)"/>
      <w:lvlJc w:val="left"/>
      <w:pPr>
        <w:ind w:left="4000" w:hanging="420"/>
      </w:pPr>
    </w:lvl>
    <w:lvl w:ilvl="8" w:tentative="0">
      <w:start w:val="1"/>
      <w:numFmt w:val="lowerRoman"/>
      <w:suff w:val="space"/>
      <w:lvlText w:val="%9."/>
      <w:lvlJc w:val="right"/>
      <w:pPr>
        <w:ind w:left="4420" w:hanging="420"/>
      </w:p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C8"/>
    <w:rsid w:val="0067647F"/>
    <w:rsid w:val="00693247"/>
    <w:rsid w:val="007312C8"/>
    <w:rsid w:val="00896748"/>
    <w:rsid w:val="043D7A21"/>
    <w:rsid w:val="06105C5C"/>
    <w:rsid w:val="061654A3"/>
    <w:rsid w:val="072568ED"/>
    <w:rsid w:val="12DE5A77"/>
    <w:rsid w:val="143E22D4"/>
    <w:rsid w:val="15DF6572"/>
    <w:rsid w:val="1CA533A7"/>
    <w:rsid w:val="1CFC5477"/>
    <w:rsid w:val="1D07475D"/>
    <w:rsid w:val="27DF0D8E"/>
    <w:rsid w:val="2EFC4952"/>
    <w:rsid w:val="31365B4B"/>
    <w:rsid w:val="32C762A1"/>
    <w:rsid w:val="35301D0A"/>
    <w:rsid w:val="35B02C30"/>
    <w:rsid w:val="3B990A55"/>
    <w:rsid w:val="3CDA36D0"/>
    <w:rsid w:val="3F874C1D"/>
    <w:rsid w:val="427819CC"/>
    <w:rsid w:val="45564B0F"/>
    <w:rsid w:val="47855EE6"/>
    <w:rsid w:val="4BB226B0"/>
    <w:rsid w:val="4FFE5807"/>
    <w:rsid w:val="505411BF"/>
    <w:rsid w:val="524F5CF2"/>
    <w:rsid w:val="52A45DD6"/>
    <w:rsid w:val="54280325"/>
    <w:rsid w:val="58FC1D80"/>
    <w:rsid w:val="5C9F4EFC"/>
    <w:rsid w:val="5E1B2CA8"/>
    <w:rsid w:val="5E39776B"/>
    <w:rsid w:val="62675B5F"/>
    <w:rsid w:val="6A121691"/>
    <w:rsid w:val="6C2C216F"/>
    <w:rsid w:val="782800E1"/>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sz w:val="21"/>
      <w:szCs w:val="22"/>
      <w:lang w:val="en-US" w:eastAsia="zh-CN" w:bidi="ar-SA"/>
    </w:rPr>
  </w:style>
  <w:style w:type="paragraph" w:styleId="2">
    <w:name w:val="heading 1"/>
    <w:basedOn w:val="1"/>
    <w:next w:val="1"/>
    <w:link w:val="40"/>
    <w:qFormat/>
    <w:uiPriority w:val="9"/>
    <w:pPr>
      <w:keepNext/>
      <w:keepLines/>
      <w:spacing w:before="480" w:after="200"/>
      <w:outlineLvl w:val="0"/>
    </w:pPr>
    <w:rPr>
      <w:rFonts w:cs="等线"/>
      <w:sz w:val="40"/>
      <w:szCs w:val="40"/>
    </w:rPr>
  </w:style>
  <w:style w:type="paragraph" w:styleId="3">
    <w:name w:val="heading 2"/>
    <w:basedOn w:val="1"/>
    <w:next w:val="1"/>
    <w:link w:val="41"/>
    <w:unhideWhenUsed/>
    <w:qFormat/>
    <w:uiPriority w:val="9"/>
    <w:pPr>
      <w:keepNext/>
      <w:keepLines/>
      <w:spacing w:before="360" w:after="200"/>
      <w:outlineLvl w:val="1"/>
    </w:pPr>
    <w:rPr>
      <w:rFonts w:cs="等线"/>
      <w:sz w:val="34"/>
    </w:rPr>
  </w:style>
  <w:style w:type="paragraph" w:styleId="4">
    <w:name w:val="heading 3"/>
    <w:basedOn w:val="1"/>
    <w:next w:val="1"/>
    <w:link w:val="42"/>
    <w:unhideWhenUsed/>
    <w:qFormat/>
    <w:uiPriority w:val="9"/>
    <w:pPr>
      <w:keepNext/>
      <w:keepLines/>
      <w:spacing w:before="320" w:after="200"/>
      <w:outlineLvl w:val="2"/>
    </w:pPr>
    <w:rPr>
      <w:rFonts w:cs="等线"/>
      <w:sz w:val="30"/>
      <w:szCs w:val="30"/>
    </w:rPr>
  </w:style>
  <w:style w:type="paragraph" w:styleId="5">
    <w:name w:val="heading 4"/>
    <w:basedOn w:val="1"/>
    <w:next w:val="1"/>
    <w:link w:val="43"/>
    <w:unhideWhenUsed/>
    <w:qFormat/>
    <w:uiPriority w:val="9"/>
    <w:pPr>
      <w:keepNext/>
      <w:keepLines/>
      <w:spacing w:before="320" w:after="200"/>
      <w:outlineLvl w:val="3"/>
    </w:pPr>
    <w:rPr>
      <w:rFonts w:cs="等线"/>
      <w:b/>
      <w:bCs/>
      <w:sz w:val="26"/>
      <w:szCs w:val="26"/>
    </w:rPr>
  </w:style>
  <w:style w:type="paragraph" w:styleId="6">
    <w:name w:val="heading 5"/>
    <w:basedOn w:val="1"/>
    <w:next w:val="1"/>
    <w:link w:val="44"/>
    <w:unhideWhenUsed/>
    <w:qFormat/>
    <w:uiPriority w:val="9"/>
    <w:pPr>
      <w:keepNext/>
      <w:keepLines/>
      <w:spacing w:before="320" w:after="200"/>
      <w:outlineLvl w:val="4"/>
    </w:pPr>
    <w:rPr>
      <w:rFonts w:cs="等线"/>
      <w:b/>
      <w:bCs/>
      <w:sz w:val="24"/>
      <w:szCs w:val="24"/>
    </w:rPr>
  </w:style>
  <w:style w:type="paragraph" w:styleId="7">
    <w:name w:val="heading 6"/>
    <w:basedOn w:val="1"/>
    <w:next w:val="1"/>
    <w:link w:val="45"/>
    <w:unhideWhenUsed/>
    <w:qFormat/>
    <w:uiPriority w:val="9"/>
    <w:pPr>
      <w:keepNext/>
      <w:keepLines/>
      <w:spacing w:before="320" w:after="200"/>
      <w:outlineLvl w:val="5"/>
    </w:pPr>
    <w:rPr>
      <w:rFonts w:cs="等线"/>
      <w:b/>
      <w:bCs/>
      <w:sz w:val="22"/>
    </w:rPr>
  </w:style>
  <w:style w:type="paragraph" w:styleId="8">
    <w:name w:val="heading 7"/>
    <w:basedOn w:val="1"/>
    <w:next w:val="1"/>
    <w:link w:val="46"/>
    <w:unhideWhenUsed/>
    <w:qFormat/>
    <w:uiPriority w:val="9"/>
    <w:pPr>
      <w:keepNext/>
      <w:keepLines/>
      <w:spacing w:before="320" w:after="200"/>
      <w:outlineLvl w:val="6"/>
    </w:pPr>
    <w:rPr>
      <w:rFonts w:cs="等线"/>
      <w:b/>
      <w:bCs/>
      <w:i/>
      <w:iCs/>
      <w:sz w:val="22"/>
    </w:rPr>
  </w:style>
  <w:style w:type="paragraph" w:styleId="9">
    <w:name w:val="heading 8"/>
    <w:basedOn w:val="1"/>
    <w:next w:val="1"/>
    <w:link w:val="47"/>
    <w:unhideWhenUsed/>
    <w:qFormat/>
    <w:uiPriority w:val="9"/>
    <w:pPr>
      <w:keepNext/>
      <w:keepLines/>
      <w:spacing w:before="320" w:after="200"/>
      <w:outlineLvl w:val="7"/>
    </w:pPr>
    <w:rPr>
      <w:rFonts w:cs="等线"/>
      <w:i/>
      <w:iCs/>
      <w:sz w:val="22"/>
    </w:rPr>
  </w:style>
  <w:style w:type="paragraph" w:styleId="10">
    <w:name w:val="heading 9"/>
    <w:basedOn w:val="1"/>
    <w:next w:val="1"/>
    <w:link w:val="48"/>
    <w:unhideWhenUsed/>
    <w:qFormat/>
    <w:uiPriority w:val="9"/>
    <w:pPr>
      <w:keepNext/>
      <w:keepLines/>
      <w:spacing w:before="320" w:after="200"/>
      <w:outlineLvl w:val="8"/>
    </w:pPr>
    <w:rPr>
      <w:rFonts w:cs="等线"/>
      <w:i/>
      <w:iCs/>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annotation text"/>
    <w:basedOn w:val="1"/>
    <w:semiHidden/>
    <w:unhideWhenUsed/>
    <w:qFormat/>
    <w:uiPriority w:val="99"/>
    <w:pPr>
      <w:jc w:val="left"/>
    </w:pPr>
  </w:style>
  <w:style w:type="paragraph" w:styleId="14">
    <w:name w:val="Body Text Indent"/>
    <w:basedOn w:val="1"/>
    <w:unhideWhenUsed/>
    <w:qFormat/>
    <w:uiPriority w:val="99"/>
    <w:pPr>
      <w:spacing w:after="120"/>
      <w:ind w:left="420"/>
    </w:pPr>
    <w:rPr>
      <w:rFonts w:hint="eastAsia" w:ascii="Times New Roman" w:hAnsi="Times New Roman" w:eastAsia="Times New Roman"/>
      <w:sz w:val="20"/>
      <w:szCs w:val="24"/>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87"/>
    <w:qFormat/>
    <w:uiPriority w:val="0"/>
    <w:rPr>
      <w:sz w:val="18"/>
      <w:szCs w:val="18"/>
    </w:rPr>
  </w:style>
  <w:style w:type="paragraph" w:styleId="20">
    <w:name w:val="footer"/>
    <w:basedOn w:val="1"/>
    <w:qFormat/>
    <w:uiPriority w:val="0"/>
    <w:pPr>
      <w:tabs>
        <w:tab w:val="center" w:pos="4153"/>
        <w:tab w:val="right" w:pos="8306"/>
      </w:tabs>
      <w:jc w:val="left"/>
    </w:pPr>
    <w:rPr>
      <w:sz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qFormat/>
    <w:uiPriority w:val="0"/>
    <w:pPr>
      <w:spacing w:beforeAutospacing="1" w:afterAutospacing="1"/>
      <w:jc w:val="left"/>
    </w:pPr>
    <w:rPr>
      <w:sz w:val="24"/>
    </w:rPr>
  </w:style>
  <w:style w:type="paragraph" w:styleId="31">
    <w:name w:val="Title"/>
    <w:basedOn w:val="1"/>
    <w:next w:val="1"/>
    <w:qFormat/>
    <w:uiPriority w:val="0"/>
    <w:pPr>
      <w:spacing w:before="240" w:after="60"/>
      <w:jc w:val="center"/>
      <w:outlineLvl w:val="0"/>
    </w:pPr>
    <w:rPr>
      <w:rFonts w:ascii="Cambria" w:hAnsi="Cambria"/>
      <w:b/>
      <w:bCs/>
      <w:sz w:val="32"/>
      <w:szCs w:val="32"/>
    </w:rPr>
  </w:style>
  <w:style w:type="paragraph" w:styleId="32">
    <w:name w:val="Body Text First Indent 2"/>
    <w:basedOn w:val="14"/>
    <w:unhideWhenUsed/>
    <w:qFormat/>
    <w:uiPriority w:val="99"/>
    <w:pPr>
      <w:spacing w:line="360" w:lineRule="auto"/>
      <w:ind w:firstLine="420"/>
    </w:pPr>
    <w:rPr>
      <w:rFonts w:hint="default" w:ascii="Calibri" w:hAnsi="Calibri" w:eastAsia="宋体"/>
      <w:sz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basedOn w:val="35"/>
    <w:semiHidden/>
    <w:unhideWhenUsed/>
    <w:qFormat/>
    <w:uiPriority w:val="99"/>
    <w:rPr>
      <w:vertAlign w:val="superscript"/>
    </w:rPr>
  </w:style>
  <w:style w:type="character" w:styleId="37">
    <w:name w:val="Hyperlink"/>
    <w:unhideWhenUsed/>
    <w:qFormat/>
    <w:uiPriority w:val="99"/>
    <w:rPr>
      <w:color w:val="0563C1" w:themeColor="hyperlink"/>
      <w:u w:val="single"/>
      <w14:textFill>
        <w14:solidFill>
          <w14:schemeClr w14:val="hlink"/>
        </w14:solidFill>
      </w14:textFill>
    </w:rPr>
  </w:style>
  <w:style w:type="character" w:styleId="38">
    <w:name w:val="annotation reference"/>
    <w:basedOn w:val="35"/>
    <w:semiHidden/>
    <w:unhideWhenUsed/>
    <w:qFormat/>
    <w:uiPriority w:val="99"/>
    <w:rPr>
      <w:sz w:val="21"/>
      <w:szCs w:val="21"/>
    </w:rPr>
  </w:style>
  <w:style w:type="character" w:styleId="39">
    <w:name w:val="footnote reference"/>
    <w:basedOn w:val="35"/>
    <w:unhideWhenUsed/>
    <w:qFormat/>
    <w:uiPriority w:val="99"/>
    <w:rPr>
      <w:vertAlign w:val="superscript"/>
    </w:rPr>
  </w:style>
  <w:style w:type="character" w:customStyle="1" w:styleId="40">
    <w:name w:val="标题 1 字符"/>
    <w:basedOn w:val="35"/>
    <w:link w:val="2"/>
    <w:qFormat/>
    <w:uiPriority w:val="9"/>
    <w:rPr>
      <w:rFonts w:ascii="等线" w:hAnsi="等线" w:eastAsia="等线" w:cs="等线"/>
      <w:sz w:val="40"/>
      <w:szCs w:val="40"/>
    </w:rPr>
  </w:style>
  <w:style w:type="character" w:customStyle="1" w:styleId="41">
    <w:name w:val="标题 2 字符"/>
    <w:basedOn w:val="35"/>
    <w:link w:val="3"/>
    <w:qFormat/>
    <w:uiPriority w:val="9"/>
    <w:rPr>
      <w:rFonts w:ascii="等线" w:hAnsi="等线" w:eastAsia="等线" w:cs="等线"/>
      <w:sz w:val="34"/>
    </w:rPr>
  </w:style>
  <w:style w:type="character" w:customStyle="1" w:styleId="42">
    <w:name w:val="标题 3 字符"/>
    <w:basedOn w:val="35"/>
    <w:link w:val="4"/>
    <w:qFormat/>
    <w:uiPriority w:val="9"/>
    <w:rPr>
      <w:rFonts w:ascii="等线" w:hAnsi="等线" w:eastAsia="等线" w:cs="等线"/>
      <w:sz w:val="30"/>
      <w:szCs w:val="30"/>
    </w:rPr>
  </w:style>
  <w:style w:type="character" w:customStyle="1" w:styleId="43">
    <w:name w:val="标题 4 字符"/>
    <w:basedOn w:val="35"/>
    <w:link w:val="5"/>
    <w:qFormat/>
    <w:uiPriority w:val="9"/>
    <w:rPr>
      <w:rFonts w:ascii="等线" w:hAnsi="等线" w:eastAsia="等线" w:cs="等线"/>
      <w:b/>
      <w:bCs/>
      <w:sz w:val="26"/>
      <w:szCs w:val="26"/>
    </w:rPr>
  </w:style>
  <w:style w:type="character" w:customStyle="1" w:styleId="44">
    <w:name w:val="标题 5 字符"/>
    <w:basedOn w:val="35"/>
    <w:link w:val="6"/>
    <w:qFormat/>
    <w:uiPriority w:val="9"/>
    <w:rPr>
      <w:rFonts w:ascii="等线" w:hAnsi="等线" w:eastAsia="等线" w:cs="等线"/>
      <w:b/>
      <w:bCs/>
      <w:sz w:val="24"/>
      <w:szCs w:val="24"/>
    </w:rPr>
  </w:style>
  <w:style w:type="character" w:customStyle="1" w:styleId="45">
    <w:name w:val="标题 6 字符"/>
    <w:basedOn w:val="35"/>
    <w:link w:val="7"/>
    <w:qFormat/>
    <w:uiPriority w:val="9"/>
    <w:rPr>
      <w:rFonts w:ascii="等线" w:hAnsi="等线" w:eastAsia="等线" w:cs="等线"/>
      <w:b/>
      <w:bCs/>
      <w:sz w:val="22"/>
      <w:szCs w:val="22"/>
    </w:rPr>
  </w:style>
  <w:style w:type="character" w:customStyle="1" w:styleId="46">
    <w:name w:val="标题 7 字符"/>
    <w:basedOn w:val="35"/>
    <w:link w:val="8"/>
    <w:qFormat/>
    <w:uiPriority w:val="9"/>
    <w:rPr>
      <w:rFonts w:ascii="等线" w:hAnsi="等线" w:eastAsia="等线" w:cs="等线"/>
      <w:b/>
      <w:bCs/>
      <w:i/>
      <w:iCs/>
      <w:sz w:val="22"/>
      <w:szCs w:val="22"/>
    </w:rPr>
  </w:style>
  <w:style w:type="character" w:customStyle="1" w:styleId="47">
    <w:name w:val="标题 8 字符"/>
    <w:basedOn w:val="35"/>
    <w:link w:val="9"/>
    <w:qFormat/>
    <w:uiPriority w:val="9"/>
    <w:rPr>
      <w:rFonts w:ascii="等线" w:hAnsi="等线" w:eastAsia="等线" w:cs="等线"/>
      <w:i/>
      <w:iCs/>
      <w:sz w:val="22"/>
      <w:szCs w:val="22"/>
    </w:rPr>
  </w:style>
  <w:style w:type="character" w:customStyle="1" w:styleId="48">
    <w:name w:val="标题 9 字符"/>
    <w:basedOn w:val="35"/>
    <w:link w:val="10"/>
    <w:qFormat/>
    <w:uiPriority w:val="9"/>
    <w:rPr>
      <w:rFonts w:ascii="等线" w:hAnsi="等线" w:eastAsia="等线" w:cs="等线"/>
      <w:i/>
      <w:iCs/>
      <w:sz w:val="21"/>
      <w:szCs w:val="21"/>
    </w:rPr>
  </w:style>
  <w:style w:type="paragraph" w:styleId="49">
    <w:name w:val="No Spacing"/>
    <w:qFormat/>
    <w:uiPriority w:val="1"/>
    <w:rPr>
      <w:rFonts w:asciiTheme="minorHAnsi" w:hAnsiTheme="minorHAnsi" w:eastAsiaTheme="minorEastAsia" w:cstheme="minorBidi"/>
      <w:lang w:val="en-US" w:eastAsia="zh-CN" w:bidi="ar-SA"/>
    </w:rPr>
  </w:style>
  <w:style w:type="character" w:customStyle="1" w:styleId="50">
    <w:name w:val="Title Char"/>
    <w:basedOn w:val="35"/>
    <w:qFormat/>
    <w:uiPriority w:val="10"/>
    <w:rPr>
      <w:sz w:val="48"/>
      <w:szCs w:val="48"/>
    </w:rPr>
  </w:style>
  <w:style w:type="character" w:customStyle="1" w:styleId="51">
    <w:name w:val="副标题 字符"/>
    <w:basedOn w:val="35"/>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字符"/>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qFormat/>
    <w:uiPriority w:val="30"/>
    <w:rPr>
      <w:i/>
    </w:rPr>
  </w:style>
  <w:style w:type="character" w:customStyle="1" w:styleId="56">
    <w:name w:val="页眉 字符"/>
    <w:basedOn w:val="35"/>
    <w:link w:val="21"/>
    <w:qFormat/>
    <w:uiPriority w:val="99"/>
  </w:style>
  <w:style w:type="character" w:customStyle="1" w:styleId="57">
    <w:name w:val="Footer Char"/>
    <w:basedOn w:val="35"/>
    <w:qFormat/>
    <w:uiPriority w:val="99"/>
  </w:style>
  <w:style w:type="character" w:customStyle="1" w:styleId="58">
    <w:name w:val="Caption Char"/>
    <w:qFormat/>
    <w:uiPriority w:val="99"/>
  </w:style>
  <w:style w:type="table" w:customStyle="1" w:styleId="59">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0">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basedOn w:val="33"/>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basedOn w:val="33"/>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basedOn w:val="33"/>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7">
    <w:name w:val="Grid Table 1 Light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8">
    <w:name w:val="Grid Table 1 Light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9">
    <w:name w:val="Grid Table 1 Light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70">
    <w:name w:val="Grid Table 1 Light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71">
    <w:name w:val="Grid Table 1 Light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72">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4">
    <w:name w:val="Grid Table 2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5">
    <w:name w:val="Grid Table 2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6">
    <w:name w:val="Grid Table 2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7">
    <w:name w:val="Grid Table 2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8">
    <w:name w:val="Grid Table 2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9">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3"/>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1">
    <w:name w:val="Grid Table 3 - Accent 2"/>
    <w:basedOn w:val="33"/>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2">
    <w:name w:val="Grid Table 3 - Accent 3"/>
    <w:basedOn w:val="33"/>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3">
    <w:name w:val="Grid Table 3 - Accent 4"/>
    <w:basedOn w:val="33"/>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4">
    <w:name w:val="Grid Table 3 - Accent 5"/>
    <w:basedOn w:val="33"/>
    <w:qFormat/>
    <w:uiPriority w:val="99"/>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5">
    <w:name w:val="Grid Table 3 - Accent 6"/>
    <w:basedOn w:val="33"/>
    <w:qFormat/>
    <w:uiPriority w:val="99"/>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6">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3"/>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8">
    <w:name w:val="Grid Table 4 - Accent 2"/>
    <w:basedOn w:val="33"/>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9">
    <w:name w:val="Grid Table 4 - Accent 3"/>
    <w:basedOn w:val="33"/>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0">
    <w:name w:val="Grid Table 4 - Accent 4"/>
    <w:basedOn w:val="33"/>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1">
    <w:name w:val="Grid Table 4 - Accent 5"/>
    <w:basedOn w:val="33"/>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2">
    <w:name w:val="Grid Table 4 - Accent 6"/>
    <w:basedOn w:val="33"/>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3">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5">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6">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7">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8">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9">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00">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3"/>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3"/>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4">
    <w:name w:val="Grid Table 6 Colorful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3"/>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6">
    <w:name w:val="Grid Table 6 Colorful - Accent 6"/>
    <w:basedOn w:val="33"/>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7">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3"/>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3"/>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3"/>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ECECEC" w:themeColor="accent3" w:themeTint="34"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11">
    <w:name w:val="Grid Table 7 Colorful - Accent 4"/>
    <w:basedOn w:val="33"/>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3"/>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3">
    <w:name w:val="Grid Table 7 Colorful - Accent 6"/>
    <w:basedOn w:val="33"/>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4">
    <w:name w:val="清单表 1 浅色1"/>
    <w:basedOn w:val="33"/>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3"/>
    <w:qFormat/>
    <w:uiPriority w:val="99"/>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6">
    <w:name w:val="List Table 1 Light - Accent 2"/>
    <w:basedOn w:val="33"/>
    <w:qFormat/>
    <w:uiPriority w:val="99"/>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7">
    <w:name w:val="List Table 1 Light - Accent 3"/>
    <w:basedOn w:val="33"/>
    <w:qFormat/>
    <w:uiPriority w:val="99"/>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8">
    <w:name w:val="List Table 1 Light - Accent 4"/>
    <w:basedOn w:val="33"/>
    <w:qFormat/>
    <w:uiPriority w:val="99"/>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9">
    <w:name w:val="List Table 1 Light - Accent 5"/>
    <w:basedOn w:val="33"/>
    <w:qFormat/>
    <w:uiPriority w:val="99"/>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20">
    <w:name w:val="List Table 1 Light - Accent 6"/>
    <w:basedOn w:val="33"/>
    <w:qFormat/>
    <w:uiPriority w:val="99"/>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21">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3"/>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3">
    <w:name w:val="List Table 2 - Accent 2"/>
    <w:basedOn w:val="33"/>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4">
    <w:name w:val="List Table 2 - Accent 3"/>
    <w:basedOn w:val="33"/>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5">
    <w:name w:val="List Table 2 - Accent 4"/>
    <w:basedOn w:val="33"/>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6">
    <w:name w:val="List Table 2 - Accent 5"/>
    <w:basedOn w:val="33"/>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7">
    <w:name w:val="List Table 2 - Accent 6"/>
    <w:basedOn w:val="33"/>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8">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3"/>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30">
    <w:name w:val="List Table 3 - Accent 2"/>
    <w:basedOn w:val="33"/>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31">
    <w:name w:val="List Table 3 - Accent 3"/>
    <w:basedOn w:val="33"/>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32">
    <w:name w:val="List Table 3 - Accent 4"/>
    <w:basedOn w:val="33"/>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3">
    <w:name w:val="List Table 3 - Accent 5"/>
    <w:basedOn w:val="33"/>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4">
    <w:name w:val="List Table 3 - Accent 6"/>
    <w:basedOn w:val="33"/>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5">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3"/>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7">
    <w:name w:val="List Table 4 - Accent 2"/>
    <w:basedOn w:val="33"/>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8">
    <w:name w:val="List Table 4 - Accent 3"/>
    <w:basedOn w:val="33"/>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9">
    <w:name w:val="List Table 4 - Accent 4"/>
    <w:basedOn w:val="33"/>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40">
    <w:name w:val="List Table 4 - Accent 5"/>
    <w:basedOn w:val="33"/>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1">
    <w:name w:val="List Table 4 - Accent 6"/>
    <w:basedOn w:val="33"/>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2">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3"/>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4">
    <w:name w:val="List Table 5 Dark - Accent 2"/>
    <w:basedOn w:val="33"/>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5">
    <w:name w:val="List Table 5 Dark - Accent 3"/>
    <w:basedOn w:val="33"/>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6">
    <w:name w:val="List Table 5 Dark - Accent 4"/>
    <w:basedOn w:val="33"/>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7">
    <w:name w:val="List Table 5 Dark - Accent 5"/>
    <w:basedOn w:val="33"/>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8">
    <w:name w:val="List Table 5 Dark - Accent 6"/>
    <w:basedOn w:val="33"/>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9">
    <w:name w:val="清单表 6 彩色1"/>
    <w:basedOn w:val="33"/>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3"/>
    <w:qFormat/>
    <w:uiPriority w:val="99"/>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1">
    <w:name w:val="List Table 6 Colorful - Accent 2"/>
    <w:basedOn w:val="33"/>
    <w:qFormat/>
    <w:uiPriority w:val="99"/>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3"/>
    <w:qFormat/>
    <w:uiPriority w:val="99"/>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3"/>
    <w:qFormat/>
    <w:uiPriority w:val="99"/>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3"/>
    <w:qFormat/>
    <w:uiPriority w:val="99"/>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3"/>
    <w:qFormat/>
    <w:uiPriority w:val="99"/>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6">
    <w:name w:val="清单表 7 彩色1"/>
    <w:basedOn w:val="33"/>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3"/>
    <w:qFormat/>
    <w:uiPriority w:val="99"/>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8">
    <w:name w:val="List Table 7 Colorful - Accent 2"/>
    <w:basedOn w:val="33"/>
    <w:qFormat/>
    <w:uiPriority w:val="99"/>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3"/>
    <w:qFormat/>
    <w:uiPriority w:val="99"/>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3"/>
    <w:qFormat/>
    <w:uiPriority w:val="99"/>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3"/>
    <w:qFormat/>
    <w:uiPriority w:val="99"/>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3"/>
    <w:qFormat/>
    <w:uiPriority w:val="99"/>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3"/>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3"/>
    <w:qFormat/>
    <w:uiPriority w:val="99"/>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5">
    <w:name w:val="Lined - Accent 2"/>
    <w:basedOn w:val="33"/>
    <w:qFormat/>
    <w:uiPriority w:val="99"/>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6">
    <w:name w:val="Lined - Accent 3"/>
    <w:basedOn w:val="33"/>
    <w:qFormat/>
    <w:uiPriority w:val="99"/>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7">
    <w:name w:val="Lined - Accent 4"/>
    <w:basedOn w:val="33"/>
    <w:qFormat/>
    <w:uiPriority w:val="99"/>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8">
    <w:name w:val="Lined - Accent 5"/>
    <w:basedOn w:val="33"/>
    <w:qFormat/>
    <w:uiPriority w:val="99"/>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9">
    <w:name w:val="Lined - Accent 6"/>
    <w:basedOn w:val="33"/>
    <w:qFormat/>
    <w:uiPriority w:val="99"/>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0">
    <w:name w:val="Bordered &amp; Lined - Accent"/>
    <w:basedOn w:val="3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3"/>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2">
    <w:name w:val="Bordered &amp; Lined - Accent 2"/>
    <w:basedOn w:val="33"/>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3">
    <w:name w:val="Bordered &amp; Lined - Accent 3"/>
    <w:basedOn w:val="33"/>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4">
    <w:name w:val="Bordered &amp; Lined - Accent 4"/>
    <w:basedOn w:val="33"/>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5">
    <w:name w:val="Bordered &amp; Lined - Accent 5"/>
    <w:basedOn w:val="33"/>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6">
    <w:name w:val="Bordered &amp; Lined - Accent 6"/>
    <w:basedOn w:val="33"/>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7">
    <w:name w:val="Bordered"/>
    <w:basedOn w:val="3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3"/>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9">
    <w:name w:val="Bordered - Accent 2"/>
    <w:basedOn w:val="33"/>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80">
    <w:name w:val="Bordered - Accent 3"/>
    <w:basedOn w:val="33"/>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81">
    <w:name w:val="Bordered - Accent 4"/>
    <w:basedOn w:val="33"/>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82">
    <w:name w:val="Bordered - Accent 5"/>
    <w:basedOn w:val="33"/>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3">
    <w:name w:val="Bordered - Accent 6"/>
    <w:basedOn w:val="33"/>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4">
    <w:name w:val="脚注文本 字符"/>
    <w:link w:val="25"/>
    <w:qFormat/>
    <w:uiPriority w:val="99"/>
    <w:rPr>
      <w:sz w:val="18"/>
    </w:rPr>
  </w:style>
  <w:style w:type="character" w:customStyle="1" w:styleId="185">
    <w:name w:val="尾注文本 字符"/>
    <w:link w:val="18"/>
    <w:qFormat/>
    <w:uiPriority w:val="99"/>
    <w:rPr>
      <w:sz w:val="20"/>
    </w:rPr>
  </w:style>
  <w:style w:type="paragraph" w:customStyle="1" w:styleId="186">
    <w:name w:val="TOC 标题1"/>
    <w:unhideWhenUsed/>
    <w:qFormat/>
    <w:uiPriority w:val="39"/>
    <w:rPr>
      <w:rFonts w:asciiTheme="minorHAnsi" w:hAnsiTheme="minorHAnsi" w:eastAsiaTheme="minorEastAsia" w:cstheme="minorBidi"/>
      <w:lang w:val="en-US" w:eastAsia="zh-CN" w:bidi="ar-SA"/>
    </w:rPr>
  </w:style>
  <w:style w:type="character" w:customStyle="1" w:styleId="187">
    <w:name w:val="批注框文本 字符"/>
    <w:basedOn w:val="35"/>
    <w:link w:val="19"/>
    <w:qFormat/>
    <w:uiPriority w:val="0"/>
    <w:rPr>
      <w:rFonts w:ascii="等线" w:hAnsi="等线" w:eastAsia="等线" w:cs="Times New Roman"/>
      <w:sz w:val="18"/>
      <w:szCs w:val="18"/>
    </w:rPr>
  </w:style>
  <w:style w:type="paragraph" w:styleId="188">
    <w:name w:val="List Paragraph"/>
    <w:basedOn w:val="1"/>
    <w:qFormat/>
    <w:uiPriority w:val="99"/>
    <w:pPr>
      <w:ind w:firstLine="420"/>
    </w:pPr>
  </w:style>
  <w:style w:type="paragraph" w:customStyle="1" w:styleId="189">
    <w:name w:val="Revision"/>
    <w:hidden/>
    <w:unhideWhenUsed/>
    <w:qFormat/>
    <w:uiPriority w:val="99"/>
    <w:rPr>
      <w:rFonts w:ascii="等线" w:hAnsi="等线" w:eastAsia="等线"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5158</Words>
  <Characters>5226</Characters>
  <Lines>43</Lines>
  <Paragraphs>12</Paragraphs>
  <TotalTime>0</TotalTime>
  <ScaleCrop>false</ScaleCrop>
  <LinksUpToDate>false</LinksUpToDate>
  <CharactersWithSpaces>5255</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2025-12-15T01:46:00Z</dcterms:created>
  <dc:creator>Administrator</dc:creator>
  <cp:lastModifiedBy>Administrator</cp:lastModifiedBy>
  <dcterms:modified xsi:type="dcterms:W3CDTF">2025-12-16T09:19:24Z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A01B119E52844D518D71DCB8A69320D3_13</vt:lpwstr>
  </property>
  <property fmtid="{D5CDD505-2E9C-101B-9397-08002B2CF9AE}" pid="4" name="KSOTemplateDocerSaveRecord">
    <vt:lpwstr>eyJoZGlkIjoiZmEyYWJhYmI2MDhjZjgzZDkyM2M2ZjJiMTlkYTZkZjMiLCJ1c2VySWQiOiIxNDE0Mjc5NjUwIn0=</vt:lpwstr>
  </property>
</Properties>
</file>