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2BE8FB">
      <w:pPr>
        <w:spacing w:line="560" w:lineRule="exact"/>
        <w:jc w:val="center"/>
        <w:rPr>
          <w:rFonts w:hint="eastAsia" w:ascii="方正小标宋简体" w:hAnsi="宋体" w:eastAsia="方正小标宋简体"/>
          <w:bCs/>
          <w:sz w:val="36"/>
          <w:szCs w:val="36"/>
          <w:highlight w:val="none"/>
        </w:rPr>
      </w:pPr>
      <w:bookmarkStart w:id="0" w:name="_GoBack"/>
      <w:bookmarkEnd w:id="0"/>
      <w:r>
        <w:rPr>
          <w:rFonts w:hint="eastAsia" w:ascii="方正小标宋简体" w:hAnsi="宋体" w:eastAsia="方正小标宋简体"/>
          <w:bCs/>
          <w:sz w:val="36"/>
          <w:szCs w:val="36"/>
          <w:highlight w:val="none"/>
        </w:rPr>
        <w:t xml:space="preserve">   </w:t>
      </w:r>
      <w:r>
        <w:rPr>
          <w:rFonts w:hint="eastAsia" w:ascii="方正小标宋简体" w:hAnsi="宋体" w:eastAsia="方正小标宋简体"/>
          <w:bCs/>
          <w:sz w:val="36"/>
          <w:szCs w:val="36"/>
          <w:highlight w:val="none"/>
          <w:lang w:val="en-US" w:eastAsia="zh-CN"/>
        </w:rPr>
        <w:t>水利工程现代化管理及智能巡查服务体系构建服务</w:t>
      </w:r>
    </w:p>
    <w:p w14:paraId="30F7CE08">
      <w:pPr>
        <w:spacing w:line="560" w:lineRule="exact"/>
        <w:jc w:val="center"/>
        <w:rPr>
          <w:rFonts w:ascii="方正小标宋简体" w:hAnsi="宋体" w:eastAsia="方正小标宋简体"/>
          <w:bCs/>
          <w:sz w:val="36"/>
          <w:szCs w:val="36"/>
          <w:highlight w:val="none"/>
        </w:rPr>
      </w:pPr>
      <w:r>
        <w:rPr>
          <w:rFonts w:hint="eastAsia" w:ascii="方正小标宋简体" w:hAnsi="宋体" w:eastAsia="方正小标宋简体"/>
          <w:bCs/>
          <w:sz w:val="36"/>
          <w:szCs w:val="36"/>
          <w:highlight w:val="none"/>
        </w:rPr>
        <w:t>项目监理服务内容及要求</w:t>
      </w:r>
    </w:p>
    <w:p w14:paraId="0EEC20C2">
      <w:pPr>
        <w:spacing w:line="560" w:lineRule="exact"/>
        <w:rPr>
          <w:rFonts w:ascii="宋体" w:hAnsi="宋体" w:eastAsia="宋体"/>
          <w:b/>
          <w:bCs/>
          <w:sz w:val="24"/>
          <w:szCs w:val="24"/>
          <w:highlight w:val="none"/>
        </w:rPr>
      </w:pPr>
      <w:r>
        <w:rPr>
          <w:rFonts w:hint="eastAsia" w:ascii="宋体" w:hAnsi="宋体" w:eastAsia="宋体"/>
          <w:b/>
          <w:bCs/>
          <w:sz w:val="24"/>
          <w:szCs w:val="24"/>
          <w:highlight w:val="none"/>
        </w:rPr>
        <w:t xml:space="preserve">    </w:t>
      </w:r>
    </w:p>
    <w:p w14:paraId="1C6DC47F">
      <w:pPr>
        <w:spacing w:line="560" w:lineRule="exact"/>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rPr>
        <w:t>一、项目概况</w:t>
      </w:r>
    </w:p>
    <w:p w14:paraId="409915EC">
      <w:pPr>
        <w:spacing w:line="560" w:lineRule="exact"/>
        <w:ind w:firstLine="643" w:firstLineChars="200"/>
        <w:rPr>
          <w:rFonts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（一）项目背景</w:t>
      </w:r>
    </w:p>
    <w:p w14:paraId="69BB63FB">
      <w:pPr>
        <w:spacing w:line="560" w:lineRule="exact"/>
        <w:ind w:firstLine="640" w:firstLineChars="200"/>
        <w:rPr>
          <w:rFonts w:hint="eastAsia" w:ascii="仿宋_GB2312" w:hAnsi="Times New Roman" w:eastAsia="仿宋_GB2312"/>
          <w:snapToGrid w:val="0"/>
          <w:kern w:val="0"/>
          <w:sz w:val="32"/>
          <w:szCs w:val="32"/>
          <w:highlight w:val="none"/>
        </w:rPr>
      </w:pPr>
      <w:r>
        <w:rPr>
          <w:rFonts w:hint="eastAsia" w:ascii="仿宋_GB2312" w:hAnsi="Times New Roman" w:eastAsia="仿宋_GB2312"/>
          <w:snapToGrid w:val="0"/>
          <w:kern w:val="0"/>
          <w:sz w:val="32"/>
          <w:szCs w:val="32"/>
          <w:highlight w:val="none"/>
          <w:lang w:eastAsia="zh-CN"/>
        </w:rPr>
        <w:t>（</w:t>
      </w:r>
      <w:r>
        <w:rPr>
          <w:rFonts w:hint="eastAsia" w:ascii="仿宋_GB2312" w:hAnsi="Times New Roman" w:eastAsia="仿宋_GB2312"/>
          <w:snapToGrid w:val="0"/>
          <w:kern w:val="0"/>
          <w:sz w:val="32"/>
          <w:szCs w:val="32"/>
          <w:highlight w:val="none"/>
          <w:lang w:val="en-US" w:eastAsia="zh-CN"/>
        </w:rPr>
        <w:t>1）</w:t>
      </w:r>
      <w:r>
        <w:rPr>
          <w:rFonts w:hint="eastAsia" w:ascii="仿宋_GB2312" w:hAnsi="Times New Roman" w:eastAsia="仿宋_GB2312"/>
          <w:snapToGrid w:val="0"/>
          <w:kern w:val="0"/>
          <w:sz w:val="32"/>
          <w:szCs w:val="32"/>
          <w:highlight w:val="none"/>
        </w:rPr>
        <w:t>政策背景要求</w:t>
      </w:r>
    </w:p>
    <w:p w14:paraId="299B1874">
      <w:pPr>
        <w:spacing w:line="560" w:lineRule="exact"/>
        <w:ind w:firstLine="640" w:firstLineChars="200"/>
        <w:rPr>
          <w:rFonts w:hint="eastAsia" w:ascii="仿宋_GB2312" w:hAnsi="Times New Roman" w:eastAsia="仿宋_GB2312"/>
          <w:snapToGrid w:val="0"/>
          <w:kern w:val="0"/>
          <w:sz w:val="32"/>
          <w:szCs w:val="32"/>
          <w:highlight w:val="none"/>
        </w:rPr>
      </w:pPr>
      <w:r>
        <w:rPr>
          <w:rFonts w:hint="eastAsia" w:ascii="仿宋_GB2312" w:hAnsi="Times New Roman" w:eastAsia="仿宋_GB2312"/>
          <w:snapToGrid w:val="0"/>
          <w:kern w:val="0"/>
          <w:sz w:val="32"/>
          <w:szCs w:val="32"/>
          <w:highlight w:val="none"/>
        </w:rPr>
        <w:t>随着极端天气频发、管理要求日益精细化，传统水利工程运行管理模式在巡查效率、风险预警、问题反馈等方面面临挑战，亟需按照《水利部办公厅关于印发2024年水利工程建设工作要点的通知》（办建设〔2024〕101号）、《水利部等六部门关于加强水库大坝安全管理工作的通知》（水运管〔2024〕220号）、《福建省水利工程管理条例》的要求，开展福建省水利工程现代化管理及智能巡查服务体系构建服务项目，结合现代化技术手段，在提升管理效能同时，推动水利工程运行管理向数字化、智能化转型。</w:t>
      </w:r>
    </w:p>
    <w:p w14:paraId="074A5AD8">
      <w:pPr>
        <w:spacing w:line="560" w:lineRule="exact"/>
        <w:ind w:firstLine="640" w:firstLineChars="200"/>
        <w:rPr>
          <w:rFonts w:hint="eastAsia" w:ascii="仿宋_GB2312" w:hAnsi="Times New Roman" w:eastAsia="仿宋_GB2312"/>
          <w:snapToGrid w:val="0"/>
          <w:kern w:val="0"/>
          <w:sz w:val="32"/>
          <w:szCs w:val="32"/>
          <w:highlight w:val="none"/>
        </w:rPr>
      </w:pPr>
      <w:r>
        <w:rPr>
          <w:rFonts w:hint="eastAsia" w:ascii="仿宋_GB2312" w:hAnsi="Times New Roman" w:eastAsia="仿宋_GB2312"/>
          <w:snapToGrid w:val="0"/>
          <w:kern w:val="0"/>
          <w:sz w:val="32"/>
          <w:szCs w:val="32"/>
          <w:highlight w:val="none"/>
        </w:rPr>
        <w:t>（2）福建省水利工程运行管理信息平台现状</w:t>
      </w:r>
    </w:p>
    <w:p w14:paraId="72D63626">
      <w:pPr>
        <w:spacing w:line="560" w:lineRule="exact"/>
        <w:ind w:firstLine="640" w:firstLineChars="200"/>
        <w:rPr>
          <w:rFonts w:hint="eastAsia" w:ascii="仿宋_GB2312" w:hAnsi="Times New Roman" w:eastAsia="仿宋_GB2312"/>
          <w:snapToGrid w:val="0"/>
          <w:kern w:val="0"/>
          <w:sz w:val="32"/>
          <w:szCs w:val="32"/>
          <w:highlight w:val="none"/>
        </w:rPr>
      </w:pPr>
      <w:r>
        <w:rPr>
          <w:rFonts w:hint="eastAsia" w:ascii="仿宋_GB2312" w:hAnsi="Times New Roman" w:eastAsia="仿宋_GB2312"/>
          <w:snapToGrid w:val="0"/>
          <w:kern w:val="0"/>
          <w:sz w:val="32"/>
          <w:szCs w:val="32"/>
          <w:highlight w:val="none"/>
        </w:rPr>
        <w:t>福建省水利工程运行管理信息平台（原福建省水库运行管理信息平台）经过多年建设，整合了3522座水库大坝、2349段堤防、1390座水闸的工程管理功能，实现了对全省水利工程管理单位、监管单位及巡查员的全面用户覆盖，并提供涵盖工程特征、运行管理、巡查巡检等方面的综合业务支持。平台采用负载均衡的方式部署于福建省电子政务云，使用电子政务云提供的网络与环境，为福建省水利工程的高效管理和决策提供了强有力的信息化支持。</w:t>
      </w:r>
    </w:p>
    <w:p w14:paraId="3305F531">
      <w:pPr>
        <w:spacing w:line="560" w:lineRule="exact"/>
        <w:ind w:firstLine="640" w:firstLineChars="200"/>
        <w:rPr>
          <w:rFonts w:ascii="仿宋_GB2312" w:hAnsi="Times New Roman" w:eastAsia="仿宋_GB2312"/>
          <w:snapToGrid w:val="0"/>
          <w:kern w:val="0"/>
          <w:sz w:val="32"/>
          <w:szCs w:val="32"/>
          <w:highlight w:val="none"/>
        </w:rPr>
      </w:pPr>
      <w:r>
        <w:rPr>
          <w:rFonts w:hint="eastAsia" w:ascii="仿宋_GB2312" w:hAnsi="Times New Roman" w:eastAsia="仿宋_GB2312"/>
          <w:snapToGrid w:val="0"/>
          <w:kern w:val="0"/>
          <w:sz w:val="32"/>
          <w:szCs w:val="32"/>
          <w:highlight w:val="none"/>
        </w:rPr>
        <w:t>（3）福建省水利工程运行管理数据现状福建省水利工程运行管理信息平台积累了大量水利工程运管数据，包括全省水利工程责任制数据、水库水位监测数据、水库库容曲线数据、水库巡查数据、水库大坝安全监测数据、安全鉴定数据、除险加固数据、数据治理情况等。。</w:t>
      </w:r>
    </w:p>
    <w:p w14:paraId="51880562">
      <w:pPr>
        <w:spacing w:line="560" w:lineRule="exact"/>
        <w:ind w:firstLine="643" w:firstLineChars="200"/>
        <w:rPr>
          <w:rFonts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（二）项目概述</w:t>
      </w:r>
    </w:p>
    <w:p w14:paraId="4AE1322C">
      <w:pPr>
        <w:spacing w:line="560" w:lineRule="exact"/>
        <w:ind w:firstLine="640" w:firstLineChars="200"/>
        <w:rPr>
          <w:rFonts w:ascii="仿宋_GB2312" w:hAnsi="Times New Roman" w:eastAsia="仿宋_GB2312"/>
          <w:snapToGrid w:val="0"/>
          <w:kern w:val="0"/>
          <w:sz w:val="32"/>
          <w:szCs w:val="32"/>
          <w:highlight w:val="none"/>
        </w:rPr>
      </w:pPr>
      <w:r>
        <w:rPr>
          <w:rFonts w:hint="eastAsia" w:ascii="仿宋_GB2312" w:hAnsi="Times New Roman" w:eastAsia="仿宋_GB2312"/>
          <w:snapToGrid w:val="0"/>
          <w:kern w:val="0"/>
          <w:sz w:val="32"/>
          <w:szCs w:val="32"/>
          <w:highlight w:val="none"/>
        </w:rPr>
        <w:t>项目服务内容主要包括水利工程现代化管理服务、智能巡查服务体系构建服务、日常服务与应急服务。</w:t>
      </w:r>
    </w:p>
    <w:p w14:paraId="7F143954">
      <w:pPr>
        <w:spacing w:line="560" w:lineRule="exact"/>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rPr>
        <w:t>二、监理服务内容及要求</w:t>
      </w:r>
    </w:p>
    <w:p w14:paraId="58F7907F">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按照国家标准</w:t>
      </w:r>
      <w:r>
        <w:rPr>
          <w:rFonts w:hint="eastAsia" w:ascii="仿宋_GB2312" w:hAnsi="仿宋_GB2312" w:eastAsia="仿宋_GB2312" w:cs="仿宋_GB2312"/>
          <w:sz w:val="32"/>
          <w:szCs w:val="32"/>
          <w:highlight w:val="none"/>
          <w:lang w:eastAsia="zh-CN"/>
        </w:rPr>
        <w:t>、水利工程现代化管理及智能巡查服务体系构建服务</w:t>
      </w:r>
      <w:r>
        <w:rPr>
          <w:rFonts w:hint="eastAsia" w:ascii="仿宋_GB2312" w:hAnsi="仿宋_GB2312" w:eastAsia="仿宋_GB2312" w:cs="仿宋_GB2312"/>
          <w:sz w:val="32"/>
          <w:szCs w:val="32"/>
          <w:highlight w:val="none"/>
        </w:rPr>
        <w:t>项目招投标文件和服务合同等相关要求，对服务单位的合同履行情况及服务质量进行监理。</w:t>
      </w:r>
    </w:p>
    <w:p w14:paraId="1219DFF8">
      <w:pPr>
        <w:spacing w:line="560" w:lineRule="exact"/>
        <w:ind w:firstLine="643" w:firstLineChars="200"/>
        <w:rPr>
          <w:rFonts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（一）工作内容</w:t>
      </w:r>
    </w:p>
    <w:p w14:paraId="31CB823D">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本标为</w:t>
      </w:r>
      <w:r>
        <w:rPr>
          <w:rFonts w:hint="eastAsia" w:ascii="仿宋_GB2312" w:hAnsi="仿宋_GB2312" w:eastAsia="仿宋_GB2312" w:cs="仿宋_GB2312"/>
          <w:sz w:val="32"/>
          <w:szCs w:val="32"/>
          <w:highlight w:val="none"/>
          <w:lang w:val="en-US" w:eastAsia="zh-CN"/>
        </w:rPr>
        <w:t>水利工程现代化管理及智能巡查服务体系构建服务</w:t>
      </w:r>
      <w:r>
        <w:rPr>
          <w:rFonts w:hint="eastAsia" w:ascii="仿宋_GB2312" w:hAnsi="仿宋_GB2312" w:eastAsia="仿宋_GB2312" w:cs="仿宋_GB2312"/>
          <w:sz w:val="32"/>
          <w:szCs w:val="32"/>
          <w:highlight w:val="none"/>
        </w:rPr>
        <w:t>项目</w:t>
      </w:r>
      <w:r>
        <w:rPr>
          <w:rFonts w:ascii="仿宋_GB2312" w:hAnsi="仿宋_GB2312" w:eastAsia="仿宋_GB2312" w:cs="仿宋_GB2312"/>
          <w:sz w:val="32"/>
          <w:szCs w:val="32"/>
          <w:highlight w:val="none"/>
        </w:rPr>
        <w:t>的监理服务，中标人应对该项目的服务合同签订阶段、实施阶段、验收和考核考评阶段实行全过程监理，实现监理工作“控制、管理、协调”的目标。</w:t>
      </w:r>
    </w:p>
    <w:p w14:paraId="331814C1">
      <w:pPr>
        <w:spacing w:line="560" w:lineRule="exact"/>
        <w:ind w:firstLine="640" w:firstLineChars="200"/>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对服务合同的签订和建设中遇到的问题提供咨询意见。</w:t>
      </w:r>
    </w:p>
    <w:p w14:paraId="4014A3BE">
      <w:pPr>
        <w:spacing w:line="560" w:lineRule="exact"/>
        <w:ind w:firstLine="640" w:firstLineChars="200"/>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监督本服务项目实施工作，具体包含</w:t>
      </w:r>
      <w:r>
        <w:rPr>
          <w:rFonts w:hint="eastAsia" w:ascii="仿宋_GB2312" w:hAnsi="仿宋_GB2312" w:eastAsia="仿宋_GB2312" w:cs="仿宋_GB2312"/>
          <w:sz w:val="32"/>
          <w:szCs w:val="32"/>
          <w:highlight w:val="none"/>
        </w:rPr>
        <w:t>水利工程现代化管理服务、智能巡查服务体系构建服务、日常服务与应急服务四</w:t>
      </w:r>
      <w:r>
        <w:rPr>
          <w:rFonts w:ascii="仿宋_GB2312" w:hAnsi="仿宋_GB2312" w:eastAsia="仿宋_GB2312" w:cs="仿宋_GB2312"/>
          <w:sz w:val="32"/>
          <w:szCs w:val="32"/>
          <w:highlight w:val="none"/>
        </w:rPr>
        <w:t>部分内容。协助业主进行总体把握和评估，以确保满足业主使用要求。</w:t>
      </w:r>
    </w:p>
    <w:p w14:paraId="65B578D2">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水利工程现代化管理服务</w:t>
      </w:r>
      <w:r>
        <w:rPr>
          <w:rFonts w:hint="eastAsia" w:ascii="仿宋_GB2312" w:hAnsi="仿宋_GB2312" w:eastAsia="仿宋_GB2312" w:cs="仿宋_GB2312"/>
          <w:sz w:val="32"/>
          <w:szCs w:val="32"/>
          <w:highlight w:val="none"/>
        </w:rPr>
        <w:t>的监理：</w:t>
      </w:r>
      <w:r>
        <w:rPr>
          <w:rFonts w:ascii="仿宋_GB2312" w:hAnsi="仿宋_GB2312" w:eastAsia="仿宋_GB2312" w:cs="仿宋_GB2312"/>
          <w:sz w:val="32"/>
          <w:szCs w:val="32"/>
          <w:highlight w:val="none"/>
        </w:rPr>
        <w:t>监理中标单位应根据服务招标文件要求</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审核服务中标单位</w:t>
      </w:r>
      <w:r>
        <w:rPr>
          <w:rFonts w:hint="eastAsia" w:ascii="仿宋_GB2312" w:hAnsi="仿宋_GB2312" w:eastAsia="仿宋_GB2312" w:cs="仿宋_GB2312"/>
          <w:sz w:val="32"/>
          <w:szCs w:val="32"/>
          <w:highlight w:val="none"/>
        </w:rPr>
        <w:t>对于</w:t>
      </w:r>
      <w:r>
        <w:rPr>
          <w:rFonts w:hint="eastAsia" w:ascii="仿宋_GB2312" w:hAnsi="仿宋_GB2312" w:eastAsia="仿宋_GB2312" w:cs="仿宋_GB2312"/>
          <w:sz w:val="32"/>
          <w:szCs w:val="32"/>
          <w:highlight w:val="none"/>
          <w:lang w:val="en-US" w:eastAsia="zh-CN"/>
        </w:rPr>
        <w:t>数字信息档案构建服务、运行管理数字画像评分服务、汛期水位预警处置服务、汛期纳雨能力分析服务、堤防地理信息数据收集校核及上图服务管理保护范围收集校核及上图服务、水利工程流域信息梳理及上图服务</w:t>
      </w:r>
      <w:r>
        <w:rPr>
          <w:rFonts w:hint="eastAsia" w:ascii="仿宋_GB2312" w:hAnsi="仿宋_GB2312" w:eastAsia="仿宋_GB2312" w:cs="仿宋_GB2312"/>
          <w:sz w:val="32"/>
          <w:szCs w:val="32"/>
          <w:highlight w:val="none"/>
        </w:rPr>
        <w:t>是否满足服务招标文件要求。</w:t>
      </w:r>
    </w:p>
    <w:p w14:paraId="69FABD57">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智能巡查服务体系构建服务</w:t>
      </w:r>
      <w:r>
        <w:rPr>
          <w:rFonts w:hint="eastAsia" w:ascii="仿宋_GB2312" w:hAnsi="仿宋_GB2312" w:eastAsia="仿宋_GB2312" w:cs="仿宋_GB2312"/>
          <w:sz w:val="32"/>
          <w:szCs w:val="32"/>
          <w:highlight w:val="none"/>
        </w:rPr>
        <w:t>的监理：监理中标单位应督促监管服务中标单位及时开展</w:t>
      </w:r>
      <w:r>
        <w:rPr>
          <w:rFonts w:hint="eastAsia" w:ascii="仿宋_GB2312" w:hAnsi="仿宋_GB2312" w:eastAsia="仿宋_GB2312" w:cs="仿宋_GB2312"/>
          <w:sz w:val="32"/>
          <w:szCs w:val="32"/>
          <w:highlight w:val="none"/>
          <w:lang w:val="en-US" w:eastAsia="zh-CN"/>
        </w:rPr>
        <w:t>相应巡查分析服务</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对其提供的水库巡查台账标准化服务</w:t>
      </w:r>
      <w:r>
        <w:rPr>
          <w:rFonts w:hint="eastAsia" w:ascii="仿宋_GB2312" w:hAnsi="仿宋_GB2312" w:eastAsia="仿宋_GB2312" w:cs="仿宋_GB2312"/>
          <w:sz w:val="32"/>
          <w:szCs w:val="32"/>
          <w:highlight w:val="none"/>
          <w:lang w:eastAsia="zh-CN"/>
        </w:rPr>
        <w:t>、全省水库日常巡查分析评价</w:t>
      </w:r>
      <w:r>
        <w:rPr>
          <w:rFonts w:hint="eastAsia" w:ascii="仿宋_GB2312" w:hAnsi="仿宋_GB2312" w:eastAsia="仿宋_GB2312" w:cs="仿宋_GB2312"/>
          <w:sz w:val="32"/>
          <w:szCs w:val="32"/>
          <w:highlight w:val="none"/>
          <w:lang w:val="en-US" w:eastAsia="zh-CN"/>
        </w:rPr>
        <w:t>及智能巡查服务体系构建服务成果整编</w:t>
      </w:r>
      <w:r>
        <w:rPr>
          <w:rFonts w:hint="eastAsia" w:ascii="仿宋_GB2312" w:hAnsi="仿宋_GB2312" w:eastAsia="仿宋_GB2312" w:cs="仿宋_GB2312"/>
          <w:sz w:val="32"/>
          <w:szCs w:val="32"/>
          <w:highlight w:val="none"/>
        </w:rPr>
        <w:t>，确认是否满足服务招标文件要求。</w:t>
      </w:r>
    </w:p>
    <w:p w14:paraId="63A1197A">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日常服务</w:t>
      </w:r>
      <w:r>
        <w:rPr>
          <w:rFonts w:hint="eastAsia" w:ascii="仿宋_GB2312" w:hAnsi="仿宋_GB2312" w:eastAsia="仿宋_GB2312" w:cs="仿宋_GB2312"/>
          <w:sz w:val="32"/>
          <w:szCs w:val="32"/>
          <w:highlight w:val="none"/>
        </w:rPr>
        <w:t>方面的监理：</w:t>
      </w:r>
      <w:r>
        <w:rPr>
          <w:rFonts w:ascii="仿宋_GB2312" w:hAnsi="仿宋_GB2312" w:eastAsia="仿宋_GB2312" w:cs="仿宋_GB2312"/>
          <w:sz w:val="32"/>
          <w:szCs w:val="32"/>
          <w:highlight w:val="none"/>
        </w:rPr>
        <w:t>监理中标单位应根据服务招标文件要求</w:t>
      </w:r>
      <w:r>
        <w:rPr>
          <w:rFonts w:hint="eastAsia" w:ascii="仿宋_GB2312" w:hAnsi="仿宋_GB2312" w:eastAsia="仿宋_GB2312" w:cs="仿宋_GB2312"/>
          <w:sz w:val="32"/>
          <w:szCs w:val="32"/>
          <w:highlight w:val="none"/>
        </w:rPr>
        <w:t>督促并核实服务中标单位提供至少1名日常服务人员严格遵守项目任务要求</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协助推进本次服务内容的正常开展，按照服务期限规定的时间节点及时交付项目成果。</w:t>
      </w:r>
    </w:p>
    <w:p w14:paraId="6858D8EA">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应急服务</w:t>
      </w:r>
      <w:r>
        <w:rPr>
          <w:rFonts w:hint="eastAsia" w:ascii="仿宋_GB2312" w:hAnsi="仿宋_GB2312" w:eastAsia="仿宋_GB2312" w:cs="仿宋_GB2312"/>
          <w:sz w:val="32"/>
          <w:szCs w:val="32"/>
          <w:highlight w:val="none"/>
        </w:rPr>
        <w:t>方面的监理：</w:t>
      </w:r>
      <w:r>
        <w:rPr>
          <w:rFonts w:ascii="仿宋_GB2312" w:hAnsi="仿宋_GB2312" w:eastAsia="仿宋_GB2312" w:cs="仿宋_GB2312"/>
          <w:sz w:val="32"/>
          <w:szCs w:val="32"/>
          <w:highlight w:val="none"/>
        </w:rPr>
        <w:t>督促服务中标单位</w:t>
      </w:r>
      <w:r>
        <w:rPr>
          <w:rFonts w:hint="eastAsia" w:ascii="仿宋_GB2312" w:hAnsi="仿宋_GB2312" w:eastAsia="仿宋_GB2312" w:cs="仿宋_GB2312"/>
          <w:sz w:val="32"/>
          <w:szCs w:val="32"/>
          <w:highlight w:val="none"/>
        </w:rPr>
        <w:t>对于具有技术难度较高的任务或应急事件发生时</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快速响应福建省洪水预警报中心（福建省水利信息中心）的需求，并结合具体情况开展应急处置服务。</w:t>
      </w:r>
    </w:p>
    <w:p w14:paraId="57A5D0C8">
      <w:pPr>
        <w:spacing w:line="560" w:lineRule="exact"/>
        <w:ind w:firstLine="640" w:firstLineChars="200"/>
        <w:rPr>
          <w:rFonts w:hint="eastAsia" w:ascii="仿宋_GB2312" w:hAnsi="仿宋_GB2312" w:eastAsia="仿宋_GB2312" w:cs="仿宋_GB2312"/>
          <w:sz w:val="32"/>
          <w:szCs w:val="32"/>
          <w:highlight w:val="none"/>
          <w:lang w:val="en-US" w:eastAsia="zh-CN"/>
        </w:rPr>
      </w:pPr>
      <w:r>
        <w:rPr>
          <w:rFonts w:ascii="仿宋_GB2312" w:hAnsi="仿宋_GB2312" w:eastAsia="仿宋_GB2312" w:cs="仿宋_GB2312"/>
          <w:sz w:val="32"/>
          <w:szCs w:val="32"/>
          <w:highlight w:val="none"/>
        </w:rPr>
        <w:t>7.年度考核考评：监理中标单位根据服务合同条款，以及</w:t>
      </w:r>
      <w:r>
        <w:rPr>
          <w:rFonts w:hint="eastAsia" w:ascii="仿宋_GB2312" w:hAnsi="仿宋_GB2312" w:eastAsia="仿宋_GB2312" w:cs="仿宋_GB2312"/>
          <w:sz w:val="32"/>
          <w:szCs w:val="32"/>
          <w:highlight w:val="none"/>
          <w:lang w:val="en-US" w:eastAsia="zh-CN"/>
        </w:rPr>
        <w:t>服务期要求中的水利工程现代化管理服务部分内容相应成果、年度（服务周期内）各项成果服务期确认</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对</w:t>
      </w:r>
      <w:r>
        <w:rPr>
          <w:rFonts w:hint="eastAsia" w:ascii="仿宋_GB2312" w:hAnsi="仿宋_GB2312" w:eastAsia="仿宋_GB2312" w:cs="仿宋_GB2312"/>
          <w:sz w:val="32"/>
          <w:szCs w:val="32"/>
          <w:highlight w:val="none"/>
        </w:rPr>
        <w:t>福建省水利工程现代化管理及智能巡查服务体系构建服务的服务提供商提供本次项目服务</w:t>
      </w:r>
      <w:r>
        <w:rPr>
          <w:rFonts w:hint="eastAsia" w:ascii="仿宋_GB2312" w:hAnsi="仿宋_GB2312" w:eastAsia="仿宋_GB2312" w:cs="仿宋_GB2312"/>
          <w:sz w:val="32"/>
          <w:szCs w:val="32"/>
          <w:highlight w:val="none"/>
          <w:lang w:val="en-US" w:eastAsia="zh-CN"/>
        </w:rPr>
        <w:t>考核建议。</w:t>
      </w:r>
    </w:p>
    <w:p w14:paraId="1014AAFC">
      <w:pPr>
        <w:spacing w:line="560" w:lineRule="exact"/>
        <w:ind w:firstLine="640" w:firstLineChars="200"/>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8.监理中标单位在本项目建设的各个阶段，对所产生的信息进行比对、整理、核实、抽查，协助</w:t>
      </w:r>
      <w:r>
        <w:rPr>
          <w:rFonts w:hint="eastAsia" w:ascii="仿宋_GB2312" w:hAnsi="仿宋_GB2312" w:eastAsia="仿宋_GB2312" w:cs="仿宋_GB2312"/>
          <w:sz w:val="32"/>
          <w:szCs w:val="32"/>
          <w:highlight w:val="none"/>
        </w:rPr>
        <w:t>业主</w:t>
      </w:r>
      <w:r>
        <w:rPr>
          <w:rFonts w:ascii="仿宋_GB2312" w:hAnsi="仿宋_GB2312" w:eastAsia="仿宋_GB2312" w:cs="仿宋_GB2312"/>
          <w:sz w:val="32"/>
          <w:szCs w:val="32"/>
          <w:highlight w:val="none"/>
        </w:rPr>
        <w:t>单位建立信息管理制度，产生包括实施细则、监理报告、验收报告、年度考核评价、总结报告等完整的总控类文档、监理实施类文档和回复（批复）类文档。</w:t>
      </w:r>
    </w:p>
    <w:p w14:paraId="4A07B0BD">
      <w:pPr>
        <w:spacing w:line="56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9.按照预定计划对建设进度进行有效控制，根据项目整体进度要求，结合项目的特点对服务中标单位提交的进度计划进行审查、修改。在进度计划的执行过程中，按计划对施工活动进行全面控制，检查和分析计划的执行情况；并根据实际情况调整计划，以确保工程按合同规定的日期竣工</w:t>
      </w:r>
      <w:r>
        <w:rPr>
          <w:rFonts w:hint="eastAsia" w:ascii="仿宋_GB2312" w:hAnsi="仿宋_GB2312" w:eastAsia="仿宋_GB2312" w:cs="仿宋_GB2312"/>
          <w:sz w:val="32"/>
          <w:szCs w:val="32"/>
          <w:highlight w:val="none"/>
        </w:rPr>
        <w:t>。</w:t>
      </w:r>
    </w:p>
    <w:p w14:paraId="3AC3A406">
      <w:pPr>
        <w:spacing w:line="560" w:lineRule="exact"/>
        <w:ind w:firstLine="640" w:firstLineChars="200"/>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10.按照合同对投资总额进行有效控制，监理单位按采购合同的规定负责审核</w:t>
      </w:r>
      <w:r>
        <w:rPr>
          <w:rFonts w:hint="eastAsia" w:ascii="仿宋_GB2312" w:hAnsi="仿宋_GB2312" w:eastAsia="仿宋_GB2312" w:cs="仿宋_GB2312"/>
          <w:sz w:val="32"/>
          <w:szCs w:val="32"/>
          <w:highlight w:val="none"/>
        </w:rPr>
        <w:t>服务中标</w:t>
      </w:r>
      <w:r>
        <w:rPr>
          <w:rFonts w:ascii="仿宋_GB2312" w:hAnsi="仿宋_GB2312" w:eastAsia="仿宋_GB2312" w:cs="仿宋_GB2312"/>
          <w:sz w:val="32"/>
          <w:szCs w:val="32"/>
          <w:highlight w:val="none"/>
        </w:rPr>
        <w:t>单位提交的进度付款单，提出审核意见；服务过程中随时督促施工方，严格控制投资变更。</w:t>
      </w:r>
    </w:p>
    <w:p w14:paraId="04D324DC">
      <w:pPr>
        <w:spacing w:line="56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11.依据合同及其附件的相关条款梳理验收程序和标准，监理单位协助</w:t>
      </w:r>
      <w:r>
        <w:rPr>
          <w:rFonts w:hint="eastAsia" w:ascii="仿宋_GB2312" w:hAnsi="仿宋_GB2312" w:eastAsia="仿宋_GB2312" w:cs="仿宋_GB2312"/>
          <w:sz w:val="32"/>
          <w:szCs w:val="32"/>
          <w:highlight w:val="none"/>
        </w:rPr>
        <w:t>业主</w:t>
      </w:r>
      <w:r>
        <w:rPr>
          <w:rFonts w:ascii="仿宋_GB2312" w:hAnsi="仿宋_GB2312" w:eastAsia="仿宋_GB2312" w:cs="仿宋_GB2312"/>
          <w:sz w:val="32"/>
          <w:szCs w:val="32"/>
          <w:highlight w:val="none"/>
        </w:rPr>
        <w:t>单位做好对</w:t>
      </w:r>
      <w:r>
        <w:rPr>
          <w:rFonts w:hint="eastAsia" w:ascii="仿宋_GB2312" w:hAnsi="仿宋_GB2312" w:eastAsia="仿宋_GB2312" w:cs="仿宋_GB2312"/>
          <w:sz w:val="32"/>
          <w:szCs w:val="32"/>
          <w:highlight w:val="none"/>
        </w:rPr>
        <w:t>服务中标</w:t>
      </w:r>
      <w:r>
        <w:rPr>
          <w:rFonts w:ascii="仿宋_GB2312" w:hAnsi="仿宋_GB2312" w:eastAsia="仿宋_GB2312" w:cs="仿宋_GB2312"/>
          <w:sz w:val="32"/>
          <w:szCs w:val="32"/>
          <w:highlight w:val="none"/>
        </w:rPr>
        <w:t>单位提交的验收计划合理性审核工作。在此基础上，协助</w:t>
      </w:r>
      <w:r>
        <w:rPr>
          <w:rFonts w:hint="eastAsia" w:ascii="仿宋_GB2312" w:hAnsi="仿宋_GB2312" w:eastAsia="仿宋_GB2312" w:cs="仿宋_GB2312"/>
          <w:sz w:val="32"/>
          <w:szCs w:val="32"/>
          <w:highlight w:val="none"/>
        </w:rPr>
        <w:t>业主</w:t>
      </w:r>
      <w:r>
        <w:rPr>
          <w:rFonts w:ascii="仿宋_GB2312" w:hAnsi="仿宋_GB2312" w:eastAsia="仿宋_GB2312" w:cs="仿宋_GB2312"/>
          <w:sz w:val="32"/>
          <w:szCs w:val="32"/>
          <w:highlight w:val="none"/>
        </w:rPr>
        <w:t>单位制定验收程序和标准</w:t>
      </w:r>
      <w:r>
        <w:rPr>
          <w:rFonts w:hint="eastAsia" w:ascii="仿宋_GB2312" w:hAnsi="仿宋_GB2312" w:eastAsia="仿宋_GB2312" w:cs="仿宋_GB2312"/>
          <w:sz w:val="32"/>
          <w:szCs w:val="32"/>
          <w:highlight w:val="none"/>
        </w:rPr>
        <w:t>。</w:t>
      </w:r>
    </w:p>
    <w:p w14:paraId="1A0BB924">
      <w:pPr>
        <w:spacing w:line="560" w:lineRule="exact"/>
        <w:ind w:firstLine="643" w:firstLineChars="200"/>
        <w:rPr>
          <w:rFonts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（二）工作要求</w:t>
      </w:r>
    </w:p>
    <w:p w14:paraId="0BD37F4D">
      <w:pPr>
        <w:spacing w:line="560" w:lineRule="exact"/>
        <w:ind w:firstLine="643" w:firstLineChars="200"/>
        <w:rPr>
          <w:rFonts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1.具体工作要求</w:t>
      </w:r>
    </w:p>
    <w:p w14:paraId="6981B243">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监理单位必须坚持以“守法、公平、公正、独立”为原则，安排工作人员做好本项目质量和进度控制，协助业主单位完成本项目任务提供管理和技术咨询，必须依照有关标准和法律法规以及业主单位的需求，以高度的责任心、丰富的项目管理和专业技术经验，对项目实施全面的、有重点的、精线条的监督管理，受业主单位委托负责审核合同条款、控制项目进度和质量、进行成本核算，按期分段对项目验收，保证项目按期、高质量地完成，最终提交业主单位满意的成果。</w:t>
      </w:r>
    </w:p>
    <w:p w14:paraId="74947827">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本监理项目工作要求具体包括：“四控制、三管理、一协调”，即：质量控制、进度控制、成本控制、变更控制；安全管理、合同管理、信息管理；组织协调。</w:t>
      </w:r>
      <w:r>
        <w:rPr>
          <w:rFonts w:ascii="仿宋_GB2312" w:hAnsi="仿宋_GB2312" w:eastAsia="仿宋_GB2312" w:cs="仿宋_GB2312"/>
          <w:sz w:val="32"/>
          <w:szCs w:val="32"/>
          <w:highlight w:val="none"/>
        </w:rPr>
        <w:t xml:space="preserve"> </w:t>
      </w:r>
    </w:p>
    <w:p w14:paraId="1817B4D8">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ascii="仿宋_GB2312" w:hAnsi="仿宋_GB2312" w:eastAsia="仿宋_GB2312" w:cs="仿宋_GB2312"/>
          <w:sz w:val="32"/>
          <w:szCs w:val="32"/>
          <w:highlight w:val="none"/>
        </w:rPr>
        <w:t>质量控制</w:t>
      </w:r>
    </w:p>
    <w:p w14:paraId="0ABD6096">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包括但不仅限于：</w:t>
      </w:r>
    </w:p>
    <w:p w14:paraId="5958D1DF">
      <w:pPr>
        <w:pStyle w:val="11"/>
        <w:numPr>
          <w:ilvl w:val="0"/>
          <w:numId w:val="1"/>
        </w:numPr>
        <w:spacing w:line="560" w:lineRule="exact"/>
        <w:ind w:left="0" w:firstLine="640" w:firstLineChars="200"/>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 xml:space="preserve">依据采购文件、响应文件、合同，审查、监督、控制项目建设过程、项目成果的质量。 </w:t>
      </w:r>
    </w:p>
    <w:p w14:paraId="4776FF7E">
      <w:pPr>
        <w:pStyle w:val="11"/>
        <w:numPr>
          <w:ilvl w:val="0"/>
          <w:numId w:val="1"/>
        </w:numPr>
        <w:spacing w:line="560" w:lineRule="exact"/>
        <w:ind w:left="0" w:firstLine="640" w:firstLineChars="200"/>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 xml:space="preserve">采取事前预防、事中控制、事后纠正的监理方式，依据国家法律、法规、标准以及项目合同、设计方案、监理规划、监理实施细则等文件控制项目质量。 </w:t>
      </w:r>
    </w:p>
    <w:p w14:paraId="19899A54">
      <w:pPr>
        <w:pStyle w:val="11"/>
        <w:numPr>
          <w:ilvl w:val="0"/>
          <w:numId w:val="1"/>
        </w:numPr>
        <w:spacing w:line="560" w:lineRule="exact"/>
        <w:ind w:left="0" w:firstLine="640" w:firstLineChars="200"/>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根据项目的特点，制定验收标准，验收方法</w:t>
      </w:r>
      <w:r>
        <w:rPr>
          <w:rFonts w:hint="eastAsia" w:ascii="仿宋_GB2312" w:hAnsi="仿宋_GB2312" w:eastAsia="仿宋_GB2312" w:cs="仿宋_GB2312"/>
          <w:sz w:val="32"/>
          <w:szCs w:val="32"/>
          <w:highlight w:val="none"/>
        </w:rPr>
        <w:t>和</w:t>
      </w:r>
      <w:r>
        <w:rPr>
          <w:rFonts w:ascii="仿宋_GB2312" w:hAnsi="仿宋_GB2312" w:eastAsia="仿宋_GB2312" w:cs="仿宋_GB2312"/>
          <w:sz w:val="32"/>
          <w:szCs w:val="32"/>
          <w:highlight w:val="none"/>
        </w:rPr>
        <w:t xml:space="preserve">监理控制方案。 </w:t>
      </w:r>
    </w:p>
    <w:p w14:paraId="62D55292">
      <w:pPr>
        <w:pStyle w:val="11"/>
        <w:numPr>
          <w:ilvl w:val="0"/>
          <w:numId w:val="1"/>
        </w:numPr>
        <w:spacing w:line="560" w:lineRule="exact"/>
        <w:ind w:left="0" w:firstLine="640" w:firstLineChars="200"/>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编制重大质量问题的处理预案，包括</w:t>
      </w:r>
      <w:r>
        <w:rPr>
          <w:rFonts w:hint="eastAsia" w:ascii="仿宋_GB2312" w:hAnsi="仿宋_GB2312" w:eastAsia="仿宋_GB2312" w:cs="仿宋_GB2312"/>
          <w:sz w:val="32"/>
          <w:szCs w:val="32"/>
          <w:highlight w:val="none"/>
          <w:lang w:val="en-US" w:eastAsia="zh-CN"/>
        </w:rPr>
        <w:t>福建省水利工程现代化管理及智能巡查服务体系构建服务</w:t>
      </w:r>
      <w:r>
        <w:rPr>
          <w:rFonts w:ascii="仿宋_GB2312" w:hAnsi="仿宋_GB2312" w:eastAsia="仿宋_GB2312" w:cs="仿宋_GB2312"/>
          <w:sz w:val="32"/>
          <w:szCs w:val="32"/>
          <w:highlight w:val="none"/>
        </w:rPr>
        <w:t xml:space="preserve">过程中可能出现的重大质量问题的处理预案。 </w:t>
      </w:r>
    </w:p>
    <w:p w14:paraId="3383E255">
      <w:pPr>
        <w:pStyle w:val="11"/>
        <w:numPr>
          <w:ilvl w:val="0"/>
          <w:numId w:val="1"/>
        </w:numPr>
        <w:spacing w:line="560" w:lineRule="exact"/>
        <w:ind w:left="0" w:firstLine="640" w:firstLineChars="200"/>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组织</w:t>
      </w:r>
      <w:r>
        <w:rPr>
          <w:rFonts w:hint="eastAsia" w:ascii="仿宋_GB2312" w:hAnsi="仿宋_GB2312" w:eastAsia="仿宋_GB2312" w:cs="仿宋_GB2312"/>
          <w:sz w:val="32"/>
          <w:szCs w:val="32"/>
          <w:highlight w:val="none"/>
        </w:rPr>
        <w:t>福建省水利工程现代化管理及智能巡查服务体系构建服务</w:t>
      </w:r>
      <w:r>
        <w:rPr>
          <w:rFonts w:ascii="仿宋_GB2312" w:hAnsi="仿宋_GB2312" w:eastAsia="仿宋_GB2312" w:cs="仿宋_GB2312"/>
          <w:sz w:val="32"/>
          <w:szCs w:val="32"/>
          <w:highlight w:val="none"/>
        </w:rPr>
        <w:t xml:space="preserve">质量事故的原因调查、问题分析、问题评估、事故处理。 </w:t>
      </w:r>
    </w:p>
    <w:p w14:paraId="408D6AD2">
      <w:pPr>
        <w:pStyle w:val="11"/>
        <w:numPr>
          <w:ilvl w:val="0"/>
          <w:numId w:val="1"/>
        </w:numPr>
        <w:spacing w:line="560" w:lineRule="exact"/>
        <w:ind w:left="0" w:firstLine="640" w:firstLineChars="200"/>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组织</w:t>
      </w:r>
      <w:r>
        <w:rPr>
          <w:rFonts w:hint="eastAsia" w:ascii="仿宋_GB2312" w:hAnsi="仿宋_GB2312" w:eastAsia="仿宋_GB2312" w:cs="仿宋_GB2312"/>
          <w:sz w:val="32"/>
          <w:szCs w:val="32"/>
          <w:highlight w:val="none"/>
        </w:rPr>
        <w:t>福建省水利工程现代化管理及智能巡查服务体系构建服务的</w:t>
      </w:r>
      <w:r>
        <w:rPr>
          <w:rFonts w:ascii="仿宋_GB2312" w:hAnsi="仿宋_GB2312" w:eastAsia="仿宋_GB2312" w:cs="仿宋_GB2312"/>
          <w:sz w:val="32"/>
          <w:szCs w:val="32"/>
          <w:highlight w:val="none"/>
        </w:rPr>
        <w:t xml:space="preserve">质量检查和验收。 </w:t>
      </w:r>
    </w:p>
    <w:p w14:paraId="60AD79B4">
      <w:pPr>
        <w:pStyle w:val="11"/>
        <w:numPr>
          <w:ilvl w:val="0"/>
          <w:numId w:val="1"/>
        </w:numPr>
        <w:spacing w:line="560" w:lineRule="exact"/>
        <w:ind w:left="0" w:firstLine="640" w:firstLineChars="200"/>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 xml:space="preserve">督促服务中标单位整改存在问题。 </w:t>
      </w:r>
    </w:p>
    <w:p w14:paraId="4F995E9F">
      <w:pPr>
        <w:pStyle w:val="11"/>
        <w:numPr>
          <w:ilvl w:val="0"/>
          <w:numId w:val="1"/>
        </w:numPr>
        <w:spacing w:line="560" w:lineRule="exact"/>
        <w:ind w:left="0" w:firstLine="640" w:firstLineChars="200"/>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 xml:space="preserve">参与项目竣工验收和交接。 </w:t>
      </w:r>
    </w:p>
    <w:p w14:paraId="5C202403">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ascii="仿宋_GB2312" w:hAnsi="仿宋_GB2312" w:eastAsia="仿宋_GB2312" w:cs="仿宋_GB2312"/>
          <w:sz w:val="32"/>
          <w:szCs w:val="32"/>
          <w:highlight w:val="none"/>
        </w:rPr>
        <w:t>进度控制</w:t>
      </w:r>
    </w:p>
    <w:p w14:paraId="7FAF1132">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包括但不仅限于：</w:t>
      </w:r>
    </w:p>
    <w:p w14:paraId="71D89243">
      <w:pPr>
        <w:pStyle w:val="11"/>
        <w:numPr>
          <w:ilvl w:val="0"/>
          <w:numId w:val="2"/>
        </w:numPr>
        <w:spacing w:line="560" w:lineRule="exact"/>
        <w:ind w:firstLineChars="0"/>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审查项目的</w:t>
      </w:r>
      <w:r>
        <w:rPr>
          <w:rFonts w:hint="eastAsia" w:ascii="仿宋_GB2312" w:hAnsi="仿宋_GB2312" w:eastAsia="仿宋_GB2312" w:cs="仿宋_GB2312"/>
          <w:sz w:val="32"/>
          <w:szCs w:val="32"/>
          <w:highlight w:val="none"/>
          <w:lang w:val="en-US" w:eastAsia="zh-CN"/>
        </w:rPr>
        <w:t>成果</w:t>
      </w:r>
      <w:r>
        <w:rPr>
          <w:rFonts w:hint="eastAsia" w:ascii="仿宋_GB2312" w:hAnsi="仿宋_GB2312" w:eastAsia="仿宋_GB2312" w:cs="仿宋_GB2312"/>
          <w:sz w:val="32"/>
          <w:szCs w:val="32"/>
          <w:highlight w:val="none"/>
        </w:rPr>
        <w:t>推送和报告编制</w:t>
      </w:r>
      <w:r>
        <w:rPr>
          <w:rFonts w:ascii="仿宋_GB2312" w:hAnsi="仿宋_GB2312" w:eastAsia="仿宋_GB2312" w:cs="仿宋_GB2312"/>
          <w:sz w:val="32"/>
          <w:szCs w:val="32"/>
          <w:highlight w:val="none"/>
        </w:rPr>
        <w:t xml:space="preserve">进度计划，监督计划的执行。 </w:t>
      </w:r>
    </w:p>
    <w:p w14:paraId="626A0D7E">
      <w:pPr>
        <w:pStyle w:val="11"/>
        <w:numPr>
          <w:ilvl w:val="0"/>
          <w:numId w:val="2"/>
        </w:numPr>
        <w:spacing w:line="560" w:lineRule="exact"/>
        <w:ind w:left="0" w:firstLine="640" w:firstLineChars="200"/>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采用项目管理工具，如：WBS、甘特图等，确定项目</w:t>
      </w:r>
      <w:r>
        <w:rPr>
          <w:rFonts w:hint="eastAsia" w:ascii="仿宋_GB2312" w:hAnsi="仿宋_GB2312" w:eastAsia="仿宋_GB2312" w:cs="仿宋_GB2312"/>
          <w:sz w:val="32"/>
          <w:szCs w:val="32"/>
          <w:highlight w:val="none"/>
          <w:lang w:val="en-US" w:eastAsia="zh-CN"/>
        </w:rPr>
        <w:t>成果</w:t>
      </w:r>
      <w:r>
        <w:rPr>
          <w:rFonts w:hint="eastAsia" w:ascii="仿宋_GB2312" w:hAnsi="仿宋_GB2312" w:eastAsia="仿宋_GB2312" w:cs="仿宋_GB2312"/>
          <w:sz w:val="32"/>
          <w:szCs w:val="32"/>
          <w:highlight w:val="none"/>
        </w:rPr>
        <w:t>推送和报告编制</w:t>
      </w:r>
      <w:r>
        <w:rPr>
          <w:rFonts w:ascii="仿宋_GB2312" w:hAnsi="仿宋_GB2312" w:eastAsia="仿宋_GB2312" w:cs="仿宋_GB2312"/>
          <w:sz w:val="32"/>
          <w:szCs w:val="32"/>
          <w:highlight w:val="none"/>
        </w:rPr>
        <w:t xml:space="preserve">的工序顺序，控制项目施工进度。 </w:t>
      </w:r>
    </w:p>
    <w:p w14:paraId="24DD4260">
      <w:pPr>
        <w:pStyle w:val="11"/>
        <w:numPr>
          <w:ilvl w:val="0"/>
          <w:numId w:val="2"/>
        </w:numPr>
        <w:spacing w:line="560" w:lineRule="exact"/>
        <w:ind w:left="0" w:firstLine="640" w:firstLineChars="200"/>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 xml:space="preserve">发现未能按计划进行时，要求调整或修改计划，采取必要措施，以使实际施工进度符合合同的要求。 </w:t>
      </w:r>
    </w:p>
    <w:p w14:paraId="3CC7D549">
      <w:pPr>
        <w:pStyle w:val="11"/>
        <w:numPr>
          <w:ilvl w:val="0"/>
          <w:numId w:val="2"/>
        </w:numPr>
        <w:spacing w:line="560" w:lineRule="exact"/>
        <w:ind w:left="0" w:firstLine="640" w:firstLineChars="200"/>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 xml:space="preserve">当进度拖后可能导致合同工期严重延误时，作详细报告分析原因和提出对策，供采购人采取措施或做出决定。 </w:t>
      </w:r>
    </w:p>
    <w:p w14:paraId="5DBB8CB8">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ascii="仿宋_GB2312" w:hAnsi="仿宋_GB2312" w:eastAsia="仿宋_GB2312" w:cs="仿宋_GB2312"/>
          <w:sz w:val="32"/>
          <w:szCs w:val="32"/>
          <w:highlight w:val="none"/>
        </w:rPr>
        <w:t>成本控制</w:t>
      </w:r>
    </w:p>
    <w:p w14:paraId="6A1F094D">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包括但不仅限于：</w:t>
      </w:r>
    </w:p>
    <w:p w14:paraId="62546713">
      <w:pPr>
        <w:pStyle w:val="11"/>
        <w:numPr>
          <w:ilvl w:val="0"/>
          <w:numId w:val="3"/>
        </w:numPr>
        <w:spacing w:line="560" w:lineRule="exact"/>
        <w:ind w:firstLineChars="0"/>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动态管理跟踪项目</w:t>
      </w:r>
      <w:r>
        <w:rPr>
          <w:rFonts w:hint="eastAsia" w:ascii="仿宋_GB2312" w:hAnsi="仿宋_GB2312" w:eastAsia="仿宋_GB2312" w:cs="仿宋_GB2312"/>
          <w:sz w:val="32"/>
          <w:szCs w:val="32"/>
          <w:highlight w:val="none"/>
          <w:lang w:eastAsia="zh-CN"/>
        </w:rPr>
        <w:t>成果</w:t>
      </w:r>
      <w:r>
        <w:rPr>
          <w:rFonts w:hint="eastAsia" w:ascii="仿宋_GB2312" w:hAnsi="仿宋_GB2312" w:eastAsia="仿宋_GB2312" w:cs="仿宋_GB2312"/>
          <w:sz w:val="32"/>
          <w:szCs w:val="32"/>
          <w:highlight w:val="none"/>
        </w:rPr>
        <w:t>推送和报告编制</w:t>
      </w:r>
      <w:r>
        <w:rPr>
          <w:rFonts w:ascii="仿宋_GB2312" w:hAnsi="仿宋_GB2312" w:eastAsia="仿宋_GB2312" w:cs="仿宋_GB2312"/>
          <w:sz w:val="32"/>
          <w:szCs w:val="32"/>
          <w:highlight w:val="none"/>
        </w:rPr>
        <w:t xml:space="preserve">成本，进行成本、费用控制和分析。 </w:t>
      </w:r>
    </w:p>
    <w:p w14:paraId="0B8939B4">
      <w:pPr>
        <w:pStyle w:val="11"/>
        <w:numPr>
          <w:ilvl w:val="0"/>
          <w:numId w:val="3"/>
        </w:numPr>
        <w:spacing w:line="560" w:lineRule="exact"/>
        <w:ind w:left="0" w:firstLine="640" w:firstLineChars="200"/>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严格控制和审查项目变更，核算成本和变化量，报采购人审批。</w:t>
      </w:r>
    </w:p>
    <w:p w14:paraId="701E7C06">
      <w:pPr>
        <w:pStyle w:val="11"/>
        <w:numPr>
          <w:ilvl w:val="0"/>
          <w:numId w:val="3"/>
        </w:numPr>
        <w:spacing w:line="560" w:lineRule="exact"/>
        <w:ind w:left="0" w:firstLine="640" w:firstLineChars="200"/>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针对项目过程中的需求变更导致的费用增加，审核其合理性。</w:t>
      </w:r>
    </w:p>
    <w:p w14:paraId="3142F54D">
      <w:pPr>
        <w:pStyle w:val="11"/>
        <w:numPr>
          <w:ilvl w:val="0"/>
          <w:numId w:val="3"/>
        </w:numPr>
        <w:spacing w:line="560" w:lineRule="exact"/>
        <w:ind w:left="0" w:firstLine="640" w:firstLineChars="200"/>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审核服务中标单位的工程量清单和工程竣工结算。</w:t>
      </w:r>
    </w:p>
    <w:p w14:paraId="5B29E60B">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t>
      </w:r>
      <w:r>
        <w:rPr>
          <w:rFonts w:ascii="仿宋_GB2312" w:hAnsi="仿宋_GB2312" w:eastAsia="仿宋_GB2312" w:cs="仿宋_GB2312"/>
          <w:sz w:val="32"/>
          <w:szCs w:val="32"/>
          <w:highlight w:val="none"/>
        </w:rPr>
        <w:t>变更控制</w:t>
      </w:r>
    </w:p>
    <w:p w14:paraId="2870DE6F">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包括但不仅限于：</w:t>
      </w:r>
    </w:p>
    <w:p w14:paraId="2D29DBD0">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做好项目变更控制，对变更的初审以及对执行的变更进行过程的监督，召集服务方和业主对变更进行分析，对变更结果进行评估。如水利部业务规范发生变更，应主动要求服务单位按新规范和标准提供服务内容。</w:t>
      </w:r>
    </w:p>
    <w:p w14:paraId="4755C0B4">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w:t>
      </w:r>
      <w:r>
        <w:rPr>
          <w:rFonts w:ascii="仿宋_GB2312" w:hAnsi="仿宋_GB2312" w:eastAsia="仿宋_GB2312" w:cs="仿宋_GB2312"/>
          <w:sz w:val="32"/>
          <w:szCs w:val="32"/>
          <w:highlight w:val="none"/>
        </w:rPr>
        <w:t>安全管理</w:t>
      </w:r>
    </w:p>
    <w:p w14:paraId="7A8905EF">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包括但不仅限于：</w:t>
      </w:r>
    </w:p>
    <w:p w14:paraId="7DEC92C8">
      <w:pPr>
        <w:pStyle w:val="11"/>
        <w:numPr>
          <w:ilvl w:val="0"/>
          <w:numId w:val="4"/>
        </w:numPr>
        <w:spacing w:line="560" w:lineRule="exact"/>
        <w:ind w:firstLineChars="0"/>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 xml:space="preserve">检查督促服务中标单位建立、完善安全实施制度。 </w:t>
      </w:r>
    </w:p>
    <w:p w14:paraId="336D80A2">
      <w:pPr>
        <w:pStyle w:val="11"/>
        <w:numPr>
          <w:ilvl w:val="0"/>
          <w:numId w:val="4"/>
        </w:numPr>
        <w:spacing w:line="560" w:lineRule="exact"/>
        <w:ind w:left="0" w:firstLine="640" w:firstLineChars="200"/>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组织项目安全事故的调查与处理。</w:t>
      </w:r>
    </w:p>
    <w:p w14:paraId="27B1A2F5">
      <w:pPr>
        <w:pStyle w:val="11"/>
        <w:numPr>
          <w:ilvl w:val="0"/>
          <w:numId w:val="4"/>
        </w:numPr>
        <w:spacing w:line="560" w:lineRule="exact"/>
        <w:ind w:left="0" w:firstLine="640" w:firstLineChars="200"/>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 xml:space="preserve">确立项目安全监督的工作目标。 </w:t>
      </w:r>
    </w:p>
    <w:p w14:paraId="16ACC43D">
      <w:pPr>
        <w:pStyle w:val="11"/>
        <w:numPr>
          <w:ilvl w:val="0"/>
          <w:numId w:val="4"/>
        </w:numPr>
        <w:spacing w:line="560" w:lineRule="exact"/>
        <w:ind w:left="0" w:firstLine="640" w:firstLineChars="200"/>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负责监督项目建设过程中所涉及的</w:t>
      </w:r>
      <w:r>
        <w:rPr>
          <w:rFonts w:hint="eastAsia" w:ascii="仿宋_GB2312" w:hAnsi="仿宋_GB2312" w:eastAsia="仿宋_GB2312" w:cs="仿宋_GB2312"/>
          <w:sz w:val="32"/>
          <w:szCs w:val="32"/>
          <w:highlight w:val="none"/>
        </w:rPr>
        <w:t>水利</w:t>
      </w:r>
      <w:r>
        <w:rPr>
          <w:rFonts w:ascii="仿宋_GB2312" w:hAnsi="仿宋_GB2312" w:eastAsia="仿宋_GB2312" w:cs="仿宋_GB2312"/>
          <w:sz w:val="32"/>
          <w:szCs w:val="32"/>
          <w:highlight w:val="none"/>
        </w:rPr>
        <w:t>数据和资料的安全保护，确保不被非授权使用。</w:t>
      </w:r>
    </w:p>
    <w:p w14:paraId="66439731">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w:t>
      </w:r>
      <w:r>
        <w:rPr>
          <w:rFonts w:ascii="仿宋_GB2312" w:hAnsi="仿宋_GB2312" w:eastAsia="仿宋_GB2312" w:cs="仿宋_GB2312"/>
          <w:sz w:val="32"/>
          <w:szCs w:val="32"/>
          <w:highlight w:val="none"/>
        </w:rPr>
        <w:t>合同管理</w:t>
      </w:r>
    </w:p>
    <w:p w14:paraId="65CAFB23">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包括但不仅限于：</w:t>
      </w:r>
    </w:p>
    <w:p w14:paraId="3FFFD868">
      <w:pPr>
        <w:pStyle w:val="11"/>
        <w:numPr>
          <w:ilvl w:val="0"/>
          <w:numId w:val="5"/>
        </w:numPr>
        <w:spacing w:line="560" w:lineRule="exact"/>
        <w:ind w:firstLineChars="0"/>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跟踪检查合同的执行情况，确保</w:t>
      </w:r>
      <w:r>
        <w:rPr>
          <w:rFonts w:hint="eastAsia" w:ascii="仿宋_GB2312" w:hAnsi="仿宋_GB2312" w:eastAsia="仿宋_GB2312" w:cs="仿宋_GB2312"/>
          <w:sz w:val="32"/>
          <w:szCs w:val="32"/>
          <w:highlight w:val="none"/>
        </w:rPr>
        <w:t>服务</w:t>
      </w:r>
      <w:r>
        <w:rPr>
          <w:rFonts w:ascii="仿宋_GB2312" w:hAnsi="仿宋_GB2312" w:eastAsia="仿宋_GB2312" w:cs="仿宋_GB2312"/>
          <w:sz w:val="32"/>
          <w:szCs w:val="32"/>
          <w:highlight w:val="none"/>
        </w:rPr>
        <w:t>单位按时履约；</w:t>
      </w:r>
    </w:p>
    <w:p w14:paraId="67CCB6C0">
      <w:pPr>
        <w:pStyle w:val="11"/>
        <w:numPr>
          <w:ilvl w:val="0"/>
          <w:numId w:val="5"/>
        </w:numPr>
        <w:spacing w:line="560" w:lineRule="exact"/>
        <w:ind w:left="0" w:firstLine="640" w:firstLineChars="200"/>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对合同工期的延误和延期进行解释，协助采购人处理项目实施的每个过程出现的合同变更、违约、索赔、延期、分包、纠纷调解及仲裁等问题；</w:t>
      </w:r>
    </w:p>
    <w:p w14:paraId="30445B08">
      <w:pPr>
        <w:pStyle w:val="11"/>
        <w:numPr>
          <w:ilvl w:val="0"/>
          <w:numId w:val="5"/>
        </w:numPr>
        <w:spacing w:line="560" w:lineRule="exact"/>
        <w:ind w:left="0" w:firstLine="640" w:firstLineChars="200"/>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根据合同约定，对</w:t>
      </w:r>
      <w:r>
        <w:rPr>
          <w:rFonts w:hint="eastAsia" w:ascii="仿宋_GB2312" w:hAnsi="仿宋_GB2312" w:eastAsia="仿宋_GB2312" w:cs="仿宋_GB2312"/>
          <w:sz w:val="32"/>
          <w:szCs w:val="32"/>
          <w:highlight w:val="none"/>
        </w:rPr>
        <w:t>服务</w:t>
      </w:r>
      <w:r>
        <w:rPr>
          <w:rFonts w:ascii="仿宋_GB2312" w:hAnsi="仿宋_GB2312" w:eastAsia="仿宋_GB2312" w:cs="仿宋_GB2312"/>
          <w:sz w:val="32"/>
          <w:szCs w:val="32"/>
          <w:highlight w:val="none"/>
        </w:rPr>
        <w:t>单位提交的付款申请，提出付款建议；</w:t>
      </w:r>
    </w:p>
    <w:p w14:paraId="521198C5">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（7）</w:t>
      </w:r>
      <w:r>
        <w:rPr>
          <w:rFonts w:ascii="仿宋_GB2312" w:hAnsi="仿宋_GB2312" w:eastAsia="仿宋_GB2312" w:cs="仿宋_GB2312"/>
          <w:sz w:val="32"/>
          <w:szCs w:val="32"/>
          <w:highlight w:val="none"/>
        </w:rPr>
        <w:t>信息管理</w:t>
      </w:r>
    </w:p>
    <w:p w14:paraId="72F08A61">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包括但不仅限于：</w:t>
      </w:r>
    </w:p>
    <w:p w14:paraId="26C75A2D">
      <w:pPr>
        <w:pStyle w:val="11"/>
        <w:numPr>
          <w:ilvl w:val="0"/>
          <w:numId w:val="6"/>
        </w:numPr>
        <w:spacing w:line="560" w:lineRule="exact"/>
        <w:ind w:firstLineChars="0"/>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 xml:space="preserve">及时向采购人提交反映项目动态和监理工作情况的项目文档，包括但不仅限于：项目周/月/季/年报、项目会议纪要、工作记录等，提供完善的文档管理和审批流程。 </w:t>
      </w:r>
    </w:p>
    <w:p w14:paraId="53EBC025">
      <w:pPr>
        <w:pStyle w:val="11"/>
        <w:numPr>
          <w:ilvl w:val="0"/>
          <w:numId w:val="6"/>
        </w:numPr>
        <w:spacing w:line="560" w:lineRule="exact"/>
        <w:ind w:left="0" w:firstLine="640" w:firstLineChars="200"/>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 xml:space="preserve">建立全面、准确反映项目各阶段工程状况的图表、文档，收集、管理项目各类文档和资料。 </w:t>
      </w:r>
    </w:p>
    <w:p w14:paraId="34EFA5B0">
      <w:pPr>
        <w:pStyle w:val="11"/>
        <w:numPr>
          <w:ilvl w:val="0"/>
          <w:numId w:val="6"/>
        </w:numPr>
        <w:spacing w:line="560" w:lineRule="exact"/>
        <w:ind w:left="0" w:firstLine="640" w:firstLineChars="200"/>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 xml:space="preserve">督促、检查服务中标单位及时完成各阶段设备资料、工程技术资料的整理和归档工作。 </w:t>
      </w:r>
    </w:p>
    <w:p w14:paraId="7A00CEFD">
      <w:pPr>
        <w:pStyle w:val="11"/>
        <w:numPr>
          <w:ilvl w:val="0"/>
          <w:numId w:val="6"/>
        </w:numPr>
        <w:spacing w:line="560" w:lineRule="exact"/>
        <w:ind w:left="0" w:firstLine="640" w:firstLineChars="200"/>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 xml:space="preserve">转发采购人发出的一切指示、通知和业务联系单。 </w:t>
      </w:r>
    </w:p>
    <w:p w14:paraId="46BF4E20">
      <w:pPr>
        <w:pStyle w:val="11"/>
        <w:numPr>
          <w:ilvl w:val="0"/>
          <w:numId w:val="6"/>
        </w:numPr>
        <w:spacing w:line="560" w:lineRule="exact"/>
        <w:ind w:left="0" w:firstLine="640" w:firstLineChars="200"/>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采用图表、统计技术或其他先进的管理方法，定期公布项目质量、进度、成本数据，就项目中存在或出现的问题向采购人、</w:t>
      </w:r>
      <w:r>
        <w:rPr>
          <w:rFonts w:hint="eastAsia" w:ascii="仿宋_GB2312" w:hAnsi="仿宋_GB2312" w:eastAsia="仿宋_GB2312" w:cs="仿宋_GB2312"/>
          <w:sz w:val="32"/>
          <w:szCs w:val="32"/>
          <w:highlight w:val="none"/>
        </w:rPr>
        <w:t>服务单位</w:t>
      </w:r>
      <w:r>
        <w:rPr>
          <w:rFonts w:ascii="仿宋_GB2312" w:hAnsi="仿宋_GB2312" w:eastAsia="仿宋_GB2312" w:cs="仿宋_GB2312"/>
          <w:sz w:val="32"/>
          <w:szCs w:val="32"/>
          <w:highlight w:val="none"/>
        </w:rPr>
        <w:t xml:space="preserve">、设计单位提出独立、公正、公平的意见建议或解决方案。 </w:t>
      </w:r>
    </w:p>
    <w:p w14:paraId="008FA481">
      <w:pPr>
        <w:pStyle w:val="11"/>
        <w:numPr>
          <w:ilvl w:val="0"/>
          <w:numId w:val="6"/>
        </w:numPr>
        <w:spacing w:line="560" w:lineRule="exact"/>
        <w:ind w:left="0" w:firstLine="640" w:firstLineChars="200"/>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 xml:space="preserve">负责编写项目建设监理报告及项目大事记，项目协调会、技术研讨会等各类会议的纪要，阶段性项目总结、阶段性项目监理总结、各类监理通知等，参与项目实施期间各类技术文件、合同执行过程中的各类往来文件及存档等的管理工作。 </w:t>
      </w:r>
    </w:p>
    <w:p w14:paraId="2A2CBFC4">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（8）</w:t>
      </w:r>
      <w:r>
        <w:rPr>
          <w:rFonts w:ascii="仿宋_GB2312" w:hAnsi="仿宋_GB2312" w:eastAsia="仿宋_GB2312" w:cs="仿宋_GB2312"/>
          <w:sz w:val="32"/>
          <w:szCs w:val="32"/>
          <w:highlight w:val="none"/>
        </w:rPr>
        <w:t>组织协调</w:t>
      </w:r>
    </w:p>
    <w:p w14:paraId="0DEAFEF3">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包括但不仅限于：</w:t>
      </w:r>
    </w:p>
    <w:p w14:paraId="66F559E6">
      <w:pPr>
        <w:pStyle w:val="11"/>
        <w:numPr>
          <w:ilvl w:val="0"/>
          <w:numId w:val="7"/>
        </w:numPr>
        <w:spacing w:line="560" w:lineRule="exact"/>
        <w:ind w:firstLineChars="0"/>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确定</w:t>
      </w:r>
      <w:r>
        <w:rPr>
          <w:rFonts w:hint="eastAsia" w:ascii="仿宋_GB2312" w:hAnsi="仿宋_GB2312" w:eastAsia="仿宋_GB2312" w:cs="仿宋_GB2312"/>
          <w:sz w:val="32"/>
          <w:szCs w:val="32"/>
          <w:highlight w:val="none"/>
        </w:rPr>
        <w:t>服务</w:t>
      </w:r>
      <w:r>
        <w:rPr>
          <w:rFonts w:ascii="仿宋_GB2312" w:hAnsi="仿宋_GB2312" w:eastAsia="仿宋_GB2312" w:cs="仿宋_GB2312"/>
          <w:sz w:val="32"/>
          <w:szCs w:val="32"/>
          <w:highlight w:val="none"/>
        </w:rPr>
        <w:t xml:space="preserve">单位各方之间的工作范围和职责。 </w:t>
      </w:r>
    </w:p>
    <w:p w14:paraId="5C5EBA29">
      <w:pPr>
        <w:pStyle w:val="11"/>
        <w:numPr>
          <w:ilvl w:val="0"/>
          <w:numId w:val="7"/>
        </w:numPr>
        <w:spacing w:line="560" w:lineRule="exact"/>
        <w:ind w:left="0" w:firstLine="640" w:firstLineChars="200"/>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 xml:space="preserve">监督各方履行职责，协调各方的工作关系。 </w:t>
      </w:r>
    </w:p>
    <w:p w14:paraId="2C556CB3">
      <w:pPr>
        <w:pStyle w:val="11"/>
        <w:numPr>
          <w:ilvl w:val="0"/>
          <w:numId w:val="7"/>
        </w:numPr>
        <w:spacing w:line="560" w:lineRule="exact"/>
        <w:ind w:left="0" w:firstLine="640" w:firstLineChars="200"/>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 xml:space="preserve">建立畅通的沟通平台和沟通渠道，采取有效措施使项目信息在有关各方之间保持顺畅流通，积极协调项目各方之间的关系，推动项目实施过程中问题的解决。 </w:t>
      </w:r>
    </w:p>
    <w:p w14:paraId="3B896637">
      <w:pPr>
        <w:pStyle w:val="11"/>
        <w:numPr>
          <w:ilvl w:val="0"/>
          <w:numId w:val="7"/>
        </w:numPr>
        <w:spacing w:line="560" w:lineRule="exact"/>
        <w:ind w:left="0" w:firstLine="640" w:firstLineChars="200"/>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对</w:t>
      </w:r>
      <w:r>
        <w:rPr>
          <w:rFonts w:hint="eastAsia" w:ascii="仿宋_GB2312" w:hAnsi="仿宋_GB2312" w:eastAsia="仿宋_GB2312" w:cs="仿宋_GB2312"/>
          <w:sz w:val="32"/>
          <w:szCs w:val="32"/>
          <w:highlight w:val="none"/>
        </w:rPr>
        <w:t>服务</w:t>
      </w:r>
      <w:r>
        <w:rPr>
          <w:rFonts w:ascii="仿宋_GB2312" w:hAnsi="仿宋_GB2312" w:eastAsia="仿宋_GB2312" w:cs="仿宋_GB2312"/>
          <w:sz w:val="32"/>
          <w:szCs w:val="32"/>
          <w:highlight w:val="none"/>
        </w:rPr>
        <w:t>单位实施人员进行日常考核管理。</w:t>
      </w:r>
    </w:p>
    <w:p w14:paraId="3D32819B">
      <w:pPr>
        <w:pStyle w:val="11"/>
        <w:numPr>
          <w:ilvl w:val="0"/>
          <w:numId w:val="7"/>
        </w:numPr>
        <w:spacing w:line="560" w:lineRule="exact"/>
        <w:ind w:left="0" w:firstLine="640" w:firstLineChars="200"/>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组织必要的会议，包括但不限于：项目协调会、项目例会、项目专题研讨会、项目问题通报会、项目阶段及最终验收会等。同时监理方还应积极参加以下会议：项目专家论证评审会、项目阶段工作总结会等，并根据采购人要求邀请相关行业专家参与论证评审。</w:t>
      </w:r>
    </w:p>
    <w:p w14:paraId="01577F46">
      <w:pPr>
        <w:spacing w:line="560" w:lineRule="exact"/>
        <w:ind w:firstLine="643" w:firstLineChars="200"/>
        <w:rPr>
          <w:rFonts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2.监理团队人员要求：</w:t>
      </w:r>
    </w:p>
    <w:p w14:paraId="3D14C8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shd w:val="clear"/>
          <w:lang w:val="en-US" w:eastAsia="zh-CN"/>
        </w:rPr>
      </w:pPr>
      <w:r>
        <w:rPr>
          <w:rFonts w:hint="default" w:ascii="仿宋_GB2312" w:hAnsi="仿宋_GB2312" w:eastAsia="仿宋_GB2312" w:cs="仿宋_GB2312"/>
          <w:sz w:val="32"/>
          <w:szCs w:val="32"/>
          <w:highlight w:val="none"/>
          <w:u w:val="none"/>
          <w:shd w:val="clear"/>
          <w:lang w:val="en-US" w:eastAsia="zh-CN"/>
        </w:rPr>
        <w:t>为保证本次项目建设质量，拟投入本项目的监理团队至少配备</w:t>
      </w:r>
      <w:r>
        <w:rPr>
          <w:rFonts w:hint="eastAsia" w:ascii="仿宋_GB2312" w:hAnsi="仿宋_GB2312" w:eastAsia="仿宋_GB2312" w:cs="仿宋_GB2312"/>
          <w:sz w:val="32"/>
          <w:szCs w:val="32"/>
          <w:highlight w:val="none"/>
          <w:u w:val="none"/>
          <w:shd w:val="clear"/>
          <w:lang w:val="en-US" w:eastAsia="zh-CN"/>
        </w:rPr>
        <w:t>2</w:t>
      </w:r>
      <w:r>
        <w:rPr>
          <w:rFonts w:hint="default" w:ascii="仿宋_GB2312" w:hAnsi="仿宋_GB2312" w:eastAsia="仿宋_GB2312" w:cs="仿宋_GB2312"/>
          <w:sz w:val="32"/>
          <w:szCs w:val="32"/>
          <w:highlight w:val="none"/>
          <w:u w:val="none"/>
          <w:shd w:val="clear"/>
          <w:lang w:val="en-US" w:eastAsia="zh-CN"/>
        </w:rPr>
        <w:t>人，其中总监理工程师1人(须同时具备信息系统监理师证书、</w:t>
      </w:r>
      <w:r>
        <w:rPr>
          <w:rFonts w:hint="eastAsia" w:ascii="仿宋_GB2312" w:hAnsi="仿宋_GB2312" w:eastAsia="仿宋_GB2312" w:cs="仿宋_GB2312"/>
          <w:sz w:val="32"/>
          <w:szCs w:val="32"/>
          <w:highlight w:val="none"/>
          <w:u w:val="none"/>
        </w:rPr>
        <w:t>注册咨询师、信息系统项目管理师</w:t>
      </w:r>
      <w:r>
        <w:rPr>
          <w:rFonts w:hint="default" w:ascii="仿宋_GB2312" w:hAnsi="仿宋_GB2312" w:eastAsia="仿宋_GB2312" w:cs="仿宋_GB2312"/>
          <w:sz w:val="32"/>
          <w:szCs w:val="32"/>
          <w:highlight w:val="none"/>
          <w:u w:val="none"/>
          <w:shd w:val="clear"/>
          <w:lang w:val="en-US" w:eastAsia="zh-CN"/>
        </w:rPr>
        <w:t>);现场监理工程师1人(须具备信息系统监理师证书、监理工程师职业资格证书)。</w:t>
      </w:r>
    </w:p>
    <w:p w14:paraId="1E1E0237">
      <w:pPr>
        <w:spacing w:line="560" w:lineRule="exact"/>
        <w:ind w:firstLine="643" w:firstLineChars="200"/>
        <w:rPr>
          <w:rFonts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注：①投标人需提供符合以上要求的承诺函（承诺函格式自拟）并加盖公章，否则视为无效响应。</w:t>
      </w:r>
      <w:r>
        <w:rPr>
          <w:rFonts w:hint="eastAsia" w:ascii="仿宋_GB2312" w:hAnsi="仿宋_GB2312" w:eastAsia="仿宋_GB2312" w:cs="仿宋_GB2312"/>
          <w:b/>
          <w:bCs/>
          <w:sz w:val="32"/>
          <w:szCs w:val="32"/>
          <w:highlight w:val="none"/>
        </w:rPr>
        <w:t>②投标人在成交后3个工作日内需提供符合以上要求的人员证书原件</w:t>
      </w:r>
      <w:r>
        <w:rPr>
          <w:rFonts w:hint="eastAsia" w:ascii="仿宋_GB2312" w:hAnsi="仿宋_GB2312" w:eastAsia="仿宋_GB2312" w:cs="仿宋_GB2312"/>
          <w:b/>
          <w:bCs/>
          <w:sz w:val="32"/>
          <w:szCs w:val="32"/>
          <w:highlight w:val="none"/>
        </w:rPr>
        <w:t>以及投标人近六个月任意一个月（不含报价文件提交截止时间的当月）为其缴纳的职工养老保险缴费证明复印件并加盖公章</w:t>
      </w:r>
      <w:r>
        <w:rPr>
          <w:rFonts w:hint="eastAsia" w:ascii="仿宋_GB2312" w:hAnsi="仿宋_GB2312" w:eastAsia="仿宋_GB2312" w:cs="仿宋_GB2312"/>
          <w:b/>
          <w:bCs/>
          <w:sz w:val="32"/>
          <w:szCs w:val="32"/>
          <w:highlight w:val="none"/>
        </w:rPr>
        <w:t>确认核查，否则采购人有权不予以签订合同。</w:t>
      </w:r>
    </w:p>
    <w:p w14:paraId="73E3DEF2">
      <w:pPr>
        <w:spacing w:line="560" w:lineRule="exact"/>
        <w:ind w:firstLine="643" w:firstLineChars="200"/>
        <w:rPr>
          <w:rFonts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3.保密要求：</w:t>
      </w:r>
    </w:p>
    <w:p w14:paraId="266ED6AE">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中标人及其工作人员(无论今后是否离职)保证所对所获取的各类项目资料进行保密，签订保密协议，未经采购人允许不得将所获取的、以及监理服务期间所产生的项目信息资料对外泄露。中标人有义务对所聘用的工作人员进行保密教育，并承担其相关行为责任。</w:t>
      </w:r>
    </w:p>
    <w:p w14:paraId="05F0AA0B">
      <w:pPr>
        <w:spacing w:line="560" w:lineRule="exact"/>
        <w:ind w:firstLine="643" w:firstLineChars="200"/>
        <w:rPr>
          <w:rFonts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（三）付款方式</w:t>
      </w:r>
    </w:p>
    <w:p w14:paraId="104AB6E0">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1.合同签订生效后，在收到成交人开具的等额增值税发票，达到付款条件起15</w:t>
      </w:r>
      <w:r>
        <w:rPr>
          <w:rFonts w:hint="eastAsia" w:ascii="仿宋_GB2312" w:hAnsi="仿宋_GB2312" w:eastAsia="仿宋_GB2312" w:cs="仿宋_GB2312"/>
          <w:sz w:val="32"/>
          <w:szCs w:val="32"/>
          <w:highlight w:val="none"/>
          <w:lang w:eastAsia="zh-CN"/>
        </w:rPr>
        <w:t>个工作</w:t>
      </w:r>
      <w:r>
        <w:rPr>
          <w:rFonts w:hint="eastAsia" w:ascii="仿宋_GB2312" w:hAnsi="仿宋_GB2312" w:eastAsia="仿宋_GB2312" w:cs="仿宋_GB2312"/>
          <w:sz w:val="32"/>
          <w:szCs w:val="32"/>
          <w:highlight w:val="none"/>
        </w:rPr>
        <w:t>日内，采购人向成交人支付50%的合同款。</w:t>
      </w:r>
    </w:p>
    <w:p w14:paraId="24C78E94">
      <w:pPr>
        <w:spacing w:line="560" w:lineRule="exact"/>
        <w:ind w:firstLine="640" w:firstLineChars="200"/>
        <w:rPr>
          <w:rFonts w:hint="eastAsia" w:ascii="黑体" w:hAnsi="黑体" w:eastAsia="黑体" w:cs="黑体"/>
          <w:sz w:val="32"/>
          <w:szCs w:val="32"/>
          <w:highlight w:val="none"/>
        </w:rPr>
      </w:pPr>
      <w:r>
        <w:rPr>
          <w:rFonts w:hint="eastAsia" w:ascii="仿宋_GB2312" w:hAnsi="仿宋_GB2312" w:eastAsia="仿宋_GB2312" w:cs="仿宋_GB2312"/>
          <w:sz w:val="32"/>
          <w:szCs w:val="32"/>
          <w:highlight w:val="none"/>
        </w:rPr>
        <w:t>2.所监理的项目完成年终验收，监理服务通过采购人组织的服务评价后，在收到成交人开具的等额增值税发票，达到付款条件起15</w:t>
      </w:r>
      <w:r>
        <w:rPr>
          <w:rFonts w:hint="eastAsia" w:ascii="仿宋_GB2312" w:hAnsi="仿宋_GB2312" w:eastAsia="仿宋_GB2312" w:cs="仿宋_GB2312"/>
          <w:sz w:val="32"/>
          <w:szCs w:val="32"/>
          <w:highlight w:val="none"/>
          <w:lang w:eastAsia="zh-CN"/>
        </w:rPr>
        <w:t>个工作</w:t>
      </w:r>
      <w:r>
        <w:rPr>
          <w:rFonts w:hint="eastAsia" w:ascii="仿宋_GB2312" w:hAnsi="仿宋_GB2312" w:eastAsia="仿宋_GB2312" w:cs="仿宋_GB2312"/>
          <w:sz w:val="32"/>
          <w:szCs w:val="32"/>
          <w:highlight w:val="none"/>
        </w:rPr>
        <w:t>日内，采购人向成交人支付剩余的50%合同款。</w:t>
      </w:r>
    </w:p>
    <w:p w14:paraId="32C45580">
      <w:pPr>
        <w:spacing w:line="560" w:lineRule="exact"/>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rPr>
        <w:t>三、报价与最高限价</w:t>
      </w:r>
    </w:p>
    <w:p w14:paraId="756E7609">
      <w:pPr>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本项目最高限价为2.</w:t>
      </w:r>
      <w:r>
        <w:rPr>
          <w:rFonts w:hint="eastAsia" w:ascii="仿宋_GB2312" w:hAnsi="仿宋_GB2312" w:eastAsia="仿宋_GB2312" w:cs="仿宋_GB2312"/>
          <w:sz w:val="32"/>
          <w:szCs w:val="32"/>
          <w:highlight w:val="none"/>
          <w:lang w:val="en-US" w:eastAsia="zh-CN"/>
        </w:rPr>
        <w:t>84</w:t>
      </w:r>
      <w:r>
        <w:rPr>
          <w:rFonts w:hint="eastAsia" w:ascii="仿宋_GB2312" w:hAnsi="仿宋_GB2312" w:eastAsia="仿宋_GB2312" w:cs="仿宋_GB2312"/>
          <w:sz w:val="32"/>
          <w:szCs w:val="32"/>
          <w:highlight w:val="none"/>
        </w:rPr>
        <w:t>万元，按照最低价方式中标。投标人所报总价应包含本监理项目所涉及的所有监理服务相关费用。</w:t>
      </w:r>
    </w:p>
    <w:p w14:paraId="0EFE37B5">
      <w:pPr>
        <w:pStyle w:val="6"/>
        <w:rPr>
          <w:rFonts w:ascii="仿宋_GB2312" w:hAnsi="仿宋_GB2312" w:eastAsia="仿宋_GB2312" w:cs="仿宋_GB2312"/>
          <w:highlight w:val="none"/>
        </w:rPr>
      </w:pPr>
    </w:p>
    <w:p w14:paraId="5928FECF">
      <w:pPr>
        <w:rPr>
          <w:rFonts w:ascii="仿宋_GB2312" w:hAnsi="仿宋_GB2312" w:eastAsia="仿宋_GB2312" w:cs="仿宋_GB2312"/>
          <w:sz w:val="32"/>
          <w:szCs w:val="32"/>
          <w:highlight w:val="none"/>
        </w:rPr>
      </w:pPr>
    </w:p>
    <w:p w14:paraId="5F562787">
      <w:pPr>
        <w:rPr>
          <w:rFonts w:ascii="仿宋_GB2312" w:hAnsi="仿宋_GB2312" w:eastAsia="仿宋_GB2312" w:cs="仿宋_GB2312"/>
          <w:highlight w:val="none"/>
        </w:rPr>
      </w:pPr>
      <w:r>
        <w:rPr>
          <w:rFonts w:ascii="仿宋_GB2312" w:hAnsi="仿宋_GB2312" w:eastAsia="仿宋_GB2312" w:cs="仿宋_GB2312"/>
          <w:highlight w:val="none"/>
        </w:rPr>
        <w:br w:type="page"/>
      </w:r>
    </w:p>
    <w:p w14:paraId="6CE9A9D4">
      <w:pPr>
        <w:rPr>
          <w:highlight w:val="none"/>
        </w:rPr>
      </w:pPr>
    </w:p>
    <w:p w14:paraId="353F2149">
      <w:pPr>
        <w:rPr>
          <w:rFonts w:ascii="仿宋_GB2312" w:hAnsi="仿宋_GB2312" w:eastAsia="仿宋_GB2312" w:cs="仿宋_GB2312"/>
          <w:sz w:val="32"/>
          <w:szCs w:val="32"/>
          <w:highlight w:val="none"/>
        </w:rPr>
      </w:pPr>
    </w:p>
    <w:p w14:paraId="76B07AE2">
      <w:pPr>
        <w:pStyle w:val="5"/>
        <w:widowControl/>
        <w:spacing w:beforeAutospacing="0" w:afterAutospacing="0" w:line="560" w:lineRule="exact"/>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附件</w:t>
      </w:r>
    </w:p>
    <w:p w14:paraId="7C107EBB">
      <w:pPr>
        <w:pStyle w:val="5"/>
        <w:widowControl/>
        <w:spacing w:beforeAutospacing="0" w:afterAutospacing="0" w:line="56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监理服务评价</w:t>
      </w:r>
    </w:p>
    <w:p w14:paraId="7A17C152">
      <w:pPr>
        <w:pStyle w:val="5"/>
        <w:widowControl/>
        <w:spacing w:beforeAutospacing="0" w:afterAutospacing="0" w:line="560" w:lineRule="exact"/>
        <w:ind w:firstLine="640" w:firstLineChars="200"/>
        <w:jc w:val="both"/>
        <w:rPr>
          <w:rFonts w:ascii="黑体" w:hAnsi="黑体" w:eastAsia="黑体" w:cs="黑体"/>
          <w:sz w:val="32"/>
          <w:szCs w:val="32"/>
          <w:highlight w:val="none"/>
          <w:shd w:val="clear" w:color="auto" w:fill="FFFFFF"/>
        </w:rPr>
      </w:pPr>
      <w:r>
        <w:rPr>
          <w:rFonts w:hint="eastAsia" w:ascii="仿宋_GB2312" w:hAnsi="仿宋_GB2312" w:eastAsia="仿宋_GB2312" w:cs="仿宋_GB2312"/>
          <w:sz w:val="32"/>
          <w:szCs w:val="32"/>
          <w:highlight w:val="none"/>
        </w:rPr>
        <w:t>考核办法满分为100分，由采购人结合工作实际，给予工作服务考核。该分数将作为合同款支付的依据。考核分数90-100分，支付100%合同款；考核分数80-89分，支付85%合同款；考核分数低于70-79分，支付70%合同款；考核分数低于70分的视为验收不合格，中标人赔付采购人30%合同款的违约金。</w:t>
      </w:r>
    </w:p>
    <w:p w14:paraId="221588FC">
      <w:pPr>
        <w:pStyle w:val="5"/>
        <w:widowControl/>
        <w:spacing w:beforeAutospacing="0" w:afterAutospacing="0" w:line="480" w:lineRule="atLeast"/>
        <w:ind w:firstLine="420"/>
        <w:jc w:val="center"/>
        <w:rPr>
          <w:rFonts w:ascii="黑体" w:hAnsi="黑体" w:eastAsia="黑体" w:cs="黑体"/>
          <w:sz w:val="32"/>
          <w:szCs w:val="32"/>
          <w:highlight w:val="none"/>
          <w:shd w:val="clear" w:color="auto" w:fill="FFFFFF"/>
        </w:rPr>
      </w:pPr>
      <w:r>
        <w:rPr>
          <w:rFonts w:hint="eastAsia" w:ascii="黑体" w:hAnsi="黑体" w:eastAsia="黑体" w:cs="黑体"/>
          <w:sz w:val="32"/>
          <w:szCs w:val="32"/>
          <w:highlight w:val="none"/>
          <w:shd w:val="clear" w:color="auto" w:fill="FFFFFF"/>
        </w:rPr>
        <w:t>监理工作考核表</w:t>
      </w:r>
    </w:p>
    <w:tbl>
      <w:tblPr>
        <w:tblStyle w:val="8"/>
        <w:tblW w:w="9305" w:type="dxa"/>
        <w:tblInd w:w="-257" w:type="dxa"/>
        <w:tblLayout w:type="autofit"/>
        <w:tblCellMar>
          <w:top w:w="0" w:type="dxa"/>
          <w:left w:w="108" w:type="dxa"/>
          <w:bottom w:w="0" w:type="dxa"/>
          <w:right w:w="108" w:type="dxa"/>
        </w:tblCellMar>
      </w:tblPr>
      <w:tblGrid>
        <w:gridCol w:w="660"/>
        <w:gridCol w:w="1850"/>
        <w:gridCol w:w="2026"/>
        <w:gridCol w:w="3767"/>
        <w:gridCol w:w="990"/>
        <w:gridCol w:w="12"/>
      </w:tblGrid>
      <w:tr w14:paraId="224D279E">
        <w:tblPrEx>
          <w:tblCellMar>
            <w:top w:w="0" w:type="dxa"/>
            <w:left w:w="108" w:type="dxa"/>
            <w:bottom w:w="0" w:type="dxa"/>
            <w:right w:w="108" w:type="dxa"/>
          </w:tblCellMar>
        </w:tblPrEx>
        <w:trPr>
          <w:gridAfter w:val="1"/>
          <w:wAfter w:w="12" w:type="dxa"/>
          <w:trHeight w:val="270" w:hRule="atLeast"/>
          <w:tblHead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2DB84">
            <w:pPr>
              <w:widowControl/>
              <w:jc w:val="center"/>
              <w:textAlignment w:val="center"/>
              <w:rPr>
                <w:rFonts w:ascii="仿宋" w:hAnsi="仿宋" w:eastAsia="仿宋" w:cs="宋体"/>
                <w:b/>
                <w:bCs/>
                <w:color w:val="000000"/>
                <w:sz w:val="24"/>
                <w:highlight w:val="none"/>
              </w:rPr>
            </w:pPr>
            <w:r>
              <w:rPr>
                <w:rFonts w:hint="eastAsia" w:ascii="仿宋" w:hAnsi="仿宋" w:eastAsia="仿宋" w:cs="宋体"/>
                <w:b/>
                <w:bCs/>
                <w:color w:val="000000"/>
                <w:kern w:val="0"/>
                <w:sz w:val="24"/>
                <w:szCs w:val="24"/>
                <w:highlight w:val="none"/>
                <w:lang w:bidi="ar"/>
              </w:rPr>
              <w:t>序号</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0C454">
            <w:pPr>
              <w:widowControl/>
              <w:jc w:val="center"/>
              <w:textAlignment w:val="center"/>
              <w:rPr>
                <w:rFonts w:ascii="仿宋" w:hAnsi="仿宋" w:eastAsia="仿宋" w:cs="宋体"/>
                <w:b/>
                <w:bCs/>
                <w:color w:val="000000"/>
                <w:sz w:val="24"/>
                <w:highlight w:val="none"/>
              </w:rPr>
            </w:pPr>
            <w:r>
              <w:rPr>
                <w:rFonts w:hint="eastAsia" w:ascii="仿宋" w:hAnsi="仿宋" w:eastAsia="仿宋" w:cs="宋体"/>
                <w:b/>
                <w:bCs/>
                <w:color w:val="000000"/>
                <w:kern w:val="0"/>
                <w:sz w:val="24"/>
                <w:szCs w:val="24"/>
                <w:highlight w:val="none"/>
                <w:lang w:bidi="ar"/>
              </w:rPr>
              <w:t>考核项目</w:t>
            </w:r>
          </w:p>
        </w:tc>
        <w:tc>
          <w:tcPr>
            <w:tcW w:w="57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FF16C7">
            <w:pPr>
              <w:widowControl/>
              <w:jc w:val="center"/>
              <w:textAlignment w:val="center"/>
              <w:rPr>
                <w:rFonts w:ascii="仿宋" w:hAnsi="仿宋" w:eastAsia="仿宋" w:cs="宋体"/>
                <w:b/>
                <w:bCs/>
                <w:color w:val="000000"/>
                <w:sz w:val="24"/>
                <w:highlight w:val="none"/>
              </w:rPr>
            </w:pPr>
            <w:r>
              <w:rPr>
                <w:rFonts w:hint="eastAsia" w:ascii="仿宋" w:hAnsi="仿宋" w:eastAsia="仿宋" w:cs="宋体"/>
                <w:b/>
                <w:bCs/>
                <w:color w:val="000000"/>
                <w:kern w:val="0"/>
                <w:sz w:val="24"/>
                <w:szCs w:val="24"/>
                <w:highlight w:val="none"/>
                <w:lang w:bidi="ar"/>
              </w:rPr>
              <w:t>考核评分标准</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57897">
            <w:pPr>
              <w:widowControl/>
              <w:jc w:val="center"/>
              <w:textAlignment w:val="center"/>
              <w:rPr>
                <w:rFonts w:ascii="仿宋" w:hAnsi="仿宋" w:eastAsia="仿宋" w:cs="宋体"/>
                <w:b/>
                <w:bCs/>
                <w:color w:val="000000"/>
                <w:sz w:val="24"/>
                <w:highlight w:val="none"/>
              </w:rPr>
            </w:pPr>
            <w:r>
              <w:rPr>
                <w:rFonts w:hint="eastAsia" w:ascii="仿宋" w:hAnsi="仿宋" w:eastAsia="仿宋" w:cs="宋体"/>
                <w:b/>
                <w:bCs/>
                <w:color w:val="000000"/>
                <w:kern w:val="0"/>
                <w:sz w:val="24"/>
                <w:szCs w:val="24"/>
                <w:highlight w:val="none"/>
                <w:lang w:bidi="ar"/>
              </w:rPr>
              <w:t>分值</w:t>
            </w:r>
          </w:p>
        </w:tc>
      </w:tr>
      <w:tr w14:paraId="09A0F9C0">
        <w:tblPrEx>
          <w:tblCellMar>
            <w:top w:w="0" w:type="dxa"/>
            <w:left w:w="108" w:type="dxa"/>
            <w:bottom w:w="0" w:type="dxa"/>
            <w:right w:w="108" w:type="dxa"/>
          </w:tblCellMar>
        </w:tblPrEx>
        <w:trPr>
          <w:gridAfter w:val="1"/>
          <w:wAfter w:w="12" w:type="dxa"/>
          <w:trHeight w:val="540" w:hRule="atLeast"/>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8D2090">
            <w:pPr>
              <w:widowControl/>
              <w:jc w:val="center"/>
              <w:textAlignment w:val="center"/>
              <w:rPr>
                <w:rFonts w:ascii="仿宋" w:hAnsi="仿宋" w:eastAsia="仿宋" w:cs="宋体"/>
                <w:color w:val="000000"/>
                <w:sz w:val="24"/>
                <w:highlight w:val="none"/>
              </w:rPr>
            </w:pPr>
            <w:r>
              <w:rPr>
                <w:rFonts w:hint="eastAsia" w:ascii="仿宋" w:hAnsi="仿宋" w:eastAsia="仿宋" w:cs="宋体"/>
                <w:color w:val="000000"/>
                <w:kern w:val="0"/>
                <w:sz w:val="24"/>
                <w:szCs w:val="24"/>
                <w:highlight w:val="none"/>
                <w:lang w:bidi="ar"/>
              </w:rPr>
              <w:t>1</w:t>
            </w:r>
          </w:p>
        </w:tc>
        <w:tc>
          <w:tcPr>
            <w:tcW w:w="1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E5A64E">
            <w:pPr>
              <w:widowControl/>
              <w:jc w:val="center"/>
              <w:textAlignment w:val="center"/>
              <w:rPr>
                <w:rFonts w:ascii="仿宋" w:hAnsi="仿宋" w:eastAsia="仿宋" w:cs="宋体"/>
                <w:color w:val="000000"/>
                <w:sz w:val="24"/>
                <w:highlight w:val="none"/>
              </w:rPr>
            </w:pPr>
            <w:r>
              <w:rPr>
                <w:rFonts w:hint="eastAsia" w:ascii="仿宋" w:hAnsi="仿宋" w:eastAsia="仿宋" w:cs="宋体"/>
                <w:color w:val="000000"/>
                <w:kern w:val="0"/>
                <w:sz w:val="24"/>
                <w:szCs w:val="24"/>
                <w:highlight w:val="none"/>
                <w:lang w:bidi="ar"/>
              </w:rPr>
              <w:t>服务团队人员考核（30分）</w:t>
            </w:r>
          </w:p>
        </w:tc>
        <w:tc>
          <w:tcPr>
            <w:tcW w:w="57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170989">
            <w:pPr>
              <w:widowControl/>
              <w:jc w:val="left"/>
              <w:textAlignment w:val="center"/>
              <w:rPr>
                <w:rFonts w:ascii="仿宋" w:hAnsi="仿宋" w:eastAsia="仿宋" w:cs="宋体"/>
                <w:color w:val="000000"/>
                <w:sz w:val="24"/>
                <w:highlight w:val="none"/>
              </w:rPr>
            </w:pPr>
            <w:r>
              <w:rPr>
                <w:rFonts w:hint="eastAsia" w:ascii="仿宋" w:hAnsi="仿宋" w:eastAsia="仿宋" w:cs="宋体"/>
                <w:color w:val="000000"/>
                <w:kern w:val="0"/>
                <w:sz w:val="24"/>
                <w:szCs w:val="24"/>
                <w:highlight w:val="none"/>
                <w:lang w:bidi="ar"/>
              </w:rPr>
              <w:t>合同签订3天内服务团队人员未足量到位开展监理工作的扣10分（满分10分）</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73D6D4">
            <w:pPr>
              <w:widowControl/>
              <w:jc w:val="center"/>
              <w:textAlignment w:val="center"/>
              <w:rPr>
                <w:rFonts w:ascii="仿宋" w:hAnsi="仿宋" w:eastAsia="仿宋" w:cs="宋体"/>
                <w:color w:val="000000"/>
                <w:sz w:val="24"/>
                <w:highlight w:val="none"/>
              </w:rPr>
            </w:pPr>
            <w:r>
              <w:rPr>
                <w:rFonts w:hint="eastAsia" w:ascii="仿宋" w:hAnsi="仿宋" w:eastAsia="仿宋" w:cs="宋体"/>
                <w:color w:val="000000"/>
                <w:kern w:val="0"/>
                <w:sz w:val="24"/>
                <w:szCs w:val="24"/>
                <w:highlight w:val="none"/>
                <w:lang w:bidi="ar"/>
              </w:rPr>
              <w:t>30</w:t>
            </w:r>
          </w:p>
        </w:tc>
      </w:tr>
      <w:tr w14:paraId="3B5FCAEF">
        <w:tblPrEx>
          <w:tblCellMar>
            <w:top w:w="0" w:type="dxa"/>
            <w:left w:w="108" w:type="dxa"/>
            <w:bottom w:w="0" w:type="dxa"/>
            <w:right w:w="108" w:type="dxa"/>
          </w:tblCellMar>
        </w:tblPrEx>
        <w:trPr>
          <w:gridAfter w:val="1"/>
          <w:wAfter w:w="12" w:type="dxa"/>
          <w:trHeight w:val="54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DF820">
            <w:pPr>
              <w:jc w:val="center"/>
              <w:rPr>
                <w:rFonts w:ascii="仿宋" w:hAnsi="仿宋" w:eastAsia="仿宋" w:cs="宋体"/>
                <w:color w:val="000000"/>
                <w:sz w:val="24"/>
                <w:highlight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ED8CE">
            <w:pPr>
              <w:jc w:val="center"/>
              <w:rPr>
                <w:rFonts w:ascii="仿宋" w:hAnsi="仿宋" w:eastAsia="仿宋" w:cs="宋体"/>
                <w:color w:val="000000"/>
                <w:sz w:val="24"/>
                <w:highlight w:val="none"/>
              </w:rPr>
            </w:pPr>
          </w:p>
        </w:tc>
        <w:tc>
          <w:tcPr>
            <w:tcW w:w="57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9EF591">
            <w:pPr>
              <w:widowControl/>
              <w:jc w:val="left"/>
              <w:textAlignment w:val="center"/>
              <w:rPr>
                <w:rFonts w:ascii="仿宋" w:hAnsi="仿宋" w:eastAsia="仿宋" w:cs="宋体"/>
                <w:color w:val="000000"/>
                <w:sz w:val="24"/>
                <w:highlight w:val="none"/>
              </w:rPr>
            </w:pPr>
            <w:r>
              <w:rPr>
                <w:rFonts w:hint="eastAsia" w:ascii="仿宋" w:hAnsi="仿宋" w:eastAsia="仿宋" w:cs="宋体"/>
                <w:color w:val="000000"/>
                <w:kern w:val="0"/>
                <w:sz w:val="24"/>
                <w:szCs w:val="24"/>
                <w:highlight w:val="none"/>
                <w:lang w:bidi="ar"/>
              </w:rPr>
              <w:t>未经采购人同意，随意调换监理人员的扣</w:t>
            </w:r>
            <w:r>
              <w:rPr>
                <w:rFonts w:hint="eastAsia" w:ascii="仿宋" w:hAnsi="仿宋" w:eastAsia="仿宋" w:cs="宋体"/>
                <w:color w:val="000000"/>
                <w:kern w:val="0"/>
                <w:sz w:val="24"/>
                <w:szCs w:val="24"/>
                <w:highlight w:val="none"/>
                <w:lang w:val="en-US" w:eastAsia="zh-CN" w:bidi="ar"/>
              </w:rPr>
              <w:t>2</w:t>
            </w:r>
            <w:r>
              <w:rPr>
                <w:rFonts w:hint="eastAsia" w:ascii="仿宋" w:hAnsi="仿宋" w:eastAsia="仿宋" w:cs="宋体"/>
                <w:color w:val="000000"/>
                <w:kern w:val="0"/>
                <w:sz w:val="24"/>
                <w:szCs w:val="24"/>
                <w:highlight w:val="none"/>
                <w:lang w:bidi="ar"/>
              </w:rPr>
              <w:t>分/人，扣完为止（满分</w:t>
            </w:r>
            <w:r>
              <w:rPr>
                <w:rFonts w:hint="eastAsia" w:ascii="仿宋" w:hAnsi="仿宋" w:eastAsia="仿宋" w:cs="宋体"/>
                <w:color w:val="000000"/>
                <w:kern w:val="0"/>
                <w:sz w:val="24"/>
                <w:szCs w:val="24"/>
                <w:highlight w:val="none"/>
                <w:lang w:val="en-US" w:eastAsia="zh-CN" w:bidi="ar"/>
              </w:rPr>
              <w:t>10</w:t>
            </w:r>
            <w:r>
              <w:rPr>
                <w:rFonts w:hint="eastAsia" w:ascii="仿宋" w:hAnsi="仿宋" w:eastAsia="仿宋" w:cs="宋体"/>
                <w:color w:val="000000"/>
                <w:kern w:val="0"/>
                <w:sz w:val="24"/>
                <w:szCs w:val="24"/>
                <w:highlight w:val="none"/>
                <w:lang w:bidi="ar"/>
              </w:rPr>
              <w:t>分）</w:t>
            </w: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E0A14">
            <w:pPr>
              <w:jc w:val="center"/>
              <w:rPr>
                <w:rFonts w:ascii="仿宋" w:hAnsi="仿宋" w:eastAsia="仿宋" w:cs="宋体"/>
                <w:color w:val="000000"/>
                <w:sz w:val="24"/>
                <w:highlight w:val="none"/>
              </w:rPr>
            </w:pPr>
          </w:p>
        </w:tc>
      </w:tr>
      <w:tr w14:paraId="7C2C0B49">
        <w:tblPrEx>
          <w:tblCellMar>
            <w:top w:w="0" w:type="dxa"/>
            <w:left w:w="108" w:type="dxa"/>
            <w:bottom w:w="0" w:type="dxa"/>
            <w:right w:w="108" w:type="dxa"/>
          </w:tblCellMar>
        </w:tblPrEx>
        <w:trPr>
          <w:gridAfter w:val="1"/>
          <w:wAfter w:w="12" w:type="dxa"/>
          <w:trHeight w:val="54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48B21">
            <w:pPr>
              <w:jc w:val="center"/>
              <w:rPr>
                <w:rFonts w:ascii="仿宋" w:hAnsi="仿宋" w:eastAsia="仿宋" w:cs="宋体"/>
                <w:color w:val="000000"/>
                <w:sz w:val="24"/>
                <w:highlight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01F5A">
            <w:pPr>
              <w:jc w:val="center"/>
              <w:rPr>
                <w:rFonts w:ascii="仿宋" w:hAnsi="仿宋" w:eastAsia="仿宋" w:cs="宋体"/>
                <w:color w:val="000000"/>
                <w:sz w:val="24"/>
                <w:highlight w:val="none"/>
              </w:rPr>
            </w:pPr>
          </w:p>
        </w:tc>
        <w:tc>
          <w:tcPr>
            <w:tcW w:w="57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DC39F5">
            <w:pPr>
              <w:widowControl/>
              <w:jc w:val="left"/>
              <w:textAlignment w:val="center"/>
              <w:rPr>
                <w:rFonts w:ascii="仿宋" w:hAnsi="仿宋" w:eastAsia="仿宋" w:cs="宋体"/>
                <w:color w:val="000000"/>
                <w:sz w:val="24"/>
                <w:highlight w:val="none"/>
              </w:rPr>
            </w:pPr>
            <w:r>
              <w:rPr>
                <w:rFonts w:hint="eastAsia" w:ascii="仿宋" w:hAnsi="仿宋" w:eastAsia="仿宋" w:cs="宋体"/>
                <w:color w:val="000000"/>
                <w:kern w:val="0"/>
                <w:sz w:val="24"/>
                <w:szCs w:val="24"/>
                <w:highlight w:val="none"/>
                <w:lang w:bidi="ar"/>
              </w:rPr>
              <w:t>采购人对服务人员工作情况和工作满意度打分（满分10分）</w:t>
            </w: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88249">
            <w:pPr>
              <w:jc w:val="center"/>
              <w:rPr>
                <w:rFonts w:ascii="仿宋" w:hAnsi="仿宋" w:eastAsia="仿宋" w:cs="宋体"/>
                <w:color w:val="000000"/>
                <w:sz w:val="24"/>
                <w:highlight w:val="none"/>
              </w:rPr>
            </w:pPr>
          </w:p>
        </w:tc>
      </w:tr>
      <w:tr w14:paraId="0C257703">
        <w:tblPrEx>
          <w:tblCellMar>
            <w:top w:w="0" w:type="dxa"/>
            <w:left w:w="108" w:type="dxa"/>
            <w:bottom w:w="0" w:type="dxa"/>
            <w:right w:w="108" w:type="dxa"/>
          </w:tblCellMar>
        </w:tblPrEx>
        <w:trPr>
          <w:gridAfter w:val="1"/>
          <w:wAfter w:w="12" w:type="dxa"/>
          <w:trHeight w:val="540" w:hRule="atLeast"/>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904CB4">
            <w:pPr>
              <w:widowControl/>
              <w:jc w:val="center"/>
              <w:textAlignment w:val="center"/>
              <w:rPr>
                <w:rFonts w:ascii="仿宋" w:hAnsi="仿宋" w:eastAsia="仿宋" w:cs="宋体"/>
                <w:color w:val="000000"/>
                <w:sz w:val="24"/>
                <w:highlight w:val="none"/>
              </w:rPr>
            </w:pPr>
            <w:r>
              <w:rPr>
                <w:rFonts w:hint="eastAsia" w:ascii="仿宋" w:hAnsi="仿宋" w:eastAsia="仿宋" w:cs="宋体"/>
                <w:color w:val="000000"/>
                <w:kern w:val="0"/>
                <w:sz w:val="24"/>
                <w:szCs w:val="24"/>
                <w:highlight w:val="none"/>
                <w:lang w:bidi="ar"/>
              </w:rPr>
              <w:t>2</w:t>
            </w:r>
          </w:p>
        </w:tc>
        <w:tc>
          <w:tcPr>
            <w:tcW w:w="1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83BF31">
            <w:pPr>
              <w:widowControl/>
              <w:jc w:val="center"/>
              <w:textAlignment w:val="center"/>
              <w:rPr>
                <w:rFonts w:ascii="仿宋" w:hAnsi="仿宋" w:eastAsia="仿宋" w:cs="宋体"/>
                <w:color w:val="000000"/>
                <w:sz w:val="24"/>
                <w:highlight w:val="none"/>
              </w:rPr>
            </w:pPr>
            <w:r>
              <w:rPr>
                <w:rFonts w:hint="eastAsia" w:ascii="仿宋" w:hAnsi="仿宋" w:eastAsia="仿宋" w:cs="宋体"/>
                <w:color w:val="000000"/>
                <w:kern w:val="0"/>
                <w:sz w:val="24"/>
                <w:szCs w:val="24"/>
                <w:highlight w:val="none"/>
                <w:lang w:bidi="ar"/>
              </w:rPr>
              <w:t>质量控制（20分）</w:t>
            </w:r>
          </w:p>
        </w:tc>
        <w:tc>
          <w:tcPr>
            <w:tcW w:w="57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8BD78C">
            <w:pPr>
              <w:widowControl/>
              <w:jc w:val="left"/>
              <w:textAlignment w:val="center"/>
              <w:rPr>
                <w:rFonts w:ascii="仿宋" w:hAnsi="仿宋" w:eastAsia="仿宋" w:cs="宋体"/>
                <w:color w:val="000000"/>
                <w:sz w:val="24"/>
                <w:highlight w:val="none"/>
              </w:rPr>
            </w:pPr>
            <w:r>
              <w:rPr>
                <w:rFonts w:hint="eastAsia" w:ascii="仿宋" w:hAnsi="仿宋" w:eastAsia="仿宋" w:cs="宋体"/>
                <w:color w:val="000000"/>
                <w:kern w:val="0"/>
                <w:sz w:val="24"/>
                <w:szCs w:val="24"/>
                <w:highlight w:val="none"/>
                <w:lang w:bidi="ar"/>
              </w:rPr>
              <w:t>未发现服务成果与服务招标文件要求不相符的，每发现1个项扣1分，扣完为止（满分5分）</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364F67">
            <w:pPr>
              <w:widowControl/>
              <w:jc w:val="center"/>
              <w:textAlignment w:val="center"/>
              <w:rPr>
                <w:rFonts w:ascii="仿宋" w:hAnsi="仿宋" w:eastAsia="仿宋" w:cs="宋体"/>
                <w:color w:val="000000"/>
                <w:sz w:val="24"/>
                <w:highlight w:val="none"/>
              </w:rPr>
            </w:pPr>
            <w:r>
              <w:rPr>
                <w:rFonts w:hint="eastAsia" w:ascii="仿宋" w:hAnsi="仿宋" w:eastAsia="仿宋" w:cs="宋体"/>
                <w:color w:val="000000"/>
                <w:kern w:val="0"/>
                <w:sz w:val="24"/>
                <w:szCs w:val="24"/>
                <w:highlight w:val="none"/>
                <w:lang w:bidi="ar"/>
              </w:rPr>
              <w:t>20</w:t>
            </w:r>
          </w:p>
        </w:tc>
      </w:tr>
      <w:tr w14:paraId="75EE94DD">
        <w:tblPrEx>
          <w:tblCellMar>
            <w:top w:w="0" w:type="dxa"/>
            <w:left w:w="108" w:type="dxa"/>
            <w:bottom w:w="0" w:type="dxa"/>
            <w:right w:w="108" w:type="dxa"/>
          </w:tblCellMar>
        </w:tblPrEx>
        <w:trPr>
          <w:gridAfter w:val="1"/>
          <w:wAfter w:w="12" w:type="dxa"/>
          <w:trHeight w:val="68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0C4D7">
            <w:pPr>
              <w:jc w:val="center"/>
              <w:rPr>
                <w:rFonts w:ascii="仿宋" w:hAnsi="仿宋" w:eastAsia="仿宋" w:cs="宋体"/>
                <w:color w:val="000000"/>
                <w:sz w:val="24"/>
                <w:highlight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AAE94">
            <w:pPr>
              <w:jc w:val="center"/>
              <w:rPr>
                <w:rFonts w:ascii="仿宋" w:hAnsi="仿宋" w:eastAsia="仿宋" w:cs="宋体"/>
                <w:color w:val="000000"/>
                <w:sz w:val="24"/>
                <w:highlight w:val="none"/>
              </w:rPr>
            </w:pPr>
          </w:p>
        </w:tc>
        <w:tc>
          <w:tcPr>
            <w:tcW w:w="57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941EED">
            <w:pPr>
              <w:widowControl/>
              <w:jc w:val="left"/>
              <w:textAlignment w:val="center"/>
              <w:rPr>
                <w:rFonts w:ascii="仿宋" w:hAnsi="仿宋" w:eastAsia="仿宋" w:cs="宋体"/>
                <w:color w:val="000000"/>
                <w:sz w:val="24"/>
                <w:highlight w:val="none"/>
              </w:rPr>
            </w:pPr>
            <w:r>
              <w:rPr>
                <w:rFonts w:hint="eastAsia" w:ascii="仿宋" w:hAnsi="仿宋" w:eastAsia="仿宋" w:cs="宋体"/>
                <w:color w:val="000000"/>
                <w:kern w:val="0"/>
                <w:sz w:val="24"/>
                <w:szCs w:val="24"/>
                <w:highlight w:val="none"/>
                <w:lang w:bidi="ar"/>
              </w:rPr>
              <w:t>对关键节点开展旁站监理工作并形成监理旁站记，未到场1次扣1分，扣完为止（满分5分）</w:t>
            </w: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18968">
            <w:pPr>
              <w:jc w:val="center"/>
              <w:rPr>
                <w:rFonts w:ascii="仿宋" w:hAnsi="仿宋" w:eastAsia="仿宋" w:cs="宋体"/>
                <w:color w:val="000000"/>
                <w:sz w:val="24"/>
                <w:highlight w:val="none"/>
              </w:rPr>
            </w:pPr>
          </w:p>
        </w:tc>
      </w:tr>
      <w:tr w14:paraId="18834714">
        <w:tblPrEx>
          <w:tblCellMar>
            <w:top w:w="0" w:type="dxa"/>
            <w:left w:w="108" w:type="dxa"/>
            <w:bottom w:w="0" w:type="dxa"/>
            <w:right w:w="108" w:type="dxa"/>
          </w:tblCellMar>
        </w:tblPrEx>
        <w:trPr>
          <w:gridAfter w:val="1"/>
          <w:wAfter w:w="12" w:type="dxa"/>
          <w:trHeight w:val="62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7B924">
            <w:pPr>
              <w:jc w:val="center"/>
              <w:rPr>
                <w:rFonts w:ascii="仿宋" w:hAnsi="仿宋" w:eastAsia="仿宋" w:cs="宋体"/>
                <w:color w:val="000000"/>
                <w:sz w:val="24"/>
                <w:highlight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7D6EE">
            <w:pPr>
              <w:jc w:val="center"/>
              <w:rPr>
                <w:rFonts w:ascii="仿宋" w:hAnsi="仿宋" w:eastAsia="仿宋" w:cs="宋体"/>
                <w:color w:val="000000"/>
                <w:sz w:val="24"/>
                <w:highlight w:val="none"/>
              </w:rPr>
            </w:pPr>
          </w:p>
        </w:tc>
        <w:tc>
          <w:tcPr>
            <w:tcW w:w="57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8B2339">
            <w:pPr>
              <w:widowControl/>
              <w:jc w:val="left"/>
              <w:textAlignment w:val="center"/>
              <w:rPr>
                <w:rFonts w:ascii="仿宋" w:hAnsi="仿宋" w:eastAsia="仿宋" w:cs="宋体"/>
                <w:color w:val="000000"/>
                <w:sz w:val="24"/>
                <w:highlight w:val="none"/>
              </w:rPr>
            </w:pPr>
            <w:r>
              <w:rPr>
                <w:rFonts w:hint="eastAsia" w:ascii="仿宋" w:hAnsi="仿宋" w:eastAsia="仿宋" w:cs="宋体"/>
                <w:color w:val="000000"/>
                <w:kern w:val="0"/>
                <w:sz w:val="24"/>
                <w:szCs w:val="24"/>
                <w:highlight w:val="none"/>
                <w:lang w:bidi="ar"/>
              </w:rPr>
              <w:t>经审核签认的验收文档资料，存在与福建省水利厅等有关验收要求存在偏差的，每发现一处扣1分（满分5分）</w:t>
            </w: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68049">
            <w:pPr>
              <w:jc w:val="center"/>
              <w:rPr>
                <w:rFonts w:ascii="仿宋" w:hAnsi="仿宋" w:eastAsia="仿宋" w:cs="宋体"/>
                <w:color w:val="000000"/>
                <w:sz w:val="24"/>
                <w:highlight w:val="none"/>
              </w:rPr>
            </w:pPr>
          </w:p>
        </w:tc>
      </w:tr>
      <w:tr w14:paraId="5AC483D3">
        <w:tblPrEx>
          <w:tblCellMar>
            <w:top w:w="0" w:type="dxa"/>
            <w:left w:w="108" w:type="dxa"/>
            <w:bottom w:w="0" w:type="dxa"/>
            <w:right w:w="108" w:type="dxa"/>
          </w:tblCellMar>
        </w:tblPrEx>
        <w:trPr>
          <w:gridAfter w:val="1"/>
          <w:wAfter w:w="12" w:type="dxa"/>
          <w:trHeight w:val="72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5A319">
            <w:pPr>
              <w:jc w:val="center"/>
              <w:rPr>
                <w:rFonts w:ascii="仿宋" w:hAnsi="仿宋" w:eastAsia="仿宋" w:cs="宋体"/>
                <w:color w:val="000000"/>
                <w:sz w:val="24"/>
                <w:highlight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84936">
            <w:pPr>
              <w:jc w:val="center"/>
              <w:rPr>
                <w:rFonts w:ascii="仿宋" w:hAnsi="仿宋" w:eastAsia="仿宋" w:cs="宋体"/>
                <w:color w:val="000000"/>
                <w:sz w:val="24"/>
                <w:highlight w:val="none"/>
              </w:rPr>
            </w:pPr>
          </w:p>
        </w:tc>
        <w:tc>
          <w:tcPr>
            <w:tcW w:w="57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C785B1">
            <w:pPr>
              <w:widowControl/>
              <w:jc w:val="left"/>
              <w:textAlignment w:val="center"/>
              <w:rPr>
                <w:rFonts w:ascii="仿宋" w:hAnsi="仿宋" w:eastAsia="仿宋" w:cs="宋体"/>
                <w:color w:val="000000"/>
                <w:sz w:val="24"/>
                <w:highlight w:val="none"/>
              </w:rPr>
            </w:pPr>
            <w:r>
              <w:rPr>
                <w:rFonts w:hint="eastAsia" w:ascii="仿宋" w:hAnsi="仿宋" w:eastAsia="仿宋" w:cs="宋体"/>
                <w:color w:val="000000"/>
                <w:kern w:val="0"/>
                <w:sz w:val="24"/>
                <w:szCs w:val="24"/>
                <w:highlight w:val="none"/>
                <w:lang w:bidi="ar"/>
              </w:rPr>
              <w:t>未及时有效开展最终验收问题整改监理工作的扣5分（满分5分）</w:t>
            </w: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C8F9D">
            <w:pPr>
              <w:jc w:val="center"/>
              <w:rPr>
                <w:rFonts w:ascii="仿宋" w:hAnsi="仿宋" w:eastAsia="仿宋" w:cs="宋体"/>
                <w:color w:val="000000"/>
                <w:sz w:val="24"/>
                <w:highlight w:val="none"/>
              </w:rPr>
            </w:pPr>
          </w:p>
        </w:tc>
      </w:tr>
      <w:tr w14:paraId="788E8800">
        <w:tblPrEx>
          <w:tblCellMar>
            <w:top w:w="0" w:type="dxa"/>
            <w:left w:w="108" w:type="dxa"/>
            <w:bottom w:w="0" w:type="dxa"/>
            <w:right w:w="108" w:type="dxa"/>
          </w:tblCellMar>
        </w:tblPrEx>
        <w:trPr>
          <w:gridAfter w:val="1"/>
          <w:wAfter w:w="12" w:type="dxa"/>
          <w:trHeight w:val="81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00FC3">
            <w:pPr>
              <w:widowControl/>
              <w:jc w:val="center"/>
              <w:textAlignment w:val="center"/>
              <w:rPr>
                <w:rFonts w:ascii="仿宋" w:hAnsi="仿宋" w:eastAsia="仿宋" w:cs="宋体"/>
                <w:color w:val="000000"/>
                <w:sz w:val="24"/>
                <w:highlight w:val="none"/>
              </w:rPr>
            </w:pPr>
            <w:r>
              <w:rPr>
                <w:rFonts w:hint="eastAsia" w:ascii="仿宋" w:hAnsi="仿宋" w:eastAsia="仿宋" w:cs="宋体"/>
                <w:color w:val="000000"/>
                <w:kern w:val="0"/>
                <w:sz w:val="24"/>
                <w:szCs w:val="24"/>
                <w:highlight w:val="none"/>
                <w:lang w:bidi="ar"/>
              </w:rPr>
              <w:t>3</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38381">
            <w:pPr>
              <w:widowControl/>
              <w:jc w:val="center"/>
              <w:textAlignment w:val="center"/>
              <w:rPr>
                <w:rFonts w:ascii="仿宋" w:hAnsi="仿宋" w:eastAsia="仿宋" w:cs="宋体"/>
                <w:color w:val="000000"/>
                <w:sz w:val="24"/>
                <w:highlight w:val="none"/>
              </w:rPr>
            </w:pPr>
            <w:r>
              <w:rPr>
                <w:rFonts w:hint="eastAsia" w:ascii="仿宋" w:hAnsi="仿宋" w:eastAsia="仿宋" w:cs="宋体"/>
                <w:color w:val="000000"/>
                <w:kern w:val="0"/>
                <w:sz w:val="24"/>
                <w:szCs w:val="24"/>
                <w:highlight w:val="none"/>
                <w:lang w:bidi="ar"/>
              </w:rPr>
              <w:t>进度控制（10分）</w:t>
            </w:r>
          </w:p>
        </w:tc>
        <w:tc>
          <w:tcPr>
            <w:tcW w:w="57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6AD0F1">
            <w:pPr>
              <w:widowControl/>
              <w:jc w:val="left"/>
              <w:textAlignment w:val="center"/>
              <w:rPr>
                <w:rFonts w:ascii="仿宋" w:hAnsi="仿宋" w:eastAsia="仿宋" w:cs="宋体"/>
                <w:color w:val="000000"/>
                <w:sz w:val="24"/>
                <w:highlight w:val="none"/>
              </w:rPr>
            </w:pPr>
            <w:r>
              <w:rPr>
                <w:rFonts w:hint="eastAsia" w:ascii="仿宋" w:hAnsi="仿宋" w:eastAsia="仿宋" w:cs="宋体"/>
                <w:color w:val="000000"/>
                <w:kern w:val="0"/>
                <w:sz w:val="24"/>
                <w:szCs w:val="24"/>
                <w:highlight w:val="none"/>
                <w:lang w:bidi="ar"/>
              </w:rPr>
              <w:t>未及时提交年度监理报告、工程进度对照表或对实施进度计划出现偏差而无分析调整建议的，每发现1次扣</w:t>
            </w:r>
            <w:r>
              <w:rPr>
                <w:rFonts w:hint="eastAsia" w:ascii="仿宋" w:hAnsi="仿宋" w:eastAsia="仿宋" w:cs="宋体"/>
                <w:color w:val="000000"/>
                <w:kern w:val="0"/>
                <w:sz w:val="24"/>
                <w:szCs w:val="24"/>
                <w:highlight w:val="none"/>
                <w:lang w:val="en-US" w:eastAsia="zh-CN" w:bidi="ar"/>
              </w:rPr>
              <w:t>5</w:t>
            </w:r>
            <w:r>
              <w:rPr>
                <w:rFonts w:hint="eastAsia" w:ascii="仿宋" w:hAnsi="仿宋" w:eastAsia="仿宋" w:cs="宋体"/>
                <w:color w:val="000000"/>
                <w:kern w:val="0"/>
                <w:sz w:val="24"/>
                <w:szCs w:val="24"/>
                <w:highlight w:val="none"/>
                <w:lang w:bidi="ar"/>
              </w:rPr>
              <w:t>分（满分10分）</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A3039">
            <w:pPr>
              <w:widowControl/>
              <w:jc w:val="center"/>
              <w:textAlignment w:val="center"/>
              <w:rPr>
                <w:rFonts w:ascii="仿宋" w:hAnsi="仿宋" w:eastAsia="仿宋" w:cs="宋体"/>
                <w:color w:val="000000"/>
                <w:sz w:val="24"/>
                <w:highlight w:val="none"/>
              </w:rPr>
            </w:pPr>
            <w:r>
              <w:rPr>
                <w:rFonts w:hint="eastAsia" w:ascii="仿宋" w:hAnsi="仿宋" w:eastAsia="仿宋" w:cs="宋体"/>
                <w:color w:val="000000"/>
                <w:kern w:val="0"/>
                <w:sz w:val="24"/>
                <w:szCs w:val="24"/>
                <w:highlight w:val="none"/>
                <w:lang w:bidi="ar"/>
              </w:rPr>
              <w:t>10</w:t>
            </w:r>
          </w:p>
        </w:tc>
      </w:tr>
      <w:tr w14:paraId="641F77F4">
        <w:tblPrEx>
          <w:tblCellMar>
            <w:top w:w="0" w:type="dxa"/>
            <w:left w:w="108" w:type="dxa"/>
            <w:bottom w:w="0" w:type="dxa"/>
            <w:right w:w="108" w:type="dxa"/>
          </w:tblCellMar>
        </w:tblPrEx>
        <w:trPr>
          <w:gridAfter w:val="1"/>
          <w:wAfter w:w="12" w:type="dxa"/>
          <w:trHeight w:val="540" w:hRule="atLeast"/>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B82711">
            <w:pPr>
              <w:widowControl/>
              <w:jc w:val="center"/>
              <w:textAlignment w:val="center"/>
              <w:rPr>
                <w:rFonts w:ascii="仿宋" w:hAnsi="仿宋" w:eastAsia="仿宋" w:cs="宋体"/>
                <w:color w:val="000000"/>
                <w:sz w:val="24"/>
                <w:highlight w:val="none"/>
              </w:rPr>
            </w:pPr>
            <w:r>
              <w:rPr>
                <w:rFonts w:hint="eastAsia" w:ascii="仿宋" w:hAnsi="仿宋" w:eastAsia="仿宋" w:cs="宋体"/>
                <w:color w:val="000000"/>
                <w:kern w:val="0"/>
                <w:sz w:val="24"/>
                <w:szCs w:val="24"/>
                <w:highlight w:val="none"/>
                <w:lang w:bidi="ar"/>
              </w:rPr>
              <w:t>4</w:t>
            </w:r>
          </w:p>
        </w:tc>
        <w:tc>
          <w:tcPr>
            <w:tcW w:w="1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4EBAEF">
            <w:pPr>
              <w:widowControl/>
              <w:jc w:val="center"/>
              <w:textAlignment w:val="center"/>
              <w:rPr>
                <w:rFonts w:ascii="仿宋" w:hAnsi="仿宋" w:eastAsia="仿宋" w:cs="宋体"/>
                <w:color w:val="000000"/>
                <w:sz w:val="24"/>
                <w:highlight w:val="none"/>
              </w:rPr>
            </w:pPr>
            <w:r>
              <w:rPr>
                <w:rFonts w:hint="eastAsia" w:ascii="仿宋" w:hAnsi="仿宋" w:eastAsia="仿宋" w:cs="宋体"/>
                <w:color w:val="000000"/>
                <w:kern w:val="0"/>
                <w:sz w:val="24"/>
                <w:szCs w:val="24"/>
                <w:highlight w:val="none"/>
                <w:lang w:bidi="ar"/>
              </w:rPr>
              <w:t>投资和变更控制（10分）</w:t>
            </w:r>
          </w:p>
        </w:tc>
        <w:tc>
          <w:tcPr>
            <w:tcW w:w="57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1B9D26">
            <w:pPr>
              <w:widowControl/>
              <w:jc w:val="left"/>
              <w:textAlignment w:val="center"/>
              <w:rPr>
                <w:rFonts w:ascii="仿宋" w:hAnsi="仿宋" w:eastAsia="仿宋" w:cs="宋体"/>
                <w:color w:val="000000"/>
                <w:sz w:val="24"/>
                <w:highlight w:val="none"/>
              </w:rPr>
            </w:pPr>
            <w:r>
              <w:rPr>
                <w:rFonts w:hint="eastAsia" w:ascii="仿宋" w:hAnsi="仿宋" w:eastAsia="仿宋" w:cs="宋体"/>
                <w:color w:val="000000"/>
                <w:kern w:val="0"/>
                <w:sz w:val="24"/>
                <w:szCs w:val="24"/>
                <w:highlight w:val="none"/>
                <w:lang w:bidi="ar"/>
              </w:rPr>
              <w:t>未及时审核签发工程款支付意见的，每次扣1分（满分5分）</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CE581C">
            <w:pPr>
              <w:widowControl/>
              <w:jc w:val="center"/>
              <w:textAlignment w:val="center"/>
              <w:rPr>
                <w:rFonts w:ascii="仿宋" w:hAnsi="仿宋" w:eastAsia="仿宋" w:cs="宋体"/>
                <w:color w:val="000000"/>
                <w:sz w:val="24"/>
                <w:highlight w:val="none"/>
              </w:rPr>
            </w:pPr>
            <w:r>
              <w:rPr>
                <w:rFonts w:hint="eastAsia" w:ascii="仿宋" w:hAnsi="仿宋" w:eastAsia="仿宋" w:cs="宋体"/>
                <w:color w:val="000000"/>
                <w:kern w:val="0"/>
                <w:sz w:val="24"/>
                <w:szCs w:val="24"/>
                <w:highlight w:val="none"/>
                <w:lang w:bidi="ar"/>
              </w:rPr>
              <w:t>10</w:t>
            </w:r>
          </w:p>
        </w:tc>
      </w:tr>
      <w:tr w14:paraId="50116595">
        <w:tblPrEx>
          <w:tblCellMar>
            <w:top w:w="0" w:type="dxa"/>
            <w:left w:w="108" w:type="dxa"/>
            <w:bottom w:w="0" w:type="dxa"/>
            <w:right w:w="108" w:type="dxa"/>
          </w:tblCellMar>
        </w:tblPrEx>
        <w:trPr>
          <w:gridAfter w:val="1"/>
          <w:wAfter w:w="12" w:type="dxa"/>
          <w:trHeight w:val="98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5E173">
            <w:pPr>
              <w:jc w:val="center"/>
              <w:rPr>
                <w:rFonts w:ascii="仿宋" w:hAnsi="仿宋" w:eastAsia="仿宋" w:cs="宋体"/>
                <w:color w:val="000000"/>
                <w:sz w:val="24"/>
                <w:highlight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19410">
            <w:pPr>
              <w:jc w:val="center"/>
              <w:rPr>
                <w:rFonts w:ascii="仿宋" w:hAnsi="仿宋" w:eastAsia="仿宋" w:cs="宋体"/>
                <w:color w:val="000000"/>
                <w:sz w:val="24"/>
                <w:highlight w:val="none"/>
              </w:rPr>
            </w:pPr>
          </w:p>
        </w:tc>
        <w:tc>
          <w:tcPr>
            <w:tcW w:w="57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AF116D">
            <w:pPr>
              <w:widowControl/>
              <w:jc w:val="left"/>
              <w:textAlignment w:val="center"/>
              <w:rPr>
                <w:rFonts w:ascii="仿宋" w:hAnsi="仿宋" w:eastAsia="仿宋" w:cs="宋体"/>
                <w:color w:val="000000"/>
                <w:sz w:val="24"/>
                <w:highlight w:val="none"/>
              </w:rPr>
            </w:pPr>
            <w:r>
              <w:rPr>
                <w:rFonts w:hint="eastAsia" w:ascii="仿宋" w:hAnsi="仿宋" w:eastAsia="仿宋" w:cs="宋体"/>
                <w:color w:val="000000"/>
                <w:kern w:val="0"/>
                <w:sz w:val="24"/>
                <w:szCs w:val="24"/>
                <w:highlight w:val="none"/>
                <w:lang w:bidi="ar"/>
              </w:rPr>
              <w:t>未及时发现工程变更情况并组织采购人、服务中标单位协商沟通形成工程备忘录的，每次扣1分（满分5分）</w:t>
            </w: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7FA62">
            <w:pPr>
              <w:jc w:val="center"/>
              <w:rPr>
                <w:rFonts w:ascii="仿宋" w:hAnsi="仿宋" w:eastAsia="仿宋" w:cs="宋体"/>
                <w:color w:val="000000"/>
                <w:sz w:val="24"/>
                <w:highlight w:val="none"/>
              </w:rPr>
            </w:pPr>
          </w:p>
        </w:tc>
      </w:tr>
      <w:tr w14:paraId="6EF3818D">
        <w:tblPrEx>
          <w:tblCellMar>
            <w:top w:w="0" w:type="dxa"/>
            <w:left w:w="108" w:type="dxa"/>
            <w:bottom w:w="0" w:type="dxa"/>
            <w:right w:w="108" w:type="dxa"/>
          </w:tblCellMar>
        </w:tblPrEx>
        <w:trPr>
          <w:gridAfter w:val="1"/>
          <w:wAfter w:w="12" w:type="dxa"/>
          <w:trHeight w:val="540" w:hRule="atLeast"/>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26D878">
            <w:pPr>
              <w:widowControl/>
              <w:jc w:val="center"/>
              <w:textAlignment w:val="center"/>
              <w:rPr>
                <w:rFonts w:ascii="仿宋" w:hAnsi="仿宋" w:eastAsia="仿宋" w:cs="宋体"/>
                <w:color w:val="000000"/>
                <w:sz w:val="24"/>
                <w:highlight w:val="none"/>
              </w:rPr>
            </w:pPr>
            <w:r>
              <w:rPr>
                <w:rFonts w:hint="eastAsia" w:ascii="仿宋" w:hAnsi="仿宋" w:eastAsia="仿宋" w:cs="宋体"/>
                <w:color w:val="000000"/>
                <w:kern w:val="0"/>
                <w:sz w:val="24"/>
                <w:szCs w:val="24"/>
                <w:highlight w:val="none"/>
                <w:lang w:bidi="ar"/>
              </w:rPr>
              <w:t>5</w:t>
            </w:r>
          </w:p>
        </w:tc>
        <w:tc>
          <w:tcPr>
            <w:tcW w:w="1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C24B9F">
            <w:pPr>
              <w:widowControl/>
              <w:jc w:val="center"/>
              <w:textAlignment w:val="center"/>
              <w:rPr>
                <w:rFonts w:ascii="仿宋" w:hAnsi="仿宋" w:eastAsia="仿宋" w:cs="宋体"/>
                <w:color w:val="000000"/>
                <w:sz w:val="24"/>
                <w:highlight w:val="none"/>
              </w:rPr>
            </w:pPr>
            <w:r>
              <w:rPr>
                <w:rFonts w:hint="eastAsia" w:ascii="仿宋" w:hAnsi="仿宋" w:eastAsia="仿宋" w:cs="宋体"/>
                <w:color w:val="000000"/>
                <w:kern w:val="0"/>
                <w:sz w:val="24"/>
                <w:szCs w:val="24"/>
                <w:highlight w:val="none"/>
                <w:lang w:bidi="ar"/>
              </w:rPr>
              <w:t>合同和信息管理（10分）</w:t>
            </w:r>
          </w:p>
        </w:tc>
        <w:tc>
          <w:tcPr>
            <w:tcW w:w="57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9705AB">
            <w:pPr>
              <w:widowControl/>
              <w:jc w:val="left"/>
              <w:textAlignment w:val="center"/>
              <w:rPr>
                <w:rFonts w:ascii="仿宋" w:hAnsi="仿宋" w:eastAsia="仿宋" w:cs="宋体"/>
                <w:color w:val="000000"/>
                <w:sz w:val="24"/>
                <w:highlight w:val="none"/>
              </w:rPr>
            </w:pPr>
            <w:r>
              <w:rPr>
                <w:rFonts w:hint="eastAsia" w:ascii="仿宋" w:hAnsi="仿宋" w:eastAsia="仿宋" w:cs="宋体"/>
                <w:color w:val="000000"/>
                <w:kern w:val="0"/>
                <w:sz w:val="24"/>
                <w:szCs w:val="24"/>
                <w:highlight w:val="none"/>
                <w:lang w:bidi="ar"/>
              </w:rPr>
              <w:t>未及时协调合同纠纷，并出具监理意见的，每次扣1分（满分5分）</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6D21B6">
            <w:pPr>
              <w:widowControl/>
              <w:jc w:val="center"/>
              <w:textAlignment w:val="center"/>
              <w:rPr>
                <w:rFonts w:ascii="仿宋" w:hAnsi="仿宋" w:eastAsia="仿宋" w:cs="宋体"/>
                <w:color w:val="000000"/>
                <w:sz w:val="24"/>
                <w:highlight w:val="none"/>
              </w:rPr>
            </w:pPr>
            <w:r>
              <w:rPr>
                <w:rFonts w:hint="eastAsia" w:ascii="仿宋" w:hAnsi="仿宋" w:eastAsia="仿宋" w:cs="宋体"/>
                <w:color w:val="000000"/>
                <w:kern w:val="0"/>
                <w:sz w:val="24"/>
                <w:szCs w:val="24"/>
                <w:highlight w:val="none"/>
                <w:lang w:bidi="ar"/>
              </w:rPr>
              <w:t>10</w:t>
            </w:r>
          </w:p>
        </w:tc>
      </w:tr>
      <w:tr w14:paraId="65462755">
        <w:tblPrEx>
          <w:tblCellMar>
            <w:top w:w="0" w:type="dxa"/>
            <w:left w:w="108" w:type="dxa"/>
            <w:bottom w:w="0" w:type="dxa"/>
            <w:right w:w="108" w:type="dxa"/>
          </w:tblCellMar>
        </w:tblPrEx>
        <w:trPr>
          <w:gridAfter w:val="1"/>
          <w:wAfter w:w="12" w:type="dxa"/>
          <w:trHeight w:val="54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8FD7C">
            <w:pPr>
              <w:jc w:val="center"/>
              <w:rPr>
                <w:rFonts w:ascii="仿宋" w:hAnsi="仿宋" w:eastAsia="仿宋" w:cs="宋体"/>
                <w:color w:val="000000"/>
                <w:sz w:val="24"/>
                <w:highlight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A6755">
            <w:pPr>
              <w:jc w:val="center"/>
              <w:rPr>
                <w:rFonts w:ascii="仿宋" w:hAnsi="仿宋" w:eastAsia="仿宋" w:cs="宋体"/>
                <w:color w:val="000000"/>
                <w:sz w:val="24"/>
                <w:highlight w:val="none"/>
              </w:rPr>
            </w:pPr>
          </w:p>
        </w:tc>
        <w:tc>
          <w:tcPr>
            <w:tcW w:w="57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F75313">
            <w:pPr>
              <w:widowControl/>
              <w:jc w:val="left"/>
              <w:textAlignment w:val="center"/>
              <w:rPr>
                <w:rFonts w:ascii="仿宋" w:hAnsi="仿宋" w:eastAsia="仿宋" w:cs="宋体"/>
                <w:color w:val="000000"/>
                <w:sz w:val="24"/>
                <w:highlight w:val="none"/>
              </w:rPr>
            </w:pPr>
            <w:r>
              <w:rPr>
                <w:rFonts w:hint="eastAsia" w:ascii="仿宋" w:hAnsi="仿宋" w:eastAsia="仿宋" w:cs="宋体"/>
                <w:color w:val="000000"/>
                <w:kern w:val="0"/>
                <w:sz w:val="24"/>
                <w:szCs w:val="24"/>
                <w:highlight w:val="none"/>
                <w:lang w:bidi="ar"/>
              </w:rPr>
              <w:t>项目文档存在资料不齐全、分类不清晰、内容不规范的，每发现1份扣1分，扣完为止（满分5分）</w:t>
            </w: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AA466">
            <w:pPr>
              <w:jc w:val="center"/>
              <w:rPr>
                <w:rFonts w:ascii="仿宋" w:hAnsi="仿宋" w:eastAsia="仿宋" w:cs="宋体"/>
                <w:color w:val="000000"/>
                <w:sz w:val="24"/>
                <w:highlight w:val="none"/>
              </w:rPr>
            </w:pPr>
          </w:p>
        </w:tc>
      </w:tr>
      <w:tr w14:paraId="6AB438F9">
        <w:tblPrEx>
          <w:tblCellMar>
            <w:top w:w="0" w:type="dxa"/>
            <w:left w:w="108" w:type="dxa"/>
            <w:bottom w:w="0" w:type="dxa"/>
            <w:right w:w="108" w:type="dxa"/>
          </w:tblCellMar>
        </w:tblPrEx>
        <w:trPr>
          <w:gridAfter w:val="1"/>
          <w:wAfter w:w="12" w:type="dxa"/>
          <w:trHeight w:val="540" w:hRule="atLeast"/>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FB3D15">
            <w:pPr>
              <w:widowControl/>
              <w:jc w:val="center"/>
              <w:textAlignment w:val="center"/>
              <w:rPr>
                <w:rFonts w:ascii="仿宋" w:hAnsi="仿宋" w:eastAsia="仿宋" w:cs="宋体"/>
                <w:color w:val="000000"/>
                <w:sz w:val="24"/>
                <w:highlight w:val="none"/>
              </w:rPr>
            </w:pPr>
            <w:r>
              <w:rPr>
                <w:rFonts w:hint="eastAsia" w:ascii="仿宋" w:hAnsi="仿宋" w:eastAsia="仿宋" w:cs="宋体"/>
                <w:color w:val="000000"/>
                <w:kern w:val="0"/>
                <w:sz w:val="24"/>
                <w:szCs w:val="24"/>
                <w:highlight w:val="none"/>
                <w:lang w:bidi="ar"/>
              </w:rPr>
              <w:t>6</w:t>
            </w:r>
          </w:p>
        </w:tc>
        <w:tc>
          <w:tcPr>
            <w:tcW w:w="1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E47079">
            <w:pPr>
              <w:widowControl/>
              <w:jc w:val="center"/>
              <w:textAlignment w:val="center"/>
              <w:rPr>
                <w:rFonts w:ascii="仿宋" w:hAnsi="仿宋" w:eastAsia="仿宋" w:cs="宋体"/>
                <w:color w:val="000000"/>
                <w:sz w:val="24"/>
                <w:highlight w:val="none"/>
              </w:rPr>
            </w:pPr>
            <w:r>
              <w:rPr>
                <w:rFonts w:hint="eastAsia" w:ascii="仿宋" w:hAnsi="仿宋" w:eastAsia="仿宋" w:cs="宋体"/>
                <w:color w:val="000000"/>
                <w:kern w:val="0"/>
                <w:sz w:val="24"/>
                <w:szCs w:val="24"/>
                <w:highlight w:val="none"/>
                <w:lang w:bidi="ar"/>
              </w:rPr>
              <w:t>组织协调(10分)</w:t>
            </w:r>
          </w:p>
        </w:tc>
        <w:tc>
          <w:tcPr>
            <w:tcW w:w="57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373147">
            <w:pPr>
              <w:widowControl/>
              <w:jc w:val="left"/>
              <w:textAlignment w:val="center"/>
              <w:rPr>
                <w:rFonts w:ascii="仿宋" w:hAnsi="仿宋" w:eastAsia="仿宋" w:cs="宋体"/>
                <w:color w:val="000000"/>
                <w:sz w:val="24"/>
                <w:highlight w:val="none"/>
              </w:rPr>
            </w:pPr>
            <w:r>
              <w:rPr>
                <w:rFonts w:hint="eastAsia" w:ascii="仿宋" w:hAnsi="仿宋" w:eastAsia="仿宋" w:cs="宋体"/>
                <w:color w:val="000000"/>
                <w:kern w:val="0"/>
                <w:sz w:val="24"/>
                <w:szCs w:val="24"/>
                <w:highlight w:val="none"/>
                <w:lang w:bidi="ar"/>
              </w:rPr>
              <w:t>未及时召开监理例会、专题会议的，每次扣1分，扣完为止（满分5分）</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B6665A">
            <w:pPr>
              <w:widowControl/>
              <w:jc w:val="center"/>
              <w:textAlignment w:val="center"/>
              <w:rPr>
                <w:rFonts w:ascii="仿宋" w:hAnsi="仿宋" w:eastAsia="仿宋" w:cs="宋体"/>
                <w:color w:val="000000"/>
                <w:sz w:val="24"/>
                <w:highlight w:val="none"/>
              </w:rPr>
            </w:pPr>
            <w:r>
              <w:rPr>
                <w:rFonts w:hint="eastAsia" w:ascii="仿宋" w:hAnsi="仿宋" w:eastAsia="仿宋" w:cs="宋体"/>
                <w:color w:val="000000"/>
                <w:kern w:val="0"/>
                <w:sz w:val="24"/>
                <w:szCs w:val="24"/>
                <w:highlight w:val="none"/>
                <w:lang w:bidi="ar"/>
              </w:rPr>
              <w:t>10</w:t>
            </w:r>
          </w:p>
        </w:tc>
      </w:tr>
      <w:tr w14:paraId="30E4034A">
        <w:tblPrEx>
          <w:tblCellMar>
            <w:top w:w="0" w:type="dxa"/>
            <w:left w:w="108" w:type="dxa"/>
            <w:bottom w:w="0" w:type="dxa"/>
            <w:right w:w="108" w:type="dxa"/>
          </w:tblCellMar>
        </w:tblPrEx>
        <w:trPr>
          <w:gridAfter w:val="1"/>
          <w:wAfter w:w="12" w:type="dxa"/>
          <w:trHeight w:val="54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95C56">
            <w:pPr>
              <w:jc w:val="center"/>
              <w:rPr>
                <w:rFonts w:ascii="仿宋" w:hAnsi="仿宋" w:eastAsia="仿宋" w:cs="宋体"/>
                <w:color w:val="000000"/>
                <w:sz w:val="24"/>
                <w:highlight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43EBB">
            <w:pPr>
              <w:jc w:val="center"/>
              <w:rPr>
                <w:rFonts w:ascii="仿宋" w:hAnsi="仿宋" w:eastAsia="仿宋" w:cs="宋体"/>
                <w:color w:val="000000"/>
                <w:sz w:val="24"/>
                <w:highlight w:val="none"/>
              </w:rPr>
            </w:pPr>
          </w:p>
        </w:tc>
        <w:tc>
          <w:tcPr>
            <w:tcW w:w="57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51DCD6">
            <w:pPr>
              <w:widowControl/>
              <w:jc w:val="left"/>
              <w:textAlignment w:val="center"/>
              <w:rPr>
                <w:rFonts w:ascii="仿宋" w:hAnsi="仿宋" w:eastAsia="仿宋" w:cs="宋体"/>
                <w:color w:val="000000"/>
                <w:sz w:val="24"/>
                <w:highlight w:val="none"/>
              </w:rPr>
            </w:pPr>
            <w:r>
              <w:rPr>
                <w:rFonts w:hint="eastAsia" w:ascii="仿宋" w:hAnsi="仿宋" w:eastAsia="仿宋" w:cs="宋体"/>
                <w:color w:val="000000"/>
                <w:kern w:val="0"/>
                <w:sz w:val="24"/>
                <w:szCs w:val="24"/>
                <w:highlight w:val="none"/>
                <w:lang w:bidi="ar"/>
              </w:rPr>
              <w:t>未及时开展沟通协调工作并形成工程备忘录的，每次扣1分（满分5分）</w:t>
            </w: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9274F">
            <w:pPr>
              <w:jc w:val="center"/>
              <w:rPr>
                <w:rFonts w:ascii="仿宋" w:hAnsi="仿宋" w:eastAsia="仿宋" w:cs="宋体"/>
                <w:color w:val="000000"/>
                <w:sz w:val="24"/>
                <w:highlight w:val="none"/>
              </w:rPr>
            </w:pPr>
          </w:p>
        </w:tc>
      </w:tr>
      <w:tr w14:paraId="31F2AB98">
        <w:tblPrEx>
          <w:tblCellMar>
            <w:top w:w="0" w:type="dxa"/>
            <w:left w:w="108" w:type="dxa"/>
            <w:bottom w:w="0" w:type="dxa"/>
            <w:right w:w="108" w:type="dxa"/>
          </w:tblCellMar>
        </w:tblPrEx>
        <w:trPr>
          <w:gridAfter w:val="1"/>
          <w:wAfter w:w="12" w:type="dxa"/>
          <w:trHeight w:val="54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FE382">
            <w:pPr>
              <w:widowControl/>
              <w:jc w:val="center"/>
              <w:textAlignment w:val="center"/>
              <w:rPr>
                <w:rFonts w:ascii="仿宋" w:hAnsi="仿宋" w:eastAsia="仿宋" w:cs="宋体"/>
                <w:color w:val="000000"/>
                <w:sz w:val="24"/>
                <w:highlight w:val="none"/>
              </w:rPr>
            </w:pPr>
            <w:r>
              <w:rPr>
                <w:rFonts w:hint="eastAsia" w:ascii="仿宋" w:hAnsi="仿宋" w:eastAsia="仿宋" w:cs="宋体"/>
                <w:color w:val="000000"/>
                <w:kern w:val="0"/>
                <w:sz w:val="24"/>
                <w:szCs w:val="24"/>
                <w:highlight w:val="none"/>
                <w:lang w:bidi="ar"/>
              </w:rPr>
              <w:t>7</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2D6C0">
            <w:pPr>
              <w:widowControl/>
              <w:jc w:val="center"/>
              <w:textAlignment w:val="center"/>
              <w:rPr>
                <w:rFonts w:ascii="仿宋" w:hAnsi="仿宋" w:eastAsia="仿宋" w:cs="宋体"/>
                <w:color w:val="000000"/>
                <w:sz w:val="24"/>
                <w:highlight w:val="none"/>
              </w:rPr>
            </w:pPr>
            <w:r>
              <w:rPr>
                <w:rFonts w:hint="eastAsia" w:ascii="仿宋" w:hAnsi="仿宋" w:eastAsia="仿宋" w:cs="宋体"/>
                <w:color w:val="000000"/>
                <w:kern w:val="0"/>
                <w:sz w:val="24"/>
                <w:szCs w:val="24"/>
                <w:highlight w:val="none"/>
                <w:lang w:val="en-US" w:eastAsia="zh-CN" w:bidi="ar"/>
              </w:rPr>
              <w:t>服务</w:t>
            </w:r>
            <w:r>
              <w:rPr>
                <w:rFonts w:hint="eastAsia" w:ascii="仿宋" w:hAnsi="仿宋" w:eastAsia="仿宋" w:cs="宋体"/>
                <w:color w:val="000000"/>
                <w:kern w:val="0"/>
                <w:sz w:val="24"/>
                <w:szCs w:val="24"/>
                <w:highlight w:val="none"/>
                <w:lang w:bidi="ar"/>
              </w:rPr>
              <w:t>管理（10分）</w:t>
            </w:r>
          </w:p>
        </w:tc>
        <w:tc>
          <w:tcPr>
            <w:tcW w:w="57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F04781">
            <w:pPr>
              <w:widowControl/>
              <w:jc w:val="left"/>
              <w:textAlignment w:val="center"/>
              <w:rPr>
                <w:rFonts w:ascii="仿宋" w:hAnsi="仿宋" w:eastAsia="仿宋" w:cs="宋体"/>
                <w:color w:val="000000"/>
                <w:sz w:val="24"/>
                <w:highlight w:val="none"/>
              </w:rPr>
            </w:pPr>
            <w:r>
              <w:rPr>
                <w:rFonts w:hint="eastAsia" w:ascii="仿宋" w:hAnsi="仿宋" w:eastAsia="仿宋" w:cs="宋体"/>
                <w:color w:val="000000"/>
                <w:kern w:val="0"/>
                <w:sz w:val="24"/>
                <w:szCs w:val="24"/>
                <w:highlight w:val="none"/>
                <w:lang w:bidi="ar"/>
              </w:rPr>
              <w:t>每月对</w:t>
            </w:r>
            <w:r>
              <w:rPr>
                <w:rFonts w:hint="eastAsia" w:ascii="仿宋" w:hAnsi="仿宋" w:eastAsia="仿宋" w:cs="宋体"/>
                <w:color w:val="000000"/>
                <w:kern w:val="0"/>
                <w:sz w:val="24"/>
                <w:szCs w:val="24"/>
                <w:highlight w:val="none"/>
                <w:lang w:val="en-US" w:eastAsia="zh-CN" w:bidi="ar"/>
              </w:rPr>
              <w:t>中标单位</w:t>
            </w:r>
            <w:r>
              <w:rPr>
                <w:rFonts w:hint="eastAsia" w:ascii="仿宋" w:hAnsi="仿宋" w:eastAsia="仿宋" w:cs="宋体"/>
                <w:color w:val="000000"/>
                <w:kern w:val="0"/>
                <w:sz w:val="24"/>
                <w:szCs w:val="24"/>
                <w:highlight w:val="none"/>
                <w:lang w:bidi="ar"/>
              </w:rPr>
              <w:t>日常服务响应、月度服务、</w:t>
            </w:r>
            <w:r>
              <w:rPr>
                <w:rFonts w:hint="eastAsia" w:ascii="仿宋" w:hAnsi="仿宋" w:eastAsia="仿宋" w:cs="宋体"/>
                <w:color w:val="000000"/>
                <w:kern w:val="0"/>
                <w:sz w:val="24"/>
                <w:szCs w:val="24"/>
                <w:highlight w:val="none"/>
                <w:lang w:val="en-US" w:eastAsia="zh-CN" w:bidi="ar"/>
              </w:rPr>
              <w:t>年度服务</w:t>
            </w:r>
            <w:r>
              <w:rPr>
                <w:rFonts w:hint="eastAsia" w:ascii="仿宋" w:hAnsi="仿宋" w:eastAsia="仿宋" w:cs="宋体"/>
                <w:color w:val="000000"/>
                <w:kern w:val="0"/>
                <w:sz w:val="24"/>
                <w:szCs w:val="24"/>
                <w:highlight w:val="none"/>
                <w:lang w:bidi="ar"/>
              </w:rPr>
              <w:t>落实情况形成评价与考核</w:t>
            </w:r>
            <w:r>
              <w:rPr>
                <w:rFonts w:hint="eastAsia" w:ascii="仿宋" w:hAnsi="仿宋" w:eastAsia="仿宋" w:cs="宋体"/>
                <w:color w:val="000000"/>
                <w:kern w:val="0"/>
                <w:sz w:val="24"/>
                <w:szCs w:val="24"/>
                <w:highlight w:val="none"/>
                <w:lang w:val="en-US" w:eastAsia="zh-CN" w:bidi="ar"/>
              </w:rPr>
              <w:t>建议</w:t>
            </w:r>
            <w:r>
              <w:rPr>
                <w:rFonts w:hint="eastAsia" w:ascii="仿宋" w:hAnsi="仿宋" w:eastAsia="仿宋" w:cs="宋体"/>
                <w:color w:val="000000"/>
                <w:kern w:val="0"/>
                <w:sz w:val="24"/>
                <w:szCs w:val="24"/>
                <w:highlight w:val="none"/>
                <w:lang w:bidi="ar"/>
              </w:rPr>
              <w:t>，每缺少1次扣1分（满分10分）</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A325E">
            <w:pPr>
              <w:widowControl/>
              <w:jc w:val="center"/>
              <w:textAlignment w:val="center"/>
              <w:rPr>
                <w:rFonts w:ascii="仿宋" w:hAnsi="仿宋" w:eastAsia="仿宋" w:cs="宋体"/>
                <w:color w:val="000000"/>
                <w:sz w:val="24"/>
                <w:highlight w:val="none"/>
              </w:rPr>
            </w:pPr>
            <w:r>
              <w:rPr>
                <w:rFonts w:hint="eastAsia" w:ascii="仿宋" w:hAnsi="仿宋" w:eastAsia="仿宋" w:cs="宋体"/>
                <w:color w:val="000000"/>
                <w:kern w:val="0"/>
                <w:sz w:val="24"/>
                <w:szCs w:val="24"/>
                <w:highlight w:val="none"/>
                <w:lang w:bidi="ar"/>
              </w:rPr>
              <w:t>10</w:t>
            </w:r>
          </w:p>
        </w:tc>
      </w:tr>
      <w:tr w14:paraId="1C4A9A75">
        <w:tblPrEx>
          <w:tblCellMar>
            <w:top w:w="0" w:type="dxa"/>
            <w:left w:w="108" w:type="dxa"/>
            <w:bottom w:w="0" w:type="dxa"/>
            <w:right w:w="108" w:type="dxa"/>
          </w:tblCellMar>
        </w:tblPrEx>
        <w:trPr>
          <w:gridAfter w:val="1"/>
          <w:wAfter w:w="12" w:type="dxa"/>
          <w:trHeight w:val="270" w:hRule="atLeast"/>
        </w:trPr>
        <w:tc>
          <w:tcPr>
            <w:tcW w:w="83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653DCC">
            <w:pPr>
              <w:widowControl/>
              <w:jc w:val="center"/>
              <w:textAlignment w:val="center"/>
              <w:rPr>
                <w:rFonts w:ascii="仿宋" w:hAnsi="仿宋" w:eastAsia="仿宋" w:cs="宋体"/>
                <w:b/>
                <w:bCs/>
                <w:color w:val="000000"/>
                <w:sz w:val="24"/>
                <w:highlight w:val="none"/>
              </w:rPr>
            </w:pPr>
            <w:r>
              <w:rPr>
                <w:rFonts w:hint="eastAsia" w:ascii="仿宋" w:hAnsi="仿宋" w:eastAsia="仿宋" w:cs="宋体"/>
                <w:b/>
                <w:bCs/>
                <w:color w:val="000000"/>
                <w:kern w:val="0"/>
                <w:sz w:val="24"/>
                <w:szCs w:val="24"/>
                <w:highlight w:val="none"/>
                <w:lang w:bidi="ar"/>
              </w:rPr>
              <w:t>合计：</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20388">
            <w:pPr>
              <w:widowControl/>
              <w:jc w:val="center"/>
              <w:textAlignment w:val="center"/>
              <w:rPr>
                <w:rFonts w:ascii="仿宋" w:hAnsi="仿宋" w:eastAsia="仿宋" w:cs="宋体"/>
                <w:b/>
                <w:bCs/>
                <w:color w:val="000000"/>
                <w:sz w:val="24"/>
                <w:highlight w:val="none"/>
              </w:rPr>
            </w:pPr>
            <w:r>
              <w:rPr>
                <w:rFonts w:hint="eastAsia" w:ascii="仿宋" w:hAnsi="仿宋" w:eastAsia="仿宋" w:cs="宋体"/>
                <w:b/>
                <w:bCs/>
                <w:color w:val="000000"/>
                <w:kern w:val="0"/>
                <w:sz w:val="24"/>
                <w:szCs w:val="24"/>
                <w:highlight w:val="none"/>
                <w:lang w:bidi="ar"/>
              </w:rPr>
              <w:t>100</w:t>
            </w:r>
          </w:p>
        </w:tc>
      </w:tr>
      <w:tr w14:paraId="0DEE7ECF">
        <w:tblPrEx>
          <w:tblCellMar>
            <w:top w:w="0" w:type="dxa"/>
            <w:left w:w="108" w:type="dxa"/>
            <w:bottom w:w="0" w:type="dxa"/>
            <w:right w:w="108" w:type="dxa"/>
          </w:tblCellMar>
        </w:tblPrEx>
        <w:trPr>
          <w:trHeight w:val="270" w:hRule="atLeast"/>
        </w:trPr>
        <w:tc>
          <w:tcPr>
            <w:tcW w:w="930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A9CE2E2">
            <w:pPr>
              <w:widowControl/>
              <w:jc w:val="center"/>
              <w:textAlignment w:val="center"/>
              <w:rPr>
                <w:rFonts w:hint="eastAsia" w:ascii="仿宋" w:hAnsi="仿宋" w:eastAsia="仿宋" w:cs="宋体"/>
                <w:b/>
                <w:bCs/>
                <w:color w:val="000000"/>
                <w:kern w:val="0"/>
                <w:sz w:val="24"/>
                <w:szCs w:val="24"/>
                <w:highlight w:val="none"/>
                <w:lang w:bidi="ar"/>
              </w:rPr>
            </w:pPr>
            <w:r>
              <w:rPr>
                <w:rFonts w:hint="eastAsia" w:ascii="仿宋" w:hAnsi="仿宋" w:eastAsia="仿宋" w:cs="宋体"/>
                <w:b/>
                <w:bCs/>
                <w:color w:val="000000"/>
                <w:kern w:val="0"/>
                <w:sz w:val="24"/>
                <w:szCs w:val="24"/>
                <w:highlight w:val="none"/>
                <w:lang w:bidi="ar"/>
              </w:rPr>
              <w:t>双方项目管理人员意见</w:t>
            </w:r>
          </w:p>
        </w:tc>
      </w:tr>
      <w:tr w14:paraId="161F6083">
        <w:tblPrEx>
          <w:tblCellMar>
            <w:top w:w="0" w:type="dxa"/>
            <w:left w:w="108" w:type="dxa"/>
            <w:bottom w:w="0" w:type="dxa"/>
            <w:right w:w="108" w:type="dxa"/>
          </w:tblCellMar>
        </w:tblPrEx>
        <w:trPr>
          <w:trHeight w:val="270" w:hRule="atLeast"/>
        </w:trPr>
        <w:tc>
          <w:tcPr>
            <w:tcW w:w="4536" w:type="dxa"/>
            <w:gridSpan w:val="3"/>
            <w:tcBorders>
              <w:top w:val="single" w:color="000000" w:sz="4" w:space="0"/>
              <w:left w:val="single" w:color="000000" w:sz="4" w:space="0"/>
              <w:bottom w:val="single" w:color="000000" w:sz="4" w:space="0"/>
              <w:right w:val="single" w:color="000000" w:sz="4" w:space="0"/>
            </w:tcBorders>
            <w:shd w:val="clear" w:color="auto" w:fill="auto"/>
          </w:tcPr>
          <w:p w14:paraId="5044B45B">
            <w:pPr>
              <w:pStyle w:val="5"/>
              <w:widowControl/>
              <w:wordWrap w:val="0"/>
              <w:spacing w:beforeAutospacing="0" w:afterAutospacing="0" w:line="480" w:lineRule="atLeast"/>
              <w:jc w:val="both"/>
              <w:rPr>
                <w:rFonts w:ascii="仿宋" w:hAnsi="仿宋" w:eastAsia="仿宋" w:cs="宋体"/>
                <w:szCs w:val="24"/>
                <w:highlight w:val="none"/>
              </w:rPr>
            </w:pPr>
            <w:r>
              <w:rPr>
                <w:rFonts w:hint="eastAsia" w:ascii="仿宋" w:hAnsi="仿宋" w:eastAsia="仿宋" w:cs="宋体"/>
                <w:szCs w:val="24"/>
                <w:highlight w:val="none"/>
              </w:rPr>
              <w:t>甲方：</w:t>
            </w:r>
          </w:p>
          <w:p w14:paraId="6CA648AA">
            <w:pPr>
              <w:pStyle w:val="5"/>
              <w:widowControl/>
              <w:wordWrap w:val="0"/>
              <w:spacing w:beforeAutospacing="0" w:afterAutospacing="0" w:line="480" w:lineRule="atLeast"/>
              <w:jc w:val="both"/>
              <w:rPr>
                <w:rFonts w:ascii="仿宋" w:hAnsi="仿宋" w:eastAsia="仿宋" w:cs="宋体"/>
                <w:szCs w:val="24"/>
                <w:highlight w:val="none"/>
              </w:rPr>
            </w:pPr>
          </w:p>
          <w:p w14:paraId="4D2994C7">
            <w:pPr>
              <w:pStyle w:val="5"/>
              <w:widowControl/>
              <w:wordWrap w:val="0"/>
              <w:spacing w:beforeAutospacing="0" w:afterAutospacing="0" w:line="480" w:lineRule="atLeast"/>
              <w:jc w:val="both"/>
              <w:rPr>
                <w:rFonts w:ascii="仿宋" w:hAnsi="仿宋" w:eastAsia="仿宋" w:cs="宋体"/>
                <w:szCs w:val="24"/>
                <w:highlight w:val="none"/>
              </w:rPr>
            </w:pPr>
          </w:p>
          <w:p w14:paraId="584406CD">
            <w:pPr>
              <w:pStyle w:val="5"/>
              <w:widowControl/>
              <w:wordWrap w:val="0"/>
              <w:spacing w:beforeAutospacing="0" w:afterAutospacing="0" w:line="480" w:lineRule="atLeast"/>
              <w:jc w:val="both"/>
              <w:rPr>
                <w:rFonts w:ascii="仿宋" w:hAnsi="仿宋" w:eastAsia="仿宋" w:cs="宋体"/>
                <w:szCs w:val="24"/>
                <w:highlight w:val="none"/>
              </w:rPr>
            </w:pPr>
          </w:p>
          <w:p w14:paraId="6680941F">
            <w:pPr>
              <w:pStyle w:val="5"/>
              <w:widowControl/>
              <w:wordWrap w:val="0"/>
              <w:spacing w:beforeAutospacing="0" w:afterAutospacing="0" w:line="480" w:lineRule="atLeast"/>
              <w:jc w:val="both"/>
              <w:rPr>
                <w:rFonts w:hint="eastAsia" w:ascii="仿宋" w:hAnsi="仿宋" w:eastAsia="仿宋" w:cs="宋体"/>
                <w:szCs w:val="24"/>
                <w:highlight w:val="none"/>
              </w:rPr>
            </w:pPr>
          </w:p>
        </w:tc>
        <w:tc>
          <w:tcPr>
            <w:tcW w:w="4769" w:type="dxa"/>
            <w:gridSpan w:val="3"/>
            <w:tcBorders>
              <w:top w:val="single" w:color="000000" w:sz="4" w:space="0"/>
              <w:left w:val="single" w:color="000000" w:sz="4" w:space="0"/>
              <w:bottom w:val="single" w:color="000000" w:sz="4" w:space="0"/>
              <w:right w:val="single" w:color="000000" w:sz="4" w:space="0"/>
            </w:tcBorders>
            <w:shd w:val="clear" w:color="auto" w:fill="auto"/>
          </w:tcPr>
          <w:p w14:paraId="6F8C8FCF">
            <w:pPr>
              <w:pStyle w:val="5"/>
              <w:widowControl/>
              <w:wordWrap w:val="0"/>
              <w:spacing w:beforeAutospacing="0" w:afterAutospacing="0" w:line="480" w:lineRule="atLeast"/>
              <w:jc w:val="both"/>
              <w:rPr>
                <w:rFonts w:ascii="仿宋" w:hAnsi="仿宋" w:eastAsia="仿宋" w:cs="宋体"/>
                <w:szCs w:val="24"/>
                <w:highlight w:val="none"/>
              </w:rPr>
            </w:pPr>
            <w:r>
              <w:rPr>
                <w:rFonts w:hint="eastAsia" w:ascii="仿宋" w:hAnsi="仿宋" w:eastAsia="仿宋" w:cs="宋体"/>
                <w:szCs w:val="24"/>
                <w:highlight w:val="none"/>
              </w:rPr>
              <w:t>乙方：</w:t>
            </w:r>
          </w:p>
        </w:tc>
      </w:tr>
    </w:tbl>
    <w:p w14:paraId="657942D4">
      <w:pPr>
        <w:pStyle w:val="5"/>
        <w:widowControl/>
        <w:spacing w:beforeAutospacing="0" w:afterAutospacing="0" w:line="480" w:lineRule="atLeast"/>
        <w:ind w:firstLine="420"/>
        <w:jc w:val="center"/>
        <w:rPr>
          <w:highlight w:val="none"/>
        </w:rPr>
      </w:pP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2FF" w:usb1="400004FF" w:usb2="00000000" w:usb3="00000000" w:csb0="2000019F" w:csb1="00000000"/>
  </w:font>
  <w:font w:name="方正小标宋简体">
    <w:altName w:val="Arial Unicode MS"/>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C9E30">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E92AAE">
                          <w:pPr>
                            <w:pStyle w:val="4"/>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0BE92AAE">
                    <w:pPr>
                      <w:pStyle w:val="4"/>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A00B3E"/>
    <w:multiLevelType w:val="multilevel"/>
    <w:tmpl w:val="13A00B3E"/>
    <w:lvl w:ilvl="0" w:tentative="0">
      <w:start w:val="1"/>
      <w:numFmt w:val="lowerLetter"/>
      <w:lvlText w:val="%1)"/>
      <w:lvlJc w:val="left"/>
      <w:pPr>
        <w:ind w:left="1060" w:hanging="420"/>
      </w:p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23AF1653"/>
    <w:multiLevelType w:val="multilevel"/>
    <w:tmpl w:val="23AF1653"/>
    <w:lvl w:ilvl="0" w:tentative="0">
      <w:start w:val="1"/>
      <w:numFmt w:val="lowerLetter"/>
      <w:lvlText w:val="%1)"/>
      <w:lvlJc w:val="left"/>
      <w:pPr>
        <w:ind w:left="1060" w:hanging="420"/>
      </w:p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36FF0D70"/>
    <w:multiLevelType w:val="multilevel"/>
    <w:tmpl w:val="36FF0D70"/>
    <w:lvl w:ilvl="0" w:tentative="0">
      <w:start w:val="1"/>
      <w:numFmt w:val="lowerLetter"/>
      <w:lvlText w:val="%1)"/>
      <w:lvlJc w:val="left"/>
      <w:pPr>
        <w:ind w:left="1060" w:hanging="420"/>
      </w:p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C024CCB"/>
    <w:multiLevelType w:val="multilevel"/>
    <w:tmpl w:val="3C024CCB"/>
    <w:lvl w:ilvl="0" w:tentative="0">
      <w:start w:val="1"/>
      <w:numFmt w:val="lowerLetter"/>
      <w:lvlText w:val="%1)"/>
      <w:lvlJc w:val="left"/>
      <w:pPr>
        <w:ind w:left="1060" w:hanging="420"/>
      </w:p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47345240"/>
    <w:multiLevelType w:val="multilevel"/>
    <w:tmpl w:val="47345240"/>
    <w:lvl w:ilvl="0" w:tentative="0">
      <w:start w:val="1"/>
      <w:numFmt w:val="lowerLetter"/>
      <w:lvlText w:val="%1)"/>
      <w:lvlJc w:val="left"/>
      <w:pPr>
        <w:ind w:left="1060" w:hanging="420"/>
      </w:p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5F383CF1"/>
    <w:multiLevelType w:val="multilevel"/>
    <w:tmpl w:val="5F383CF1"/>
    <w:lvl w:ilvl="0" w:tentative="0">
      <w:start w:val="1"/>
      <w:numFmt w:val="lowerLetter"/>
      <w:lvlText w:val="%1)"/>
      <w:lvlJc w:val="left"/>
      <w:pPr>
        <w:ind w:left="1060" w:hanging="420"/>
      </w:p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6">
    <w:nsid w:val="722B29F7"/>
    <w:multiLevelType w:val="multilevel"/>
    <w:tmpl w:val="722B29F7"/>
    <w:lvl w:ilvl="0" w:tentative="0">
      <w:start w:val="1"/>
      <w:numFmt w:val="lowerLetter"/>
      <w:lvlText w:val="%1)"/>
      <w:lvlJc w:val="left"/>
      <w:pPr>
        <w:ind w:left="1060" w:hanging="420"/>
      </w:p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5"/>
  </w:num>
  <w:num w:numId="3">
    <w:abstractNumId w:val="3"/>
  </w:num>
  <w:num w:numId="4">
    <w:abstractNumId w:val="4"/>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0BA"/>
    <w:rsid w:val="00312E17"/>
    <w:rsid w:val="003B42BA"/>
    <w:rsid w:val="00595AD3"/>
    <w:rsid w:val="006331ED"/>
    <w:rsid w:val="006E758F"/>
    <w:rsid w:val="007407B9"/>
    <w:rsid w:val="00743BF9"/>
    <w:rsid w:val="00913C66"/>
    <w:rsid w:val="009268B1"/>
    <w:rsid w:val="009869DD"/>
    <w:rsid w:val="00A500BA"/>
    <w:rsid w:val="00AD7881"/>
    <w:rsid w:val="00B32EF1"/>
    <w:rsid w:val="00BE3E9F"/>
    <w:rsid w:val="00D9750C"/>
    <w:rsid w:val="015C2B0C"/>
    <w:rsid w:val="04D812E1"/>
    <w:rsid w:val="050C1915"/>
    <w:rsid w:val="07293490"/>
    <w:rsid w:val="07BE383B"/>
    <w:rsid w:val="0A34546E"/>
    <w:rsid w:val="0D3C1E6A"/>
    <w:rsid w:val="0EBF5527"/>
    <w:rsid w:val="0F5255A7"/>
    <w:rsid w:val="17B2302E"/>
    <w:rsid w:val="1E3971E9"/>
    <w:rsid w:val="206153CD"/>
    <w:rsid w:val="29313359"/>
    <w:rsid w:val="34690BA4"/>
    <w:rsid w:val="3A4B3142"/>
    <w:rsid w:val="3BFE4460"/>
    <w:rsid w:val="3E5D477D"/>
    <w:rsid w:val="422F4F3A"/>
    <w:rsid w:val="45845B9E"/>
    <w:rsid w:val="46EC35B2"/>
    <w:rsid w:val="478E5BF3"/>
    <w:rsid w:val="518A6A4A"/>
    <w:rsid w:val="51CE1396"/>
    <w:rsid w:val="52F75E6C"/>
    <w:rsid w:val="570B618E"/>
    <w:rsid w:val="58ED275E"/>
    <w:rsid w:val="5AC54488"/>
    <w:rsid w:val="5C600856"/>
    <w:rsid w:val="5CA166D1"/>
    <w:rsid w:val="5CB7354D"/>
    <w:rsid w:val="5DBC6BF1"/>
    <w:rsid w:val="602D4083"/>
    <w:rsid w:val="65C14135"/>
    <w:rsid w:val="6BF80A34"/>
    <w:rsid w:val="6DB561A4"/>
    <w:rsid w:val="712D267F"/>
    <w:rsid w:val="72B54A0A"/>
    <w:rsid w:val="75C86E1A"/>
    <w:rsid w:val="7AA446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spacing w:after="120"/>
      <w:ind w:left="420" w:leftChars="200"/>
    </w:pPr>
    <w:rPr>
      <w:rFonts w:hint="eastAsia" w:ascii="Times New Roman" w:hAnsi="Times New Roman" w:eastAsia="Times New Roman"/>
      <w:kern w:val="0"/>
      <w:sz w:val="20"/>
      <w:szCs w:val="24"/>
    </w:rPr>
  </w:style>
  <w:style w:type="paragraph" w:styleId="3">
    <w:name w:val="Balloon Text"/>
    <w:basedOn w:val="1"/>
    <w:link w:val="10"/>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Autospacing="1" w:afterAutospacing="1"/>
      <w:jc w:val="left"/>
    </w:pPr>
    <w:rPr>
      <w:kern w:val="0"/>
      <w:sz w:val="24"/>
    </w:rPr>
  </w:style>
  <w:style w:type="paragraph" w:styleId="6">
    <w:name w:val="Title"/>
    <w:basedOn w:val="1"/>
    <w:next w:val="1"/>
    <w:qFormat/>
    <w:uiPriority w:val="0"/>
    <w:pPr>
      <w:spacing w:before="240" w:after="60"/>
      <w:jc w:val="center"/>
      <w:outlineLvl w:val="0"/>
    </w:pPr>
    <w:rPr>
      <w:rFonts w:ascii="Cambria" w:hAnsi="Cambria"/>
      <w:b/>
      <w:bCs/>
      <w:sz w:val="32"/>
      <w:szCs w:val="32"/>
    </w:rPr>
  </w:style>
  <w:style w:type="paragraph" w:styleId="7">
    <w:name w:val="Body Text First Indent 2"/>
    <w:basedOn w:val="2"/>
    <w:unhideWhenUsed/>
    <w:qFormat/>
    <w:uiPriority w:val="99"/>
    <w:pPr>
      <w:spacing w:line="360" w:lineRule="auto"/>
      <w:ind w:firstLine="420" w:firstLineChars="200"/>
    </w:pPr>
    <w:rPr>
      <w:rFonts w:hint="default" w:ascii="Calibri" w:hAnsi="Calibri" w:eastAsia="宋体"/>
      <w:kern w:val="2"/>
      <w:sz w:val="24"/>
    </w:rPr>
  </w:style>
  <w:style w:type="character" w:customStyle="1" w:styleId="10">
    <w:name w:val="批注框文本 字符"/>
    <w:basedOn w:val="9"/>
    <w:link w:val="3"/>
    <w:qFormat/>
    <w:uiPriority w:val="0"/>
    <w:rPr>
      <w:rFonts w:ascii="等线" w:hAnsi="等线" w:eastAsia="等线" w:cs="Times New Roman"/>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6231</Words>
  <Characters>6361</Characters>
  <Lines>55</Lines>
  <Paragraphs>15</Paragraphs>
  <TotalTime>2</TotalTime>
  <ScaleCrop>false</ScaleCrop>
  <LinksUpToDate>false</LinksUpToDate>
  <CharactersWithSpaces>6393</CharactersWithSpaces>
  <Application>WPS Office_12.8.2.19830_F1E327BC-269C-435d-A152-05C5408002CA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2025-06-06T01:27:00Z</dcterms:created>
  <dc:creator>Administrator</dc:creator>
  <cp:lastModifiedBy>user</cp:lastModifiedBy>
  <cp:lastPrinted>2025-11-25T08:14:00Z</cp:lastPrinted>
  <dcterms:modified xsi:type="dcterms:W3CDTF">2025-11-27T07:36:15Z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2052-12.8.2.19830</vt:lpwstr>
  </property>
  <property fmtid="{D5CDD505-2E9C-101B-9397-08002B2CF9AE}" pid="3" name="ICV">
    <vt:lpwstr>A01B119E52844D518D71DCB8A69320D3_13</vt:lpwstr>
  </property>
  <property fmtid="{D5CDD505-2E9C-101B-9397-08002B2CF9AE}" pid="4" name="KSOTemplateDocerSaveRecord">
    <vt:lpwstr>eyJoZGlkIjoiMzEwNTM5NzYwMDRjMzkwZTVkZjY2ODkwMGIxNGU0OTUiLCJ1c2VySWQiOiI3MzQwNDQ1MzAifQ==</vt:lpwstr>
  </property>
</Properties>
</file>