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EA24D">
      <w:pPr>
        <w:widowControl/>
        <w:spacing w:before="100" w:beforeAutospacing="1" w:after="100" w:afterAutospacing="1"/>
        <w:jc w:val="left"/>
        <w:outlineLvl w:val="2"/>
        <w:rPr>
          <w:rFonts w:hint="eastAsia" w:ascii="宋体" w:hAnsi="宋体" w:eastAsia="宋体" w:cs="宋体"/>
          <w:b/>
          <w:bCs/>
          <w:kern w:val="0"/>
          <w:sz w:val="27"/>
          <w:szCs w:val="27"/>
        </w:rPr>
      </w:pPr>
      <w:r>
        <w:rPr>
          <w:rFonts w:hint="eastAsia" w:ascii="宋体" w:hAnsi="宋体" w:eastAsia="宋体" w:cs="宋体"/>
          <w:b/>
          <w:bCs/>
          <w:kern w:val="0"/>
          <w:sz w:val="27"/>
          <w:szCs w:val="27"/>
        </w:rPr>
        <w:t>附件</w:t>
      </w:r>
    </w:p>
    <w:p w14:paraId="4DEB66D4">
      <w:pPr>
        <w:widowControl/>
        <w:spacing w:before="100" w:beforeAutospacing="1" w:after="100" w:afterAutospacing="1"/>
        <w:jc w:val="center"/>
        <w:outlineLvl w:val="2"/>
        <w:rPr>
          <w:rFonts w:hint="eastAsia" w:ascii="宋体" w:hAnsi="宋体" w:eastAsia="宋体" w:cs="宋体"/>
          <w:kern w:val="0"/>
          <w:sz w:val="24"/>
          <w:szCs w:val="24"/>
        </w:rPr>
      </w:pPr>
      <w:r>
        <w:rPr>
          <w:rFonts w:hint="eastAsia" w:ascii="宋体" w:hAnsi="宋体" w:eastAsia="宋体" w:cs="宋体"/>
          <w:b/>
          <w:bCs/>
          <w:kern w:val="0"/>
          <w:sz w:val="32"/>
          <w:szCs w:val="32"/>
          <w:lang w:val="en-US" w:eastAsia="zh-CN"/>
        </w:rPr>
        <w:t>2025年度</w:t>
      </w:r>
      <w:r>
        <w:rPr>
          <w:rFonts w:hint="eastAsia" w:ascii="宋体" w:hAnsi="宋体" w:eastAsia="宋体" w:cs="宋体"/>
          <w:b/>
          <w:bCs/>
          <w:kern w:val="0"/>
          <w:sz w:val="32"/>
          <w:szCs w:val="32"/>
        </w:rPr>
        <w:t>福建省水利数据安全服务</w:t>
      </w:r>
      <w:r>
        <w:rPr>
          <w:rFonts w:hint="eastAsia" w:ascii="宋体" w:hAnsi="宋体" w:eastAsia="宋体" w:cs="宋体"/>
          <w:b/>
          <w:bCs/>
          <w:kern w:val="0"/>
          <w:sz w:val="32"/>
          <w:szCs w:val="32"/>
          <w:lang w:val="en-US" w:eastAsia="zh-CN"/>
        </w:rPr>
        <w:t>项目</w:t>
      </w:r>
      <w:r>
        <w:rPr>
          <w:rFonts w:ascii="宋体" w:hAnsi="宋体" w:eastAsia="宋体" w:cs="宋体"/>
          <w:b/>
          <w:bCs/>
          <w:kern w:val="0"/>
          <w:sz w:val="32"/>
          <w:szCs w:val="32"/>
        </w:rPr>
        <w:t>内容及要求</w:t>
      </w:r>
    </w:p>
    <w:p w14:paraId="6EDD12B4">
      <w:pPr>
        <w:widowControl/>
        <w:spacing w:before="75" w:after="75"/>
        <w:jc w:val="left"/>
        <w:rPr>
          <w:rFonts w:hint="eastAsia" w:ascii="宋体" w:hAnsi="宋体" w:eastAsia="宋体" w:cs="宋体"/>
          <w:kern w:val="0"/>
          <w:sz w:val="24"/>
          <w:szCs w:val="24"/>
        </w:rPr>
      </w:pPr>
      <w:r>
        <w:rPr>
          <w:rFonts w:ascii="宋体" w:hAnsi="宋体" w:eastAsia="宋体" w:cs="宋体"/>
          <w:kern w:val="0"/>
          <w:sz w:val="24"/>
          <w:szCs w:val="24"/>
        </w:rPr>
        <w:t>一、项目概况</w:t>
      </w:r>
    </w:p>
    <w:p w14:paraId="2C22FB74">
      <w:pPr>
        <w:widowControl/>
        <w:spacing w:before="100" w:beforeAutospacing="1" w:after="100" w:afterAutospacing="1" w:line="495" w:lineRule="atLeas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为推进水利数据资产梳理、加强水利行业重要数据安全防护、提升数据安全保障能力，开展</w:t>
      </w:r>
      <w:r>
        <w:rPr>
          <w:rFonts w:hint="eastAsia" w:ascii="宋体" w:hAnsi="宋体" w:eastAsia="宋体" w:cs="宋体"/>
          <w:kern w:val="0"/>
          <w:sz w:val="24"/>
          <w:szCs w:val="24"/>
          <w:lang w:val="en-US" w:eastAsia="zh-CN"/>
        </w:rPr>
        <w:t>2025年度</w:t>
      </w:r>
      <w:r>
        <w:rPr>
          <w:rFonts w:hint="eastAsia" w:ascii="宋体" w:hAnsi="宋体" w:eastAsia="宋体" w:cs="宋体"/>
          <w:kern w:val="0"/>
          <w:sz w:val="24"/>
          <w:szCs w:val="24"/>
        </w:rPr>
        <w:t>福建省水利数据安全服务工作。</w:t>
      </w:r>
    </w:p>
    <w:p w14:paraId="798290D8">
      <w:pPr>
        <w:rPr>
          <w:rFonts w:hint="eastAsia" w:ascii="宋体" w:hAnsi="宋体" w:eastAsia="宋体" w:cs="宋体"/>
          <w:b/>
          <w:bCs/>
          <w:kern w:val="0"/>
          <w:sz w:val="24"/>
          <w:szCs w:val="24"/>
        </w:rPr>
      </w:pPr>
      <w:r>
        <w:rPr>
          <w:rFonts w:ascii="宋体" w:hAnsi="宋体" w:eastAsia="宋体" w:cs="宋体"/>
          <w:kern w:val="0"/>
          <w:sz w:val="24"/>
          <w:szCs w:val="24"/>
        </w:rPr>
        <w:t>二、</w:t>
      </w:r>
      <w:r>
        <w:rPr>
          <w:rFonts w:hint="eastAsia" w:ascii="宋体" w:hAnsi="宋体" w:eastAsia="宋体" w:cs="宋体"/>
          <w:kern w:val="0"/>
          <w:sz w:val="24"/>
          <w:szCs w:val="24"/>
        </w:rPr>
        <w:t>项目服务内容及</w:t>
      </w:r>
      <w:r>
        <w:rPr>
          <w:rFonts w:ascii="宋体" w:hAnsi="宋体" w:eastAsia="宋体" w:cs="宋体"/>
          <w:kern w:val="0"/>
          <w:sz w:val="24"/>
          <w:szCs w:val="24"/>
        </w:rPr>
        <w:t>要求</w:t>
      </w:r>
    </w:p>
    <w:p w14:paraId="486A8F7F">
      <w:pPr>
        <w:pStyle w:val="2"/>
        <w:rPr>
          <w:rFonts w:hint="eastAsia" w:ascii="宋体" w:hAnsi="宋体" w:eastAsia="宋体" w:cs="宋体"/>
          <w:b w:val="0"/>
          <w:bCs w:val="0"/>
          <w:kern w:val="0"/>
          <w:sz w:val="24"/>
          <w:szCs w:val="24"/>
        </w:rPr>
      </w:pPr>
      <w:r>
        <w:rPr>
          <w:rFonts w:hint="eastAsia" w:ascii="宋体" w:hAnsi="宋体" w:eastAsia="宋体" w:cs="宋体"/>
          <w:kern w:val="0"/>
          <w:sz w:val="24"/>
          <w:szCs w:val="24"/>
        </w:rPr>
        <w:t>（一）安全服务范围要求</w:t>
      </w:r>
    </w:p>
    <w:p w14:paraId="5A4A4EF1">
      <w:pPr>
        <w:widowControl/>
        <w:spacing w:before="100" w:beforeAutospacing="1" w:after="100" w:afterAutospacing="1" w:line="495" w:lineRule="atLeas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本次数据安全服务的</w:t>
      </w:r>
      <w:r>
        <w:rPr>
          <w:rFonts w:hint="eastAsia" w:ascii="宋体" w:hAnsi="宋体" w:eastAsia="宋体" w:cs="宋体"/>
          <w:kern w:val="0"/>
          <w:sz w:val="24"/>
          <w:szCs w:val="24"/>
          <w:lang w:val="en-US" w:eastAsia="zh-CN"/>
        </w:rPr>
        <w:t>范围</w:t>
      </w:r>
      <w:r>
        <w:rPr>
          <w:rFonts w:hint="eastAsia" w:ascii="宋体" w:hAnsi="宋体" w:eastAsia="宋体" w:cs="宋体"/>
          <w:kern w:val="0"/>
          <w:sz w:val="24"/>
          <w:szCs w:val="24"/>
        </w:rPr>
        <w:t>是福建省水利厅</w:t>
      </w:r>
      <w:r>
        <w:rPr>
          <w:rFonts w:hint="eastAsia" w:ascii="宋体" w:hAnsi="宋体" w:eastAsia="宋体" w:cs="宋体"/>
          <w:kern w:val="0"/>
          <w:sz w:val="24"/>
          <w:szCs w:val="24"/>
          <w:lang w:val="en-US" w:eastAsia="zh-CN"/>
        </w:rPr>
        <w:t>本级及厅属单位相关</w:t>
      </w:r>
      <w:r>
        <w:rPr>
          <w:rFonts w:hint="eastAsia" w:ascii="宋体" w:hAnsi="宋体" w:eastAsia="宋体" w:cs="宋体"/>
          <w:kern w:val="0"/>
          <w:sz w:val="24"/>
          <w:szCs w:val="24"/>
        </w:rPr>
        <w:t>业务系统，业务系统部署在省政务云的政务外网上，业务系统数量不超过20个。</w:t>
      </w:r>
    </w:p>
    <w:p w14:paraId="483D298D">
      <w:pPr>
        <w:pStyle w:val="2"/>
        <w:rPr>
          <w:rFonts w:hint="eastAsia" w:ascii="宋体" w:hAnsi="宋体" w:eastAsia="宋体" w:cs="宋体"/>
          <w:kern w:val="0"/>
          <w:sz w:val="24"/>
          <w:szCs w:val="24"/>
        </w:rPr>
      </w:pPr>
      <w:r>
        <w:rPr>
          <w:rFonts w:hint="eastAsia" w:ascii="宋体" w:hAnsi="宋体" w:eastAsia="宋体" w:cs="宋体"/>
          <w:kern w:val="0"/>
          <w:sz w:val="24"/>
          <w:szCs w:val="24"/>
        </w:rPr>
        <w:t>（二）安全服务时间要求</w:t>
      </w:r>
    </w:p>
    <w:p w14:paraId="15C00833">
      <w:pPr>
        <w:widowControl/>
        <w:spacing w:line="360" w:lineRule="auto"/>
        <w:ind w:firstLine="480"/>
        <w:rPr>
          <w:rFonts w:hint="eastAsia" w:ascii="宋体" w:hAnsi="宋体" w:eastAsia="宋体" w:cs="仿宋_GB2312"/>
          <w:b/>
          <w:bCs/>
          <w:sz w:val="24"/>
          <w:szCs w:val="24"/>
          <w:shd w:val="clear" w:color="auto" w:fill="FFFFFF"/>
        </w:rPr>
      </w:pPr>
      <w:r>
        <w:rPr>
          <w:rFonts w:hint="eastAsia" w:ascii="宋体" w:hAnsi="宋体" w:eastAsia="宋体" w:cs="仿宋_GB2312"/>
          <w:b/>
          <w:bCs/>
          <w:sz w:val="24"/>
          <w:szCs w:val="24"/>
          <w:shd w:val="clear" w:color="auto" w:fill="FFFFFF"/>
        </w:rPr>
        <w:t>自合同签订起一年。</w:t>
      </w:r>
    </w:p>
    <w:p w14:paraId="027E558F">
      <w:pPr>
        <w:pStyle w:val="2"/>
        <w:numPr>
          <w:ilvl w:val="0"/>
          <w:numId w:val="1"/>
        </w:numPr>
        <w:rPr>
          <w:rFonts w:hint="eastAsia" w:ascii="宋体" w:hAnsi="宋体" w:eastAsia="宋体" w:cs="宋体"/>
          <w:kern w:val="0"/>
          <w:sz w:val="24"/>
          <w:szCs w:val="24"/>
        </w:rPr>
      </w:pPr>
      <w:r>
        <w:rPr>
          <w:rFonts w:hint="eastAsia" w:ascii="宋体" w:hAnsi="宋体" w:eastAsia="宋体" w:cs="宋体"/>
          <w:kern w:val="0"/>
          <w:sz w:val="24"/>
          <w:szCs w:val="24"/>
        </w:rPr>
        <w:t>安全服务内容概述</w:t>
      </w:r>
    </w:p>
    <w:tbl>
      <w:tblPr>
        <w:tblStyle w:val="18"/>
        <w:tblW w:w="4962" w:type="pct"/>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6959"/>
        <w:gridCol w:w="914"/>
      </w:tblGrid>
      <w:tr w14:paraId="1101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45" w:type="pct"/>
            <w:noWrap w:val="0"/>
            <w:vAlign w:val="center"/>
          </w:tcPr>
          <w:p w14:paraId="403FFBC4">
            <w:pPr>
              <w:widowControl/>
              <w:jc w:val="center"/>
              <w:rPr>
                <w:rFonts w:ascii="黑体" w:hAnsi="黑体" w:eastAsia="黑体" w:cs="仿宋_GB2312"/>
                <w:b/>
                <w:bCs/>
                <w:kern w:val="0"/>
                <w:sz w:val="21"/>
                <w:szCs w:val="21"/>
              </w:rPr>
            </w:pPr>
            <w:r>
              <w:rPr>
                <w:rFonts w:hint="eastAsia" w:ascii="黑体" w:hAnsi="黑体" w:eastAsia="黑体" w:cs="仿宋_GB2312"/>
                <w:b/>
                <w:bCs/>
                <w:kern w:val="0"/>
                <w:sz w:val="21"/>
                <w:szCs w:val="21"/>
              </w:rPr>
              <w:t>序号</w:t>
            </w:r>
          </w:p>
        </w:tc>
        <w:tc>
          <w:tcPr>
            <w:tcW w:w="4113" w:type="pct"/>
            <w:noWrap w:val="0"/>
            <w:vAlign w:val="center"/>
          </w:tcPr>
          <w:p w14:paraId="5ECDD976">
            <w:pPr>
              <w:widowControl/>
              <w:jc w:val="center"/>
              <w:rPr>
                <w:rFonts w:ascii="黑体" w:hAnsi="黑体" w:eastAsia="黑体" w:cs="仿宋_GB2312"/>
                <w:b/>
                <w:bCs/>
                <w:kern w:val="0"/>
                <w:sz w:val="21"/>
                <w:szCs w:val="21"/>
              </w:rPr>
            </w:pPr>
            <w:r>
              <w:rPr>
                <w:rFonts w:hint="eastAsia" w:ascii="黑体" w:hAnsi="黑体" w:eastAsia="黑体" w:cs="仿宋_GB2312"/>
                <w:b/>
                <w:bCs/>
                <w:kern w:val="0"/>
                <w:sz w:val="21"/>
                <w:szCs w:val="21"/>
              </w:rPr>
              <w:t>工作项目</w:t>
            </w:r>
          </w:p>
        </w:tc>
        <w:tc>
          <w:tcPr>
            <w:tcW w:w="540" w:type="pct"/>
            <w:noWrap w:val="0"/>
            <w:vAlign w:val="center"/>
          </w:tcPr>
          <w:p w14:paraId="7460CD6F">
            <w:pPr>
              <w:widowControl/>
              <w:jc w:val="center"/>
              <w:rPr>
                <w:rFonts w:ascii="黑体" w:hAnsi="黑体" w:eastAsia="黑体" w:cs="仿宋_GB2312"/>
                <w:b/>
                <w:bCs/>
                <w:kern w:val="0"/>
                <w:sz w:val="21"/>
                <w:szCs w:val="21"/>
              </w:rPr>
            </w:pPr>
            <w:r>
              <w:rPr>
                <w:rFonts w:hint="eastAsia" w:ascii="黑体" w:hAnsi="黑体" w:eastAsia="黑体" w:cs="仿宋_GB2312"/>
                <w:b/>
                <w:bCs/>
                <w:kern w:val="0"/>
                <w:sz w:val="21"/>
                <w:szCs w:val="21"/>
              </w:rPr>
              <w:t>数量</w:t>
            </w:r>
          </w:p>
        </w:tc>
      </w:tr>
      <w:tr w14:paraId="58EC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noWrap w:val="0"/>
            <w:vAlign w:val="center"/>
          </w:tcPr>
          <w:p w14:paraId="0478CFA6">
            <w:pPr>
              <w:widowControl/>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1</w:t>
            </w:r>
          </w:p>
        </w:tc>
        <w:tc>
          <w:tcPr>
            <w:tcW w:w="4113" w:type="pct"/>
            <w:noWrap w:val="0"/>
            <w:vAlign w:val="center"/>
          </w:tcPr>
          <w:p w14:paraId="085CC7F8">
            <w:pPr>
              <w:rPr>
                <w:rFonts w:hint="eastAsia" w:ascii="仿宋" w:hAnsi="仿宋" w:eastAsia="仿宋" w:cs="宋体"/>
                <w:color w:val="000000"/>
                <w:kern w:val="0"/>
                <w:sz w:val="21"/>
                <w:szCs w:val="21"/>
              </w:rPr>
            </w:pPr>
            <w:r>
              <w:rPr>
                <w:rFonts w:hint="eastAsia" w:ascii="仿宋" w:hAnsi="仿宋" w:eastAsia="仿宋" w:cs="宋体"/>
                <w:b/>
                <w:color w:val="000000"/>
                <w:kern w:val="0"/>
                <w:sz w:val="21"/>
                <w:szCs w:val="21"/>
              </w:rPr>
              <w:t>数据资产梳理服务：</w:t>
            </w:r>
            <w:r>
              <w:rPr>
                <w:rFonts w:hint="eastAsia" w:ascii="仿宋" w:hAnsi="仿宋" w:eastAsia="仿宋" w:cs="宋体"/>
                <w:color w:val="000000"/>
                <w:kern w:val="0"/>
                <w:sz w:val="21"/>
                <w:szCs w:val="21"/>
                <w:lang w:val="en-US" w:eastAsia="zh-CN"/>
              </w:rPr>
              <w:t>持续开</w:t>
            </w:r>
            <w:r>
              <w:rPr>
                <w:rFonts w:hint="eastAsia" w:ascii="仿宋" w:hAnsi="仿宋" w:eastAsia="仿宋" w:cs="宋体"/>
                <w:color w:val="000000"/>
                <w:kern w:val="0"/>
                <w:sz w:val="21"/>
                <w:szCs w:val="21"/>
              </w:rPr>
              <w:t>展业务数据资产扫描、业务数据资产梳理、业务数据资产血缘关系分析、敏感数据梳理等分析服务，通过对系统发现、识别、梳理，构建完整的数据资产底账，</w:t>
            </w:r>
            <w:r>
              <w:rPr>
                <w:rFonts w:hint="eastAsia" w:ascii="仿宋" w:hAnsi="仿宋" w:eastAsia="仿宋" w:cs="宋体"/>
                <w:color w:val="000000"/>
                <w:kern w:val="0"/>
                <w:sz w:val="21"/>
                <w:szCs w:val="21"/>
                <w:lang w:val="en-US" w:eastAsia="zh-CN"/>
              </w:rPr>
              <w:t>通过</w:t>
            </w:r>
            <w:r>
              <w:rPr>
                <w:rFonts w:hint="eastAsia" w:ascii="仿宋" w:hAnsi="仿宋" w:eastAsia="仿宋" w:cs="宋体"/>
                <w:color w:val="000000"/>
                <w:kern w:val="0"/>
                <w:sz w:val="21"/>
                <w:szCs w:val="21"/>
              </w:rPr>
              <w:t>自动识别</w:t>
            </w:r>
            <w:r>
              <w:rPr>
                <w:rFonts w:hint="eastAsia" w:ascii="仿宋" w:hAnsi="仿宋" w:eastAsia="仿宋" w:cs="宋体"/>
                <w:color w:val="000000"/>
                <w:kern w:val="0"/>
                <w:sz w:val="21"/>
                <w:szCs w:val="21"/>
                <w:lang w:val="en-US" w:eastAsia="zh-CN"/>
              </w:rPr>
              <w:t>及人工手段</w:t>
            </w:r>
            <w:r>
              <w:rPr>
                <w:rFonts w:hint="eastAsia" w:ascii="仿宋" w:hAnsi="仿宋" w:eastAsia="仿宋" w:cs="宋体"/>
                <w:color w:val="000000"/>
                <w:kern w:val="0"/>
                <w:sz w:val="21"/>
                <w:szCs w:val="21"/>
              </w:rPr>
              <w:t>敏感数据在系统内的分布，形成敏感数据清单。开展API接口梳理工作，形成API资产清单，根据业务类型、脆弱性、数据流转情况对API接口进行分类管理。</w:t>
            </w:r>
          </w:p>
        </w:tc>
        <w:tc>
          <w:tcPr>
            <w:tcW w:w="540" w:type="pct"/>
            <w:noWrap w:val="0"/>
            <w:vAlign w:val="center"/>
          </w:tcPr>
          <w:p w14:paraId="501D7F22">
            <w:pPr>
              <w:widowControl/>
              <w:jc w:val="center"/>
              <w:rPr>
                <w:rFonts w:hint="eastAsia" w:ascii="仿宋_GB2312" w:hAnsi="仿宋_GB2312" w:eastAsia="仿宋_GB2312" w:cs="仿宋_GB2312"/>
                <w:kern w:val="0"/>
                <w:sz w:val="21"/>
                <w:szCs w:val="21"/>
              </w:rPr>
            </w:pPr>
            <w:r>
              <w:rPr>
                <w:rFonts w:ascii="仿宋_GB2312" w:hAnsi="仿宋_GB2312" w:eastAsia="仿宋_GB2312" w:cs="仿宋_GB2312"/>
                <w:kern w:val="0"/>
                <w:sz w:val="21"/>
                <w:szCs w:val="21"/>
              </w:rPr>
              <w:t>1</w:t>
            </w:r>
            <w:r>
              <w:rPr>
                <w:rFonts w:hint="eastAsia" w:ascii="仿宋_GB2312" w:hAnsi="仿宋_GB2312" w:eastAsia="仿宋_GB2312" w:cs="仿宋_GB2312"/>
                <w:kern w:val="0"/>
                <w:sz w:val="21"/>
                <w:szCs w:val="21"/>
              </w:rPr>
              <w:t>项</w:t>
            </w:r>
          </w:p>
        </w:tc>
      </w:tr>
      <w:tr w14:paraId="093A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noWrap w:val="0"/>
            <w:vAlign w:val="center"/>
          </w:tcPr>
          <w:p w14:paraId="2F1ABA3B">
            <w:pPr>
              <w:widowControl/>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2</w:t>
            </w:r>
          </w:p>
        </w:tc>
        <w:tc>
          <w:tcPr>
            <w:tcW w:w="4113" w:type="pct"/>
            <w:noWrap w:val="0"/>
            <w:vAlign w:val="center"/>
          </w:tcPr>
          <w:p w14:paraId="7F4DA1A8">
            <w:pPr>
              <w:rPr>
                <w:rFonts w:hint="eastAsia" w:ascii="仿宋" w:hAnsi="仿宋" w:eastAsia="仿宋" w:cs="宋体"/>
                <w:color w:val="000000"/>
                <w:kern w:val="0"/>
                <w:sz w:val="21"/>
                <w:szCs w:val="21"/>
              </w:rPr>
            </w:pPr>
            <w:r>
              <w:rPr>
                <w:rFonts w:hint="eastAsia" w:ascii="仿宋" w:hAnsi="仿宋" w:eastAsia="仿宋" w:cs="宋体"/>
                <w:b/>
                <w:color w:val="000000"/>
                <w:kern w:val="0"/>
                <w:sz w:val="21"/>
                <w:szCs w:val="21"/>
                <w:lang w:val="en-US" w:eastAsia="zh-CN"/>
              </w:rPr>
              <w:t>数据安全</w:t>
            </w:r>
            <w:r>
              <w:rPr>
                <w:rFonts w:hint="eastAsia" w:ascii="仿宋" w:hAnsi="仿宋" w:eastAsia="仿宋" w:cs="宋体"/>
                <w:b/>
                <w:color w:val="000000"/>
                <w:kern w:val="0"/>
                <w:sz w:val="21"/>
                <w:szCs w:val="21"/>
              </w:rPr>
              <w:t>风险评估服务：</w:t>
            </w:r>
            <w:r>
              <w:rPr>
                <w:rFonts w:hint="eastAsia" w:ascii="仿宋" w:hAnsi="仿宋" w:eastAsia="仿宋" w:cs="宋体"/>
                <w:b w:val="0"/>
                <w:color w:val="000000"/>
                <w:kern w:val="0"/>
                <w:sz w:val="21"/>
                <w:szCs w:val="21"/>
                <w:lang w:val="en-US" w:eastAsia="zh-CN"/>
              </w:rPr>
              <w:t>结合网信等部门要求，</w:t>
            </w:r>
            <w:r>
              <w:rPr>
                <w:rFonts w:hint="eastAsia" w:ascii="仿宋" w:hAnsi="仿宋" w:eastAsia="仿宋" w:cs="宋体"/>
                <w:color w:val="000000"/>
                <w:kern w:val="0"/>
                <w:sz w:val="21"/>
                <w:szCs w:val="21"/>
                <w:lang w:val="en-US" w:eastAsia="zh-CN"/>
              </w:rPr>
              <w:t>开展至少一次全行业</w:t>
            </w:r>
            <w:r>
              <w:rPr>
                <w:rFonts w:hint="eastAsia" w:ascii="仿宋" w:hAnsi="仿宋" w:eastAsia="仿宋" w:cs="宋体"/>
                <w:color w:val="000000"/>
                <w:kern w:val="0"/>
                <w:sz w:val="21"/>
                <w:szCs w:val="21"/>
              </w:rPr>
              <w:t>数据安全风险评估工作，工作内容包括</w:t>
            </w:r>
            <w:r>
              <w:rPr>
                <w:rFonts w:hint="eastAsia" w:ascii="仿宋" w:hAnsi="仿宋" w:eastAsia="仿宋" w:cs="宋体"/>
                <w:color w:val="000000"/>
                <w:kern w:val="0"/>
                <w:sz w:val="21"/>
                <w:szCs w:val="21"/>
                <w:lang w:val="en-US" w:eastAsia="zh-CN"/>
              </w:rPr>
              <w:t>但不限于</w:t>
            </w:r>
            <w:r>
              <w:rPr>
                <w:rFonts w:hint="eastAsia" w:ascii="仿宋" w:hAnsi="仿宋" w:eastAsia="仿宋" w:cs="宋体"/>
                <w:color w:val="000000"/>
                <w:kern w:val="0"/>
                <w:sz w:val="21"/>
                <w:szCs w:val="21"/>
              </w:rPr>
              <w:t>：</w:t>
            </w:r>
          </w:p>
          <w:p w14:paraId="7ABBD913">
            <w:pPr>
              <w:rPr>
                <w:rFonts w:hint="eastAsia" w:ascii="仿宋" w:hAnsi="仿宋" w:eastAsia="仿宋" w:cs="宋体"/>
                <w:color w:val="000000"/>
                <w:kern w:val="0"/>
                <w:sz w:val="21"/>
                <w:szCs w:val="21"/>
                <w:lang w:eastAsia="zh-CN"/>
              </w:rPr>
            </w:pPr>
            <w:r>
              <w:rPr>
                <w:rFonts w:hint="eastAsia" w:ascii="仿宋" w:hAnsi="仿宋" w:eastAsia="仿宋" w:cs="宋体"/>
                <w:color w:val="000000"/>
                <w:kern w:val="0"/>
                <w:sz w:val="21"/>
                <w:szCs w:val="21"/>
              </w:rPr>
              <w:t>1、数据安全信息调研</w:t>
            </w:r>
            <w:r>
              <w:rPr>
                <w:rFonts w:hint="eastAsia" w:ascii="仿宋" w:hAnsi="仿宋" w:eastAsia="仿宋" w:cs="宋体"/>
                <w:color w:val="000000"/>
                <w:kern w:val="0"/>
                <w:sz w:val="21"/>
                <w:szCs w:val="21"/>
                <w:lang w:eastAsia="zh-CN"/>
              </w:rPr>
              <w:t>：</w:t>
            </w:r>
            <w:r>
              <w:rPr>
                <w:rFonts w:hint="eastAsia" w:ascii="仿宋" w:hAnsi="仿宋" w:eastAsia="仿宋" w:cs="宋体"/>
                <w:color w:val="000000"/>
                <w:kern w:val="0"/>
                <w:sz w:val="21"/>
                <w:szCs w:val="21"/>
              </w:rPr>
              <w:t>1）数据处理者调研</w:t>
            </w:r>
            <w:r>
              <w:rPr>
                <w:rFonts w:hint="eastAsia" w:ascii="仿宋" w:hAnsi="仿宋" w:eastAsia="仿宋" w:cs="宋体"/>
                <w:color w:val="000000"/>
                <w:kern w:val="0"/>
                <w:sz w:val="21"/>
                <w:szCs w:val="21"/>
                <w:lang w:eastAsia="zh-CN"/>
              </w:rPr>
              <w:t>；</w:t>
            </w:r>
            <w:r>
              <w:rPr>
                <w:rFonts w:hint="eastAsia" w:ascii="仿宋" w:hAnsi="仿宋" w:eastAsia="仿宋" w:cs="宋体"/>
                <w:color w:val="000000"/>
                <w:kern w:val="0"/>
                <w:sz w:val="21"/>
                <w:szCs w:val="21"/>
              </w:rPr>
              <w:t>2）业务和信息系统情况调研</w:t>
            </w:r>
            <w:r>
              <w:rPr>
                <w:rFonts w:hint="eastAsia" w:ascii="仿宋" w:hAnsi="仿宋" w:eastAsia="仿宋" w:cs="宋体"/>
                <w:color w:val="000000"/>
                <w:kern w:val="0"/>
                <w:sz w:val="21"/>
                <w:szCs w:val="21"/>
                <w:lang w:eastAsia="zh-CN"/>
              </w:rPr>
              <w:t>；</w:t>
            </w:r>
            <w:r>
              <w:rPr>
                <w:rFonts w:hint="eastAsia" w:ascii="仿宋" w:hAnsi="仿宋" w:eastAsia="仿宋" w:cs="宋体"/>
                <w:color w:val="000000"/>
                <w:kern w:val="0"/>
                <w:sz w:val="21"/>
                <w:szCs w:val="21"/>
              </w:rPr>
              <w:t>3）数据资产调研</w:t>
            </w:r>
            <w:r>
              <w:rPr>
                <w:rFonts w:hint="eastAsia" w:ascii="仿宋" w:hAnsi="仿宋" w:eastAsia="仿宋" w:cs="宋体"/>
                <w:color w:val="000000"/>
                <w:kern w:val="0"/>
                <w:sz w:val="21"/>
                <w:szCs w:val="21"/>
                <w:lang w:eastAsia="zh-CN"/>
              </w:rPr>
              <w:t>；</w:t>
            </w:r>
            <w:r>
              <w:rPr>
                <w:rFonts w:hint="eastAsia" w:ascii="仿宋" w:hAnsi="仿宋" w:eastAsia="仿宋" w:cs="宋体"/>
                <w:color w:val="000000"/>
                <w:kern w:val="0"/>
                <w:sz w:val="21"/>
                <w:szCs w:val="21"/>
              </w:rPr>
              <w:t>4）数据处理活动调研</w:t>
            </w:r>
            <w:r>
              <w:rPr>
                <w:rFonts w:hint="eastAsia" w:ascii="仿宋" w:hAnsi="仿宋" w:eastAsia="仿宋" w:cs="宋体"/>
                <w:color w:val="000000"/>
                <w:kern w:val="0"/>
                <w:sz w:val="21"/>
                <w:szCs w:val="21"/>
                <w:lang w:eastAsia="zh-CN"/>
              </w:rPr>
              <w:t>；</w:t>
            </w:r>
            <w:r>
              <w:rPr>
                <w:rFonts w:hint="eastAsia" w:ascii="仿宋" w:hAnsi="仿宋" w:eastAsia="仿宋" w:cs="宋体"/>
                <w:color w:val="000000"/>
                <w:kern w:val="0"/>
                <w:sz w:val="21"/>
                <w:szCs w:val="21"/>
              </w:rPr>
              <w:t>5）安全防护措施调研</w:t>
            </w:r>
            <w:r>
              <w:rPr>
                <w:rFonts w:hint="eastAsia" w:ascii="仿宋" w:hAnsi="仿宋" w:eastAsia="仿宋" w:cs="宋体"/>
                <w:color w:val="000000"/>
                <w:kern w:val="0"/>
                <w:sz w:val="21"/>
                <w:szCs w:val="21"/>
                <w:lang w:eastAsia="zh-CN"/>
              </w:rPr>
              <w:t>。</w:t>
            </w:r>
          </w:p>
          <w:p w14:paraId="5CEBAD19">
            <w:pP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2、风险识别</w:t>
            </w:r>
            <w:r>
              <w:rPr>
                <w:rFonts w:hint="eastAsia" w:ascii="仿宋" w:hAnsi="仿宋" w:eastAsia="仿宋" w:cs="宋体"/>
                <w:color w:val="000000"/>
                <w:kern w:val="0"/>
                <w:sz w:val="21"/>
                <w:szCs w:val="21"/>
                <w:lang w:eastAsia="zh-CN"/>
              </w:rPr>
              <w:t>：</w:t>
            </w:r>
            <w:r>
              <w:rPr>
                <w:rFonts w:hint="eastAsia" w:ascii="仿宋" w:hAnsi="仿宋" w:eastAsia="仿宋" w:cs="宋体"/>
                <w:color w:val="000000"/>
                <w:kern w:val="0"/>
                <w:sz w:val="21"/>
                <w:szCs w:val="21"/>
              </w:rPr>
              <w:t>1）已开展测评情况分析</w:t>
            </w:r>
            <w:r>
              <w:rPr>
                <w:rFonts w:hint="eastAsia" w:ascii="仿宋" w:hAnsi="仿宋" w:eastAsia="仿宋" w:cs="宋体"/>
                <w:color w:val="000000"/>
                <w:kern w:val="0"/>
                <w:sz w:val="21"/>
                <w:szCs w:val="21"/>
                <w:lang w:eastAsia="zh-CN"/>
              </w:rPr>
              <w:t>；</w:t>
            </w:r>
            <w:r>
              <w:rPr>
                <w:rFonts w:hint="eastAsia" w:ascii="仿宋" w:hAnsi="仿宋" w:eastAsia="仿宋" w:cs="宋体"/>
                <w:color w:val="000000"/>
                <w:kern w:val="0"/>
                <w:sz w:val="21"/>
                <w:szCs w:val="21"/>
              </w:rPr>
              <w:t>2）数据安全管理风险识别</w:t>
            </w:r>
            <w:r>
              <w:rPr>
                <w:rFonts w:hint="eastAsia" w:ascii="仿宋" w:hAnsi="仿宋" w:eastAsia="仿宋" w:cs="宋体"/>
                <w:color w:val="000000"/>
                <w:kern w:val="0"/>
                <w:sz w:val="21"/>
                <w:szCs w:val="21"/>
                <w:lang w:eastAsia="zh-CN"/>
              </w:rPr>
              <w:t>；</w:t>
            </w:r>
            <w:r>
              <w:rPr>
                <w:rFonts w:hint="eastAsia" w:ascii="仿宋" w:hAnsi="仿宋" w:eastAsia="仿宋" w:cs="宋体"/>
                <w:color w:val="000000"/>
                <w:kern w:val="0"/>
                <w:sz w:val="21"/>
                <w:szCs w:val="21"/>
              </w:rPr>
              <w:t>3）数据处理活动风险识别</w:t>
            </w:r>
            <w:r>
              <w:rPr>
                <w:rFonts w:hint="eastAsia" w:ascii="仿宋" w:hAnsi="仿宋" w:eastAsia="仿宋" w:cs="宋体"/>
                <w:color w:val="000000"/>
                <w:kern w:val="0"/>
                <w:sz w:val="21"/>
                <w:szCs w:val="21"/>
                <w:lang w:eastAsia="zh-CN"/>
              </w:rPr>
              <w:t>；</w:t>
            </w:r>
            <w:r>
              <w:rPr>
                <w:rFonts w:hint="eastAsia" w:ascii="仿宋" w:hAnsi="仿宋" w:eastAsia="仿宋" w:cs="宋体"/>
                <w:color w:val="000000"/>
                <w:kern w:val="0"/>
                <w:sz w:val="21"/>
                <w:szCs w:val="21"/>
              </w:rPr>
              <w:t>4）数据安全技术风险识别</w:t>
            </w:r>
            <w:r>
              <w:rPr>
                <w:rFonts w:hint="eastAsia" w:ascii="仿宋" w:hAnsi="仿宋" w:eastAsia="仿宋" w:cs="宋体"/>
                <w:color w:val="000000"/>
                <w:kern w:val="0"/>
                <w:sz w:val="21"/>
                <w:szCs w:val="21"/>
                <w:lang w:eastAsia="zh-CN"/>
              </w:rPr>
              <w:t>；</w:t>
            </w:r>
            <w:r>
              <w:rPr>
                <w:rFonts w:hint="eastAsia" w:ascii="仿宋" w:hAnsi="仿宋" w:eastAsia="仿宋" w:cs="宋体"/>
                <w:color w:val="000000"/>
                <w:kern w:val="0"/>
                <w:sz w:val="21"/>
                <w:szCs w:val="21"/>
              </w:rPr>
              <w:t>5）个人信息处理风险识别。</w:t>
            </w:r>
          </w:p>
          <w:p w14:paraId="4403A1D0">
            <w:pP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3、风险评价</w:t>
            </w:r>
          </w:p>
        </w:tc>
        <w:tc>
          <w:tcPr>
            <w:tcW w:w="540" w:type="pct"/>
            <w:noWrap w:val="0"/>
            <w:vAlign w:val="center"/>
          </w:tcPr>
          <w:p w14:paraId="1756ED2B">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1项</w:t>
            </w:r>
          </w:p>
        </w:tc>
      </w:tr>
      <w:tr w14:paraId="60D4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noWrap w:val="0"/>
            <w:vAlign w:val="center"/>
          </w:tcPr>
          <w:p w14:paraId="2A80E88D">
            <w:pPr>
              <w:widowControl/>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3</w:t>
            </w:r>
          </w:p>
        </w:tc>
        <w:tc>
          <w:tcPr>
            <w:tcW w:w="4113" w:type="pct"/>
            <w:noWrap w:val="0"/>
            <w:vAlign w:val="center"/>
          </w:tcPr>
          <w:p w14:paraId="4F856E3D">
            <w:pPr>
              <w:rPr>
                <w:rFonts w:hint="eastAsia" w:ascii="仿宋" w:hAnsi="仿宋" w:eastAsia="仿宋" w:cs="宋体"/>
                <w:color w:val="000000"/>
                <w:kern w:val="0"/>
                <w:sz w:val="21"/>
                <w:szCs w:val="21"/>
              </w:rPr>
            </w:pPr>
            <w:r>
              <w:rPr>
                <w:rFonts w:hint="eastAsia" w:ascii="仿宋" w:hAnsi="仿宋" w:eastAsia="仿宋" w:cs="宋体"/>
                <w:b/>
                <w:color w:val="000000"/>
                <w:kern w:val="0"/>
                <w:sz w:val="21"/>
                <w:szCs w:val="21"/>
              </w:rPr>
              <w:t>数据安全</w:t>
            </w:r>
            <w:r>
              <w:rPr>
                <w:rFonts w:hint="eastAsia" w:ascii="仿宋" w:hAnsi="仿宋" w:eastAsia="仿宋" w:cs="宋体"/>
                <w:b/>
                <w:color w:val="000000"/>
                <w:kern w:val="0"/>
                <w:sz w:val="21"/>
                <w:szCs w:val="21"/>
                <w:lang w:eastAsia="zh-CN"/>
              </w:rPr>
              <w:t>日常</w:t>
            </w:r>
            <w:r>
              <w:rPr>
                <w:rFonts w:hint="eastAsia" w:ascii="仿宋" w:hAnsi="仿宋" w:eastAsia="仿宋" w:cs="宋体"/>
                <w:b/>
                <w:color w:val="000000"/>
                <w:kern w:val="0"/>
                <w:sz w:val="21"/>
                <w:szCs w:val="21"/>
              </w:rPr>
              <w:t>运营服务：</w:t>
            </w:r>
          </w:p>
          <w:p w14:paraId="6671EE09">
            <w:pPr>
              <w:numPr>
                <w:ilvl w:val="0"/>
                <w:numId w:val="2"/>
              </w:numP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依据数据安全应急处置预案开展至少一次数据安全应急演练；</w:t>
            </w:r>
          </w:p>
          <w:p w14:paraId="3759405A">
            <w:pPr>
              <w:numPr>
                <w:ilvl w:val="0"/>
                <w:numId w:val="2"/>
              </w:numP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制定数据安全检查方案，开展日常数据安全自查工作；</w:t>
            </w:r>
          </w:p>
          <w:p w14:paraId="2E2D6965">
            <w:pPr>
              <w:numPr>
                <w:ilvl w:val="0"/>
                <w:numId w:val="2"/>
              </w:numP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日常数据安全风险监测、预警、分析与处置，</w:t>
            </w:r>
          </w:p>
          <w:p w14:paraId="5B15D336">
            <w:pPr>
              <w:numPr>
                <w:ilvl w:val="0"/>
                <w:numId w:val="2"/>
              </w:numP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补充完善数据安全管理制度体系。</w:t>
            </w:r>
          </w:p>
        </w:tc>
        <w:tc>
          <w:tcPr>
            <w:tcW w:w="540" w:type="pct"/>
            <w:noWrap w:val="0"/>
            <w:vAlign w:val="center"/>
          </w:tcPr>
          <w:p w14:paraId="390D1BD3">
            <w:pPr>
              <w:widowControl/>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1</w:t>
            </w:r>
            <w:r>
              <w:rPr>
                <w:rFonts w:hint="eastAsia" w:ascii="仿宋_GB2312" w:hAnsi="仿宋_GB2312" w:eastAsia="仿宋_GB2312" w:cs="仿宋_GB2312"/>
                <w:kern w:val="0"/>
                <w:sz w:val="21"/>
                <w:szCs w:val="21"/>
              </w:rPr>
              <w:t>项</w:t>
            </w:r>
          </w:p>
        </w:tc>
      </w:tr>
      <w:tr w14:paraId="610B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noWrap w:val="0"/>
            <w:vAlign w:val="center"/>
          </w:tcPr>
          <w:p w14:paraId="0ECE1C6F">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4113" w:type="pct"/>
            <w:noWrap w:val="0"/>
            <w:vAlign w:val="center"/>
          </w:tcPr>
          <w:p w14:paraId="5EEDC30A">
            <w:pPr>
              <w:numPr>
                <w:ilvl w:val="0"/>
                <w:numId w:val="0"/>
              </w:numPr>
              <w:rPr>
                <w:rFonts w:hint="eastAsia" w:ascii="仿宋" w:hAnsi="仿宋" w:eastAsia="仿宋" w:cs="宋体"/>
                <w:b/>
                <w:color w:val="000000"/>
                <w:kern w:val="0"/>
                <w:sz w:val="21"/>
                <w:szCs w:val="21"/>
                <w:lang w:val="en-US" w:eastAsia="zh-CN"/>
              </w:rPr>
            </w:pPr>
            <w:r>
              <w:rPr>
                <w:rFonts w:hint="eastAsia" w:ascii="仿宋" w:hAnsi="仿宋" w:eastAsia="仿宋" w:cs="宋体"/>
                <w:b/>
                <w:color w:val="000000"/>
                <w:kern w:val="0"/>
                <w:sz w:val="21"/>
                <w:szCs w:val="21"/>
                <w:lang w:val="en-US" w:eastAsia="zh-CN"/>
              </w:rPr>
              <w:t>数据库流量与API流量监控服务：</w:t>
            </w:r>
          </w:p>
          <w:p w14:paraId="1149940D">
            <w:pPr>
              <w:numPr>
                <w:ilvl w:val="0"/>
                <w:numId w:val="0"/>
              </w:numPr>
              <w:rPr>
                <w:rFonts w:hint="default" w:ascii="仿宋" w:hAnsi="仿宋" w:eastAsia="仿宋" w:cs="宋体"/>
                <w:b/>
                <w:color w:val="000000"/>
                <w:kern w:val="0"/>
                <w:sz w:val="21"/>
                <w:szCs w:val="21"/>
                <w:lang w:val="en-US" w:eastAsia="zh-CN"/>
              </w:rPr>
            </w:pPr>
            <w:r>
              <w:rPr>
                <w:rFonts w:hint="eastAsia" w:ascii="仿宋" w:hAnsi="仿宋" w:eastAsia="仿宋" w:cs="宋体"/>
                <w:b w:val="0"/>
                <w:color w:val="000000"/>
                <w:kern w:val="0"/>
                <w:sz w:val="21"/>
                <w:szCs w:val="21"/>
                <w:lang w:val="en-US" w:eastAsia="zh-CN"/>
              </w:rPr>
              <w:t>基于数据库流量及API流量的数据流转监控，通过流量分析还原、深度检测、敏感数据识别等技术手段，深度分析核心业务系统敏感数据流转、业务接口调用、账号访问等行为。监测敏感数据使用风险、应用资产脆弱性、用户异常访问行为，提供风险告警、数据泄露溯源等能力。</w:t>
            </w:r>
          </w:p>
        </w:tc>
        <w:tc>
          <w:tcPr>
            <w:tcW w:w="540" w:type="pct"/>
            <w:noWrap w:val="0"/>
            <w:vAlign w:val="center"/>
          </w:tcPr>
          <w:p w14:paraId="208F8770">
            <w:pPr>
              <w:widowControl/>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1</w:t>
            </w:r>
            <w:r>
              <w:rPr>
                <w:rFonts w:hint="eastAsia" w:ascii="仿宋_GB2312" w:hAnsi="仿宋_GB2312" w:eastAsia="仿宋_GB2312" w:cs="仿宋_GB2312"/>
                <w:kern w:val="0"/>
                <w:sz w:val="21"/>
                <w:szCs w:val="21"/>
              </w:rPr>
              <w:t>项</w:t>
            </w:r>
          </w:p>
        </w:tc>
      </w:tr>
      <w:tr w14:paraId="34FF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5" w:type="pct"/>
            <w:noWrap w:val="0"/>
            <w:vAlign w:val="center"/>
          </w:tcPr>
          <w:p w14:paraId="68FCD3A4">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4113" w:type="pct"/>
            <w:noWrap w:val="0"/>
            <w:vAlign w:val="center"/>
          </w:tcPr>
          <w:p w14:paraId="381A340D">
            <w:pPr>
              <w:numPr>
                <w:ilvl w:val="0"/>
                <w:numId w:val="0"/>
              </w:numPr>
              <w:rPr>
                <w:rFonts w:hint="default" w:ascii="仿宋" w:hAnsi="仿宋" w:eastAsia="仿宋" w:cs="宋体"/>
                <w:b w:val="0"/>
                <w:color w:val="000000"/>
                <w:kern w:val="0"/>
                <w:sz w:val="21"/>
                <w:szCs w:val="21"/>
                <w:lang w:val="en-US" w:eastAsia="zh-CN"/>
              </w:rPr>
            </w:pPr>
            <w:r>
              <w:rPr>
                <w:rFonts w:hint="eastAsia" w:ascii="仿宋" w:hAnsi="仿宋" w:eastAsia="仿宋" w:cs="宋体"/>
                <w:b/>
                <w:bCs/>
                <w:color w:val="000000"/>
                <w:kern w:val="0"/>
                <w:sz w:val="21"/>
                <w:szCs w:val="21"/>
                <w:lang w:val="en-US" w:eastAsia="zh-CN"/>
              </w:rPr>
              <w:t>数据库安全运维管理服务：</w:t>
            </w:r>
            <w:r>
              <w:rPr>
                <w:rFonts w:hint="eastAsia" w:ascii="仿宋" w:hAnsi="仿宋" w:eastAsia="仿宋" w:cs="宋体"/>
                <w:b/>
                <w:bCs/>
                <w:color w:val="000000"/>
                <w:kern w:val="0"/>
                <w:sz w:val="21"/>
                <w:szCs w:val="21"/>
                <w:lang w:val="en-US" w:eastAsia="zh-CN"/>
              </w:rPr>
              <w:br w:type="textWrapping"/>
            </w:r>
            <w:r>
              <w:rPr>
                <w:rFonts w:hint="eastAsia" w:ascii="仿宋" w:hAnsi="仿宋" w:eastAsia="仿宋" w:cs="宋体"/>
                <w:b w:val="0"/>
                <w:bCs w:val="0"/>
                <w:color w:val="000000"/>
                <w:kern w:val="0"/>
                <w:sz w:val="21"/>
                <w:szCs w:val="21"/>
                <w:lang w:val="en-US" w:eastAsia="zh-CN"/>
              </w:rPr>
              <w:t>集中管理数据库运维行为，提供SQL审批、数据静态脱敏、数据动态脱敏、数据运维操作审批审计等能力，降低数据越权访问、数据泄漏、数据误删除等数据安全风险。</w:t>
            </w:r>
          </w:p>
        </w:tc>
        <w:tc>
          <w:tcPr>
            <w:tcW w:w="540" w:type="pct"/>
            <w:noWrap w:val="0"/>
            <w:vAlign w:val="center"/>
          </w:tcPr>
          <w:p w14:paraId="3806923F">
            <w:pPr>
              <w:widowControl/>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1</w:t>
            </w:r>
            <w:r>
              <w:rPr>
                <w:rFonts w:hint="eastAsia" w:ascii="仿宋_GB2312" w:hAnsi="仿宋_GB2312" w:eastAsia="仿宋_GB2312" w:cs="仿宋_GB2312"/>
                <w:kern w:val="0"/>
                <w:sz w:val="21"/>
                <w:szCs w:val="21"/>
              </w:rPr>
              <w:t>项</w:t>
            </w:r>
          </w:p>
        </w:tc>
      </w:tr>
    </w:tbl>
    <w:p w14:paraId="4D8A30D3">
      <w:pPr>
        <w:numPr>
          <w:ilvl w:val="0"/>
          <w:numId w:val="0"/>
        </w:numPr>
        <w:rPr>
          <w:rFonts w:hint="eastAsia"/>
        </w:rPr>
      </w:pPr>
    </w:p>
    <w:p w14:paraId="7D58842D">
      <w:pPr>
        <w:pStyle w:val="2"/>
        <w:rPr>
          <w:rFonts w:hint="eastAsia" w:ascii="宋体" w:hAnsi="宋体" w:eastAsia="宋体" w:cs="宋体"/>
          <w:kern w:val="0"/>
          <w:sz w:val="24"/>
          <w:szCs w:val="24"/>
        </w:rPr>
      </w:pPr>
      <w:r>
        <w:rPr>
          <w:rFonts w:hint="eastAsia" w:ascii="宋体" w:hAnsi="宋体" w:eastAsia="宋体" w:cs="宋体"/>
          <w:kern w:val="0"/>
          <w:sz w:val="24"/>
          <w:szCs w:val="24"/>
        </w:rPr>
        <w:t>（四）安全服务内容要求</w:t>
      </w:r>
    </w:p>
    <w:p w14:paraId="3CC84787">
      <w:pPr>
        <w:numPr>
          <w:ilvl w:val="0"/>
          <w:numId w:val="0"/>
        </w:numPr>
        <w:spacing w:before="50" w:beforeLines="50" w:after="50" w:afterLines="50" w:line="360" w:lineRule="auto"/>
        <w:ind w:firstLine="482" w:firstLineChars="200"/>
        <w:outlineLvl w:val="1"/>
        <w:rPr>
          <w:rFonts w:hint="default" w:ascii="宋体" w:hAnsi="等线" w:eastAsia="宋体" w:cs="Times New Roman"/>
          <w:b/>
          <w:bCs/>
          <w:color w:val="auto"/>
          <w:sz w:val="24"/>
          <w:lang w:val="en-US" w:eastAsia="zh-CN"/>
        </w:rPr>
      </w:pPr>
      <w:bookmarkStart w:id="0" w:name="_Toc8751"/>
      <w:r>
        <w:rPr>
          <w:rFonts w:hint="eastAsia" w:ascii="宋体" w:hAnsi="等线" w:eastAsia="宋体" w:cs="Times New Roman"/>
          <w:b/>
          <w:bCs/>
          <w:color w:val="auto"/>
          <w:sz w:val="24"/>
          <w:lang w:val="en-US" w:eastAsia="zh-CN"/>
        </w:rPr>
        <w:t>1.</w:t>
      </w:r>
      <w:r>
        <w:rPr>
          <w:rFonts w:hint="default" w:ascii="宋体" w:hAnsi="等线" w:eastAsia="宋体" w:cs="Times New Roman"/>
          <w:b/>
          <w:bCs/>
          <w:color w:val="auto"/>
          <w:sz w:val="24"/>
          <w:lang w:val="en-US" w:eastAsia="zh-CN"/>
        </w:rPr>
        <w:t>数据资产梳理服务</w:t>
      </w:r>
      <w:bookmarkEnd w:id="0"/>
    </w:p>
    <w:p w14:paraId="043ECFC7">
      <w:pPr>
        <w:spacing w:before="50" w:beforeLines="50" w:after="50" w:afterLines="50" w:line="360" w:lineRule="auto"/>
        <w:ind w:firstLine="480" w:firstLineChars="200"/>
        <w:rPr>
          <w:rFonts w:hint="eastAsia" w:ascii="宋体" w:hAnsi="等线" w:eastAsia="宋体" w:cs="Times New Roman"/>
          <w:color w:val="auto"/>
          <w:sz w:val="24"/>
          <w:lang w:val="en-US" w:eastAsia="zh-CN"/>
        </w:rPr>
      </w:pPr>
      <w:r>
        <w:rPr>
          <w:rFonts w:hint="eastAsia" w:ascii="宋体" w:hAnsi="等线" w:eastAsia="宋体" w:cs="Times New Roman"/>
          <w:color w:val="auto"/>
          <w:sz w:val="24"/>
          <w:lang w:val="en-US" w:eastAsia="zh-CN"/>
        </w:rPr>
        <w:t>每年按省水利厅要求，开展至少4次全盘数据资产梳理工作，梳理我厅业务系统重要数据资产目录，</w:t>
      </w:r>
      <w:r>
        <w:rPr>
          <w:rFonts w:hint="default" w:ascii="宋体" w:hAnsi="等线" w:eastAsia="宋体" w:cs="Times New Roman"/>
          <w:color w:val="auto"/>
          <w:sz w:val="24"/>
          <w:lang w:val="en-US" w:eastAsia="zh-CN"/>
        </w:rPr>
        <w:t>通过对系统发现、识别、梳理，构建完整的数据资产底账，借助敏感数据分析模型，自动识别敏感数据在系统内的分布，</w:t>
      </w:r>
      <w:r>
        <w:rPr>
          <w:rFonts w:hint="eastAsia" w:ascii="宋体" w:hAnsi="等线" w:eastAsia="宋体" w:cs="Times New Roman"/>
          <w:color w:val="auto"/>
          <w:sz w:val="24"/>
          <w:lang w:val="en-US" w:eastAsia="zh-CN"/>
        </w:rPr>
        <w:t>分析数据库</w:t>
      </w:r>
      <w:r>
        <w:rPr>
          <w:rFonts w:hint="eastAsia" w:ascii="宋体" w:hAnsi="宋体" w:eastAsia="宋体"/>
          <w:sz w:val="24"/>
          <w:szCs w:val="24"/>
        </w:rPr>
        <w:t>暗资产</w:t>
      </w:r>
      <w:r>
        <w:rPr>
          <w:rFonts w:hint="eastAsia" w:ascii="宋体" w:hAnsi="宋体" w:eastAsia="宋体"/>
          <w:sz w:val="24"/>
          <w:szCs w:val="24"/>
          <w:lang w:eastAsia="zh-CN"/>
        </w:rPr>
        <w:t>、</w:t>
      </w:r>
      <w:r>
        <w:rPr>
          <w:rFonts w:hint="eastAsia" w:ascii="宋体" w:hAnsi="宋体" w:eastAsia="宋体"/>
          <w:sz w:val="24"/>
          <w:szCs w:val="24"/>
          <w:lang w:val="en-US" w:eastAsia="zh-CN"/>
        </w:rPr>
        <w:t>脆弱性等方面，</w:t>
      </w:r>
      <w:r>
        <w:rPr>
          <w:rFonts w:hint="eastAsia" w:ascii="宋体" w:hAnsi="宋体" w:eastAsia="宋体"/>
          <w:sz w:val="24"/>
          <w:szCs w:val="24"/>
        </w:rPr>
        <w:t>评估数据资产在各应用场景面临的威胁及威胁利用脆弱性导致安全事件的可能性，</w:t>
      </w:r>
      <w:r>
        <w:rPr>
          <w:rFonts w:hint="default" w:ascii="宋体" w:hAnsi="等线" w:eastAsia="宋体" w:cs="Times New Roman"/>
          <w:color w:val="auto"/>
          <w:sz w:val="24"/>
          <w:lang w:val="en-US" w:eastAsia="zh-CN"/>
        </w:rPr>
        <w:t>形成</w:t>
      </w:r>
      <w:r>
        <w:rPr>
          <w:rFonts w:hint="eastAsia" w:ascii="宋体" w:hAnsi="等线" w:eastAsia="宋体" w:cs="Times New Roman"/>
          <w:color w:val="auto"/>
          <w:sz w:val="24"/>
          <w:lang w:val="en-US" w:eastAsia="zh-CN"/>
        </w:rPr>
        <w:t>《福建省水利厅XXX系统数据资产清单》、《福建省水利厅XXX系统重要数据目录》、《福建省水利厅XXX系统个人信息目录》等。每次资产梳理工作应在任务起一周内完成。依托自动化监控工具发现数据资产变更也应及时更新。</w:t>
      </w:r>
    </w:p>
    <w:p w14:paraId="7CF25E17">
      <w:pPr>
        <w:spacing w:before="50" w:beforeLines="50" w:after="50" w:afterLines="50" w:line="360" w:lineRule="auto"/>
        <w:ind w:firstLine="480" w:firstLineChars="200"/>
        <w:rPr>
          <w:rFonts w:hint="default" w:ascii="宋体" w:hAnsi="等线" w:eastAsia="宋体" w:cs="Times New Roman"/>
          <w:color w:val="auto"/>
          <w:sz w:val="24"/>
          <w:lang w:val="en-US" w:eastAsia="zh-CN"/>
        </w:rPr>
      </w:pPr>
      <w:r>
        <w:rPr>
          <w:rFonts w:hint="eastAsia" w:ascii="宋体" w:hAnsi="等线" w:eastAsia="宋体" w:cs="Times New Roman"/>
          <w:color w:val="auto"/>
          <w:sz w:val="24"/>
          <w:lang w:val="en-US" w:eastAsia="zh-CN"/>
        </w:rPr>
        <w:t>每年开展至少4次全盘API接口梳理工作，通过分析网络流量，从业务类型、脆弱性、数据流转等维度对API接口进行识别及分类，形成《福建省水利厅XXX系统API接口清单》并实现API接口的分类管理。每次资产梳理工作应在一周内完成。依托自动化监控工具发现API资产变更也应及时更新。</w:t>
      </w:r>
    </w:p>
    <w:p w14:paraId="773425EF">
      <w:pPr>
        <w:spacing w:before="50" w:beforeLines="50" w:after="50" w:afterLines="50" w:line="360" w:lineRule="auto"/>
        <w:ind w:firstLine="480" w:firstLineChars="200"/>
        <w:rPr>
          <w:rFonts w:hint="default" w:ascii="宋体" w:hAnsi="等线" w:eastAsia="宋体" w:cs="Times New Roman"/>
          <w:color w:val="auto"/>
          <w:sz w:val="24"/>
          <w:lang w:val="en-US" w:eastAsia="zh-CN"/>
        </w:rPr>
      </w:pPr>
    </w:p>
    <w:p w14:paraId="1108A342">
      <w:pPr>
        <w:spacing w:before="50" w:beforeLines="50" w:after="50" w:afterLines="50" w:line="360" w:lineRule="auto"/>
        <w:ind w:firstLine="482" w:firstLineChars="200"/>
        <w:outlineLvl w:val="1"/>
        <w:rPr>
          <w:rFonts w:hint="default" w:ascii="宋体" w:hAnsi="等线" w:eastAsia="宋体" w:cs="Times New Roman"/>
          <w:b/>
          <w:bCs/>
          <w:color w:val="auto"/>
          <w:sz w:val="24"/>
          <w:lang w:val="en-US" w:eastAsia="zh-CN"/>
        </w:rPr>
      </w:pPr>
      <w:bookmarkStart w:id="1" w:name="_Toc22571"/>
      <w:r>
        <w:rPr>
          <w:rFonts w:hint="eastAsia" w:ascii="宋体" w:hAnsi="等线" w:eastAsia="宋体" w:cs="Times New Roman"/>
          <w:b/>
          <w:bCs/>
          <w:color w:val="auto"/>
          <w:sz w:val="24"/>
          <w:lang w:val="en-US" w:eastAsia="zh-CN"/>
        </w:rPr>
        <w:t>2.</w:t>
      </w:r>
      <w:r>
        <w:rPr>
          <w:rFonts w:hint="default" w:ascii="宋体" w:hAnsi="等线" w:eastAsia="宋体" w:cs="Times New Roman"/>
          <w:b/>
          <w:bCs/>
          <w:color w:val="auto"/>
          <w:sz w:val="24"/>
          <w:lang w:val="en-US" w:eastAsia="zh-CN"/>
        </w:rPr>
        <w:t>数据安全风险评估服务</w:t>
      </w:r>
      <w:bookmarkEnd w:id="1"/>
    </w:p>
    <w:p w14:paraId="0F27B2C7">
      <w:pPr>
        <w:spacing w:before="50" w:beforeLines="50" w:after="50" w:afterLines="50" w:line="360" w:lineRule="auto"/>
        <w:ind w:firstLine="480" w:firstLineChars="200"/>
        <w:rPr>
          <w:rFonts w:hint="eastAsia" w:ascii="宋体" w:hAnsi="等线" w:eastAsia="宋体" w:cs="Times New Roman"/>
          <w:color w:val="auto"/>
          <w:sz w:val="24"/>
          <w:lang w:val="en-US" w:eastAsia="zh-CN"/>
        </w:rPr>
      </w:pPr>
      <w:r>
        <w:rPr>
          <w:rFonts w:hint="eastAsia" w:ascii="宋体" w:hAnsi="等线" w:eastAsia="宋体" w:cs="Times New Roman"/>
          <w:color w:val="auto"/>
          <w:sz w:val="24"/>
          <w:lang w:val="en-US" w:eastAsia="zh-CN"/>
        </w:rPr>
        <w:t>依据《中华人民共和国数据安全法》《网络数据安全管理条例》等相关法律法规和条例的具体规定，按照GB/T 45577-2025《数据安全技术 数据安全风险评估方法》，结合网信等部门要求，对我厅业务系统开展至少一次数据安全风险评估工作，评估手段应包括但不限于人员访谈、文档查阅、安全核查、工具测试等方式。工作内容包括但不限于：</w:t>
      </w:r>
    </w:p>
    <w:p w14:paraId="5D4784B8">
      <w:pPr>
        <w:spacing w:before="50" w:beforeLines="50" w:after="50" w:afterLines="50" w:line="360" w:lineRule="auto"/>
        <w:ind w:firstLine="482" w:firstLineChars="200"/>
        <w:outlineLvl w:val="2"/>
        <w:rPr>
          <w:rFonts w:hint="default" w:ascii="宋体" w:hAnsi="等线" w:eastAsia="宋体" w:cs="Times New Roman"/>
          <w:b/>
          <w:bCs/>
          <w:color w:val="auto"/>
          <w:sz w:val="24"/>
          <w:lang w:val="en-US" w:eastAsia="zh-CN"/>
        </w:rPr>
      </w:pPr>
      <w:bookmarkStart w:id="2" w:name="_Toc9502"/>
      <w:r>
        <w:rPr>
          <w:rFonts w:hint="eastAsia" w:ascii="宋体" w:hAnsi="等线" w:eastAsia="宋体" w:cs="Times New Roman"/>
          <w:b/>
          <w:bCs/>
          <w:color w:val="auto"/>
          <w:sz w:val="24"/>
          <w:lang w:val="en-US" w:eastAsia="zh-CN"/>
        </w:rPr>
        <w:t>（1）</w:t>
      </w:r>
      <w:r>
        <w:rPr>
          <w:rFonts w:hint="default" w:ascii="宋体" w:hAnsi="等线" w:eastAsia="宋体" w:cs="Times New Roman"/>
          <w:b/>
          <w:bCs/>
          <w:color w:val="auto"/>
          <w:sz w:val="24"/>
          <w:lang w:val="en-US" w:eastAsia="zh-CN"/>
        </w:rPr>
        <w:t>数据安全信息调研</w:t>
      </w:r>
      <w:bookmarkEnd w:id="2"/>
    </w:p>
    <w:p w14:paraId="4F67F6AA">
      <w:pPr>
        <w:spacing w:before="50" w:beforeLines="50" w:after="50" w:afterLines="50" w:line="360" w:lineRule="auto"/>
        <w:ind w:firstLine="480" w:firstLineChars="200"/>
        <w:rPr>
          <w:rFonts w:hint="default" w:ascii="宋体" w:hAnsi="等线" w:eastAsia="宋体" w:cs="Times New Roman"/>
          <w:color w:val="auto"/>
          <w:sz w:val="24"/>
          <w:lang w:val="en-US" w:eastAsia="zh-CN"/>
        </w:rPr>
      </w:pPr>
      <w:r>
        <w:rPr>
          <w:rFonts w:hint="default" w:ascii="宋体" w:hAnsi="等线" w:eastAsia="宋体" w:cs="Times New Roman"/>
          <w:color w:val="auto"/>
          <w:sz w:val="24"/>
          <w:lang w:val="en-US" w:eastAsia="zh-CN"/>
        </w:rPr>
        <w:t>数据处理者调研：</w:t>
      </w:r>
      <w:r>
        <w:rPr>
          <w:rFonts w:hint="eastAsia" w:ascii="宋体" w:hAnsi="等线" w:eastAsia="宋体" w:cs="Times New Roman"/>
          <w:color w:val="auto"/>
          <w:sz w:val="24"/>
          <w:lang w:val="en-US" w:eastAsia="zh-CN"/>
        </w:rPr>
        <w:t>调研收集我厅网络和信息系统的基本情况，包括但不限于业务系统的拓扑结构等信息。</w:t>
      </w:r>
    </w:p>
    <w:p w14:paraId="4F9DEBC8">
      <w:pPr>
        <w:spacing w:before="50" w:beforeLines="50" w:after="50" w:afterLines="50" w:line="360" w:lineRule="auto"/>
        <w:ind w:firstLine="480" w:firstLineChars="200"/>
        <w:rPr>
          <w:rFonts w:hint="default" w:ascii="宋体" w:hAnsi="等线" w:eastAsia="宋体" w:cs="Times New Roman"/>
          <w:color w:val="auto"/>
          <w:sz w:val="24"/>
          <w:lang w:val="en-US" w:eastAsia="zh-CN"/>
        </w:rPr>
      </w:pPr>
      <w:r>
        <w:rPr>
          <w:rFonts w:hint="default" w:ascii="宋体" w:hAnsi="等线" w:eastAsia="宋体" w:cs="Times New Roman"/>
          <w:color w:val="auto"/>
          <w:sz w:val="24"/>
          <w:lang w:val="en-US" w:eastAsia="zh-CN"/>
        </w:rPr>
        <w:t>业务和信息系统情况调研：针对</w:t>
      </w:r>
      <w:r>
        <w:rPr>
          <w:rFonts w:hint="eastAsia" w:ascii="宋体" w:hAnsi="等线" w:eastAsia="宋体" w:cs="Times New Roman"/>
          <w:color w:val="auto"/>
          <w:sz w:val="24"/>
          <w:lang w:val="en-US" w:eastAsia="zh-CN"/>
        </w:rPr>
        <w:t>业务</w:t>
      </w:r>
      <w:r>
        <w:rPr>
          <w:rFonts w:hint="default" w:ascii="宋体" w:hAnsi="等线" w:eastAsia="宋体" w:cs="Times New Roman"/>
          <w:color w:val="auto"/>
          <w:sz w:val="24"/>
          <w:lang w:val="en-US" w:eastAsia="zh-CN"/>
        </w:rPr>
        <w:t>系统开展基础情况调研，包括网络运行环境、业务基本情况、运营部门、服务对象、数据类别等。</w:t>
      </w:r>
    </w:p>
    <w:p w14:paraId="6201DEC2">
      <w:pPr>
        <w:spacing w:before="50" w:beforeLines="50" w:after="50" w:afterLines="50" w:line="360" w:lineRule="auto"/>
        <w:ind w:firstLine="480" w:firstLineChars="200"/>
        <w:rPr>
          <w:rFonts w:hint="default" w:ascii="宋体" w:hAnsi="等线" w:eastAsia="宋体" w:cs="Times New Roman"/>
          <w:color w:val="auto"/>
          <w:sz w:val="24"/>
          <w:lang w:val="en-US" w:eastAsia="zh-CN"/>
        </w:rPr>
      </w:pPr>
      <w:r>
        <w:rPr>
          <w:rFonts w:hint="default" w:ascii="宋体" w:hAnsi="等线" w:eastAsia="宋体" w:cs="Times New Roman"/>
          <w:color w:val="auto"/>
          <w:sz w:val="24"/>
          <w:lang w:val="en-US" w:eastAsia="zh-CN"/>
        </w:rPr>
        <w:t>数据资产调研：梳理结构化数据资产（如数据库表等）和非结构化数据资产（如图表文件等），输出</w:t>
      </w:r>
      <w:r>
        <w:rPr>
          <w:rFonts w:hint="eastAsia" w:ascii="宋体" w:hAnsi="等线" w:eastAsia="宋体" w:cs="Times New Roman"/>
          <w:color w:val="auto"/>
          <w:sz w:val="24"/>
          <w:lang w:val="en-US" w:eastAsia="zh-CN"/>
        </w:rPr>
        <w:t>《XXX系统</w:t>
      </w:r>
      <w:r>
        <w:rPr>
          <w:rFonts w:hint="default" w:ascii="宋体" w:hAnsi="等线" w:eastAsia="宋体" w:cs="Times New Roman"/>
          <w:color w:val="auto"/>
          <w:sz w:val="24"/>
          <w:lang w:val="en-US" w:eastAsia="zh-CN"/>
        </w:rPr>
        <w:t>数据资产清单</w:t>
      </w:r>
      <w:r>
        <w:rPr>
          <w:rFonts w:hint="eastAsia" w:ascii="宋体" w:hAnsi="等线" w:eastAsia="宋体" w:cs="Times New Roman"/>
          <w:color w:val="auto"/>
          <w:sz w:val="24"/>
          <w:lang w:val="en-US" w:eastAsia="zh-CN"/>
        </w:rPr>
        <w:t>》</w:t>
      </w:r>
      <w:r>
        <w:rPr>
          <w:rFonts w:hint="default" w:ascii="宋体" w:hAnsi="等线" w:eastAsia="宋体" w:cs="Times New Roman"/>
          <w:color w:val="auto"/>
          <w:sz w:val="24"/>
          <w:lang w:val="en-US" w:eastAsia="zh-CN"/>
        </w:rPr>
        <w:t>。</w:t>
      </w:r>
    </w:p>
    <w:p w14:paraId="79A753D7">
      <w:pPr>
        <w:spacing w:before="50" w:beforeLines="50" w:after="50" w:afterLines="50" w:line="360" w:lineRule="auto"/>
        <w:ind w:firstLine="480" w:firstLineChars="200"/>
        <w:rPr>
          <w:rFonts w:hint="default" w:ascii="宋体" w:hAnsi="等线" w:eastAsia="宋体" w:cs="Times New Roman"/>
          <w:color w:val="auto"/>
          <w:sz w:val="24"/>
          <w:lang w:val="en-US" w:eastAsia="zh-CN"/>
        </w:rPr>
      </w:pPr>
      <w:r>
        <w:rPr>
          <w:rFonts w:hint="default" w:ascii="宋体" w:hAnsi="等线" w:eastAsia="宋体" w:cs="Times New Roman"/>
          <w:color w:val="auto"/>
          <w:sz w:val="24"/>
          <w:lang w:val="en-US" w:eastAsia="zh-CN"/>
        </w:rPr>
        <w:t>数据处理活动调研：梳理</w:t>
      </w:r>
      <w:r>
        <w:rPr>
          <w:rFonts w:hint="eastAsia" w:ascii="宋体" w:hAnsi="等线" w:eastAsia="宋体" w:cs="Times New Roman"/>
          <w:color w:val="auto"/>
          <w:sz w:val="24"/>
          <w:lang w:val="en-US" w:eastAsia="zh-CN"/>
        </w:rPr>
        <w:t>业务系统的</w:t>
      </w:r>
      <w:r>
        <w:rPr>
          <w:rFonts w:hint="default" w:ascii="宋体" w:hAnsi="等线" w:eastAsia="宋体" w:cs="Times New Roman"/>
          <w:color w:val="auto"/>
          <w:sz w:val="24"/>
          <w:lang w:val="en-US" w:eastAsia="zh-CN"/>
        </w:rPr>
        <w:t>数据处理活动清单，绘制</w:t>
      </w:r>
      <w:r>
        <w:rPr>
          <w:rFonts w:hint="eastAsia" w:ascii="宋体" w:hAnsi="等线" w:eastAsia="宋体" w:cs="Times New Roman"/>
          <w:color w:val="auto"/>
          <w:sz w:val="24"/>
          <w:lang w:val="en-US" w:eastAsia="zh-CN"/>
        </w:rPr>
        <w:t>《XXX系统</w:t>
      </w:r>
      <w:r>
        <w:rPr>
          <w:rFonts w:hint="default" w:ascii="宋体" w:hAnsi="等线" w:eastAsia="宋体" w:cs="Times New Roman"/>
          <w:color w:val="auto"/>
          <w:sz w:val="24"/>
          <w:lang w:val="en-US" w:eastAsia="zh-CN"/>
        </w:rPr>
        <w:t>数据流图</w:t>
      </w:r>
      <w:r>
        <w:rPr>
          <w:rFonts w:hint="eastAsia" w:ascii="宋体" w:hAnsi="等线" w:eastAsia="宋体" w:cs="Times New Roman"/>
          <w:color w:val="auto"/>
          <w:sz w:val="24"/>
          <w:lang w:val="en-US" w:eastAsia="zh-CN"/>
        </w:rPr>
        <w:t>》</w:t>
      </w:r>
      <w:r>
        <w:rPr>
          <w:rFonts w:hint="default" w:ascii="宋体" w:hAnsi="等线" w:eastAsia="宋体" w:cs="Times New Roman"/>
          <w:color w:val="auto"/>
          <w:sz w:val="24"/>
          <w:lang w:val="en-US" w:eastAsia="zh-CN"/>
        </w:rPr>
        <w:t>，数据流图包含数据流转各环节（收集、存储、传输、提供、公开、删除、出境等）经过的相关方、信息系统，以及每个流动环节涉及的数据类型等。</w:t>
      </w:r>
    </w:p>
    <w:p w14:paraId="52623AB2">
      <w:pPr>
        <w:spacing w:before="50" w:beforeLines="50" w:after="50" w:afterLines="50" w:line="360" w:lineRule="auto"/>
        <w:ind w:firstLine="480" w:firstLineChars="200"/>
        <w:rPr>
          <w:rFonts w:hint="default" w:ascii="宋体" w:hAnsi="等线" w:eastAsia="宋体" w:cs="Times New Roman"/>
          <w:color w:val="auto"/>
          <w:sz w:val="24"/>
          <w:lang w:val="en-US" w:eastAsia="zh-CN"/>
        </w:rPr>
      </w:pPr>
      <w:r>
        <w:rPr>
          <w:rFonts w:hint="default" w:ascii="宋体" w:hAnsi="等线" w:eastAsia="宋体" w:cs="Times New Roman"/>
          <w:color w:val="auto"/>
          <w:sz w:val="24"/>
          <w:lang w:val="en-US" w:eastAsia="zh-CN"/>
        </w:rPr>
        <w:t>安全防护措施调研；针对现有安全措施进行调研验证，包括制度管理体系、技术防护措施有效性、近年发生的网络及数据安全事件情况等</w:t>
      </w:r>
      <w:r>
        <w:rPr>
          <w:rFonts w:hint="eastAsia" w:ascii="宋体" w:hAnsi="等线" w:eastAsia="宋体" w:cs="Times New Roman"/>
          <w:color w:val="auto"/>
          <w:sz w:val="24"/>
          <w:lang w:val="en-US" w:eastAsia="zh-CN"/>
        </w:rPr>
        <w:t>。</w:t>
      </w:r>
    </w:p>
    <w:p w14:paraId="11E57E76">
      <w:pPr>
        <w:spacing w:before="50" w:beforeLines="50" w:after="50" w:afterLines="50" w:line="360" w:lineRule="auto"/>
        <w:ind w:firstLine="482" w:firstLineChars="200"/>
        <w:outlineLvl w:val="2"/>
        <w:rPr>
          <w:rFonts w:hint="default" w:ascii="宋体" w:hAnsi="等线" w:eastAsia="宋体" w:cs="Times New Roman"/>
          <w:b/>
          <w:bCs/>
          <w:color w:val="auto"/>
          <w:sz w:val="24"/>
          <w:lang w:val="en-US" w:eastAsia="zh-CN"/>
        </w:rPr>
      </w:pPr>
      <w:bookmarkStart w:id="3" w:name="_Toc12482"/>
      <w:r>
        <w:rPr>
          <w:rFonts w:hint="eastAsia" w:ascii="宋体" w:hAnsi="等线" w:eastAsia="宋体" w:cs="Times New Roman"/>
          <w:b/>
          <w:bCs/>
          <w:color w:val="auto"/>
          <w:sz w:val="24"/>
          <w:lang w:val="en-US" w:eastAsia="zh-CN"/>
        </w:rPr>
        <w:t>（2）</w:t>
      </w:r>
      <w:r>
        <w:rPr>
          <w:rFonts w:hint="default" w:ascii="宋体" w:hAnsi="等线" w:eastAsia="宋体" w:cs="Times New Roman"/>
          <w:b/>
          <w:bCs/>
          <w:color w:val="auto"/>
          <w:sz w:val="24"/>
          <w:lang w:val="en-US" w:eastAsia="zh-CN"/>
        </w:rPr>
        <w:t>风险识别</w:t>
      </w:r>
      <w:bookmarkEnd w:id="3"/>
    </w:p>
    <w:p w14:paraId="5CD65025">
      <w:pPr>
        <w:spacing w:before="50" w:beforeLines="50" w:after="50" w:afterLines="50" w:line="360" w:lineRule="auto"/>
        <w:ind w:firstLine="480" w:firstLineChars="200"/>
        <w:rPr>
          <w:rFonts w:hint="default" w:ascii="宋体" w:hAnsi="等线" w:eastAsia="宋体" w:cs="Times New Roman"/>
          <w:color w:val="auto"/>
          <w:sz w:val="24"/>
          <w:lang w:val="en-US" w:eastAsia="zh-CN"/>
        </w:rPr>
      </w:pPr>
      <w:r>
        <w:rPr>
          <w:rFonts w:hint="default" w:ascii="宋体" w:hAnsi="等线" w:eastAsia="宋体" w:cs="Times New Roman"/>
          <w:color w:val="auto"/>
          <w:sz w:val="24"/>
          <w:lang w:val="en-US" w:eastAsia="zh-CN"/>
        </w:rPr>
        <w:t>已开展测评情况分析：</w:t>
      </w:r>
      <w:r>
        <w:rPr>
          <w:rFonts w:hint="eastAsia" w:ascii="宋体" w:hAnsi="等线" w:eastAsia="宋体" w:cs="Times New Roman"/>
          <w:color w:val="auto"/>
          <w:sz w:val="24"/>
          <w:lang w:val="en-US" w:eastAsia="zh-CN"/>
        </w:rPr>
        <w:t>针对业务系统网络安全等级保护测评工作开展情况，遗留风险情况进行分析评估。</w:t>
      </w:r>
    </w:p>
    <w:p w14:paraId="61623C66">
      <w:pPr>
        <w:spacing w:before="50" w:beforeLines="50" w:after="50" w:afterLines="50" w:line="360" w:lineRule="auto"/>
        <w:ind w:firstLine="480" w:firstLineChars="200"/>
        <w:rPr>
          <w:rFonts w:hint="default" w:ascii="宋体" w:hAnsi="等线" w:eastAsia="宋体" w:cs="Times New Roman"/>
          <w:color w:val="auto"/>
          <w:sz w:val="24"/>
          <w:lang w:val="en-US" w:eastAsia="zh-CN"/>
        </w:rPr>
      </w:pPr>
      <w:r>
        <w:rPr>
          <w:rFonts w:hint="default" w:ascii="宋体" w:hAnsi="等线" w:eastAsia="宋体" w:cs="Times New Roman"/>
          <w:color w:val="auto"/>
          <w:sz w:val="24"/>
          <w:lang w:val="en-US" w:eastAsia="zh-CN"/>
        </w:rPr>
        <w:t>数据安全管理风险识别：从数据安全管理制度、安全组织机构、分类分级管理、合作外包管理、安全威胁和应急管理、开发运维管理、云数据安全等方面</w:t>
      </w:r>
      <w:r>
        <w:rPr>
          <w:rFonts w:hint="eastAsia" w:ascii="宋体" w:hAnsi="等线" w:eastAsia="宋体" w:cs="Times New Roman"/>
          <w:color w:val="auto"/>
          <w:sz w:val="24"/>
          <w:lang w:val="en-US" w:eastAsia="zh-CN"/>
        </w:rPr>
        <w:t>进行</w:t>
      </w:r>
      <w:r>
        <w:rPr>
          <w:rFonts w:hint="default" w:ascii="宋体" w:hAnsi="等线" w:eastAsia="宋体" w:cs="Times New Roman"/>
          <w:color w:val="auto"/>
          <w:sz w:val="24"/>
          <w:lang w:val="en-US" w:eastAsia="zh-CN"/>
        </w:rPr>
        <w:t>风险识别。</w:t>
      </w:r>
    </w:p>
    <w:p w14:paraId="6262AEC5">
      <w:pPr>
        <w:spacing w:before="50" w:beforeLines="50" w:after="50" w:afterLines="50" w:line="360" w:lineRule="auto"/>
        <w:ind w:firstLine="480" w:firstLineChars="200"/>
        <w:rPr>
          <w:rFonts w:hint="default" w:ascii="宋体" w:hAnsi="等线" w:eastAsia="宋体" w:cs="Times New Roman"/>
          <w:color w:val="auto"/>
          <w:sz w:val="24"/>
          <w:lang w:val="en-US" w:eastAsia="zh-CN"/>
        </w:rPr>
      </w:pPr>
      <w:r>
        <w:rPr>
          <w:rFonts w:hint="default" w:ascii="宋体" w:hAnsi="等线" w:eastAsia="宋体" w:cs="Times New Roman"/>
          <w:color w:val="auto"/>
          <w:sz w:val="24"/>
          <w:lang w:val="en-US" w:eastAsia="zh-CN"/>
        </w:rPr>
        <w:t>数据处理活动风险识别：</w:t>
      </w:r>
      <w:r>
        <w:rPr>
          <w:rFonts w:hint="eastAsia" w:ascii="宋体" w:hAnsi="等线" w:eastAsia="宋体" w:cs="Times New Roman"/>
          <w:color w:val="auto"/>
          <w:sz w:val="24"/>
          <w:lang w:val="en-US" w:eastAsia="zh-CN"/>
        </w:rPr>
        <w:t>需要</w:t>
      </w:r>
      <w:r>
        <w:rPr>
          <w:rFonts w:hint="default" w:ascii="宋体" w:hAnsi="等线" w:eastAsia="宋体" w:cs="Times New Roman"/>
          <w:color w:val="auto"/>
          <w:sz w:val="24"/>
          <w:lang w:val="en-US" w:eastAsia="zh-CN"/>
        </w:rPr>
        <w:t>从数据全生命周期各阶段</w:t>
      </w:r>
      <w:r>
        <w:rPr>
          <w:rFonts w:hint="eastAsia" w:ascii="宋体" w:hAnsi="等线" w:eastAsia="宋体" w:cs="Times New Roman"/>
          <w:color w:val="auto"/>
          <w:sz w:val="24"/>
          <w:lang w:val="en-US" w:eastAsia="zh-CN"/>
        </w:rPr>
        <w:t>的处理活动进行风险识别，涉及的数据全生命周期的阶段包括：</w:t>
      </w:r>
      <w:r>
        <w:rPr>
          <w:rFonts w:hint="default" w:ascii="宋体" w:hAnsi="等线" w:eastAsia="宋体" w:cs="Times New Roman"/>
          <w:color w:val="auto"/>
          <w:sz w:val="24"/>
          <w:lang w:val="en-US" w:eastAsia="zh-CN"/>
        </w:rPr>
        <w:t>数据采集、数据存储、数据传输、数据使用和加工、数据提供、数据公开、数据删除等。</w:t>
      </w:r>
    </w:p>
    <w:p w14:paraId="2910DF38">
      <w:pPr>
        <w:spacing w:before="50" w:beforeLines="50" w:after="50" w:afterLines="50" w:line="360" w:lineRule="auto"/>
        <w:ind w:firstLine="480" w:firstLineChars="200"/>
        <w:rPr>
          <w:rFonts w:hint="default" w:ascii="宋体" w:hAnsi="等线" w:eastAsia="宋体" w:cs="Times New Roman"/>
          <w:color w:val="auto"/>
          <w:sz w:val="24"/>
          <w:lang w:val="en-US" w:eastAsia="zh-CN"/>
        </w:rPr>
      </w:pPr>
      <w:r>
        <w:rPr>
          <w:rFonts w:hint="default" w:ascii="宋体" w:hAnsi="等线" w:eastAsia="宋体" w:cs="Times New Roman"/>
          <w:color w:val="auto"/>
          <w:sz w:val="24"/>
          <w:lang w:val="en-US" w:eastAsia="zh-CN"/>
        </w:rPr>
        <w:t>数据安全技术风险识别：从网络安全防护、身份鉴别与访问控制、检测预警、数据脱敏、数据防泄漏、数据接口安全、数据备份与恢复、安全审计等方面</w:t>
      </w:r>
      <w:r>
        <w:rPr>
          <w:rFonts w:hint="eastAsia" w:ascii="宋体" w:hAnsi="等线" w:eastAsia="宋体" w:cs="Times New Roman"/>
          <w:color w:val="auto"/>
          <w:sz w:val="24"/>
          <w:lang w:val="en-US" w:eastAsia="zh-CN"/>
        </w:rPr>
        <w:t>进行</w:t>
      </w:r>
      <w:r>
        <w:rPr>
          <w:rFonts w:hint="default" w:ascii="宋体" w:hAnsi="等线" w:eastAsia="宋体" w:cs="Times New Roman"/>
          <w:color w:val="auto"/>
          <w:sz w:val="24"/>
          <w:lang w:val="en-US" w:eastAsia="zh-CN"/>
        </w:rPr>
        <w:t>数据安全技术风险。</w:t>
      </w:r>
    </w:p>
    <w:p w14:paraId="05E9EBD5">
      <w:pPr>
        <w:spacing w:before="50" w:beforeLines="50" w:after="50" w:afterLines="50" w:line="360" w:lineRule="auto"/>
        <w:ind w:firstLine="480" w:firstLineChars="200"/>
        <w:rPr>
          <w:rFonts w:hint="default" w:ascii="宋体" w:hAnsi="等线" w:eastAsia="宋体" w:cs="Times New Roman"/>
          <w:color w:val="auto"/>
          <w:sz w:val="24"/>
          <w:lang w:val="en-US" w:eastAsia="zh-CN"/>
        </w:rPr>
      </w:pPr>
      <w:r>
        <w:rPr>
          <w:rFonts w:hint="default" w:ascii="宋体" w:hAnsi="等线" w:eastAsia="宋体" w:cs="Times New Roman"/>
          <w:color w:val="auto"/>
          <w:sz w:val="24"/>
          <w:lang w:val="en-US" w:eastAsia="zh-CN"/>
        </w:rPr>
        <w:t>个人信息处理风险识别：从个人信息处理基本原则、个人信息告知同意、个人信息处理、敏感个人信息处理、个人信息主体权利、个人信息安全义务、个人信息投诉举报等方面识别个人信息保护风险。</w:t>
      </w:r>
    </w:p>
    <w:p w14:paraId="0AF90005">
      <w:pPr>
        <w:spacing w:before="50" w:beforeLines="50" w:after="50" w:afterLines="50" w:line="360" w:lineRule="auto"/>
        <w:ind w:firstLine="482" w:firstLineChars="200"/>
        <w:outlineLvl w:val="2"/>
        <w:rPr>
          <w:rFonts w:hint="default" w:ascii="宋体" w:hAnsi="等线" w:eastAsia="宋体" w:cs="Times New Roman"/>
          <w:b/>
          <w:bCs/>
          <w:color w:val="auto"/>
          <w:sz w:val="24"/>
          <w:lang w:val="en-US" w:eastAsia="zh-CN"/>
        </w:rPr>
      </w:pPr>
      <w:bookmarkStart w:id="4" w:name="_Toc14541"/>
      <w:r>
        <w:rPr>
          <w:rFonts w:hint="eastAsia" w:ascii="宋体" w:hAnsi="等线" w:eastAsia="宋体" w:cs="Times New Roman"/>
          <w:b/>
          <w:bCs/>
          <w:color w:val="auto"/>
          <w:sz w:val="24"/>
          <w:lang w:val="en-US" w:eastAsia="zh-CN"/>
        </w:rPr>
        <w:t>（3）</w:t>
      </w:r>
      <w:r>
        <w:rPr>
          <w:rFonts w:hint="default" w:ascii="宋体" w:hAnsi="等线" w:eastAsia="宋体" w:cs="Times New Roman"/>
          <w:b/>
          <w:bCs/>
          <w:color w:val="auto"/>
          <w:sz w:val="24"/>
          <w:lang w:val="en-US" w:eastAsia="zh-CN"/>
        </w:rPr>
        <w:t>风险评价</w:t>
      </w:r>
      <w:bookmarkEnd w:id="4"/>
    </w:p>
    <w:p w14:paraId="4D2923ED">
      <w:pPr>
        <w:spacing w:before="50" w:beforeLines="50" w:after="50" w:afterLines="50" w:line="360" w:lineRule="auto"/>
        <w:ind w:firstLine="480" w:firstLineChars="200"/>
        <w:rPr>
          <w:rFonts w:hint="default" w:ascii="宋体" w:hAnsi="等线" w:eastAsia="宋体" w:cs="Times New Roman"/>
          <w:color w:val="auto"/>
          <w:sz w:val="24"/>
          <w:lang w:val="en-US" w:eastAsia="zh-CN"/>
        </w:rPr>
      </w:pPr>
      <w:r>
        <w:rPr>
          <w:rFonts w:hint="default" w:ascii="宋体" w:hAnsi="等线" w:eastAsia="宋体" w:cs="Times New Roman"/>
          <w:color w:val="auto"/>
          <w:sz w:val="24"/>
          <w:lang w:val="en-US" w:eastAsia="zh-CN"/>
        </w:rPr>
        <w:t>结合数据资产和数据处理活动清单，梳理存在的风险隐患，对可能存在的数据安全风险发生后的影响分析、风险发生可能性分析、风险评价</w:t>
      </w:r>
      <w:r>
        <w:rPr>
          <w:rFonts w:hint="eastAsia" w:ascii="宋体" w:hAnsi="等线" w:eastAsia="宋体" w:cs="Times New Roman"/>
          <w:color w:val="auto"/>
          <w:sz w:val="24"/>
          <w:lang w:val="en-US" w:eastAsia="zh-CN"/>
        </w:rPr>
        <w:t>，最终输出《XXX系统数据安全风险评估报告》。</w:t>
      </w:r>
    </w:p>
    <w:p w14:paraId="41EFADD1">
      <w:pPr>
        <w:spacing w:before="50" w:beforeLines="50" w:after="50" w:afterLines="50" w:line="360" w:lineRule="auto"/>
        <w:ind w:firstLine="482" w:firstLineChars="200"/>
        <w:outlineLvl w:val="1"/>
        <w:rPr>
          <w:rFonts w:hint="default" w:ascii="宋体" w:hAnsi="等线" w:eastAsia="宋体" w:cs="Times New Roman"/>
          <w:color w:val="auto"/>
          <w:sz w:val="24"/>
          <w:lang w:val="en-US" w:eastAsia="zh-CN"/>
        </w:rPr>
      </w:pPr>
      <w:bookmarkStart w:id="5" w:name="_Toc22647"/>
      <w:r>
        <w:rPr>
          <w:rFonts w:hint="eastAsia" w:ascii="宋体" w:hAnsi="等线" w:eastAsia="宋体" w:cs="Times New Roman"/>
          <w:b/>
          <w:bCs/>
          <w:color w:val="auto"/>
          <w:sz w:val="24"/>
          <w:lang w:val="en-US" w:eastAsia="zh-CN"/>
        </w:rPr>
        <w:t>3.</w:t>
      </w:r>
      <w:r>
        <w:rPr>
          <w:rFonts w:hint="default" w:ascii="宋体" w:hAnsi="等线" w:eastAsia="宋体" w:cs="Times New Roman"/>
          <w:b/>
          <w:bCs/>
          <w:color w:val="auto"/>
          <w:sz w:val="24"/>
          <w:lang w:val="en-US" w:eastAsia="zh-CN"/>
        </w:rPr>
        <w:t>数据安全运营服务</w:t>
      </w:r>
      <w:bookmarkEnd w:id="5"/>
    </w:p>
    <w:p w14:paraId="74291C60">
      <w:pPr>
        <w:bidi w:val="0"/>
        <w:spacing w:before="50" w:beforeLines="50" w:after="50" w:afterLines="50" w:line="360" w:lineRule="auto"/>
        <w:ind w:firstLine="480" w:firstLineChars="200"/>
        <w:outlineLvl w:val="2"/>
        <w:rPr>
          <w:rFonts w:hint="eastAsia" w:ascii="宋体" w:hAnsi="等线" w:eastAsia="宋体" w:cs="Times New Roman"/>
          <w:color w:val="auto"/>
          <w:sz w:val="24"/>
          <w:lang w:val="en-US" w:eastAsia="zh-CN"/>
        </w:rPr>
      </w:pPr>
      <w:r>
        <w:rPr>
          <w:rFonts w:hint="eastAsia" w:ascii="宋体" w:hAnsi="等线" w:eastAsia="宋体" w:cs="Times New Roman"/>
          <w:color w:val="auto"/>
          <w:sz w:val="24"/>
          <w:lang w:val="en-US" w:eastAsia="zh-CN"/>
        </w:rPr>
        <w:t>（1）数据安全应急演练</w:t>
      </w:r>
    </w:p>
    <w:p w14:paraId="78137EE5">
      <w:pPr>
        <w:bidi w:val="0"/>
        <w:spacing w:before="50" w:beforeLines="50" w:after="50" w:afterLines="50" w:line="360" w:lineRule="auto"/>
        <w:ind w:firstLine="480" w:firstLineChars="200"/>
        <w:rPr>
          <w:rFonts w:hint="default" w:ascii="宋体" w:hAnsi="等线" w:eastAsia="宋体" w:cs="Times New Roman"/>
          <w:color w:val="auto"/>
          <w:sz w:val="24"/>
          <w:lang w:val="en-US" w:eastAsia="zh-CN"/>
        </w:rPr>
      </w:pPr>
      <w:r>
        <w:rPr>
          <w:rFonts w:hint="eastAsia" w:ascii="宋体" w:hAnsi="等线" w:eastAsia="宋体" w:cs="Times New Roman"/>
          <w:color w:val="auto"/>
          <w:sz w:val="24"/>
          <w:lang w:val="en-US" w:eastAsia="zh-CN"/>
        </w:rPr>
        <w:t>优化完善我厅现有数据安全应急处置预案，根据处置预案每年至少开展一次数据安全应急演练工作，通过应急演练进一步优化应急处置流程，输出《福建省水利厅数据安全应急演练报告》。</w:t>
      </w:r>
    </w:p>
    <w:p w14:paraId="554AF068">
      <w:pPr>
        <w:bidi w:val="0"/>
        <w:spacing w:before="50" w:beforeLines="50" w:after="50" w:afterLines="50" w:line="360" w:lineRule="auto"/>
        <w:ind w:firstLine="480" w:firstLineChars="200"/>
        <w:outlineLvl w:val="2"/>
        <w:rPr>
          <w:rFonts w:hint="eastAsia" w:ascii="宋体" w:hAnsi="等线" w:eastAsia="宋体" w:cs="Times New Roman"/>
          <w:color w:val="auto"/>
          <w:sz w:val="24"/>
          <w:lang w:val="en-US" w:eastAsia="zh-CN"/>
        </w:rPr>
      </w:pPr>
      <w:r>
        <w:rPr>
          <w:rFonts w:hint="eastAsia" w:ascii="宋体" w:hAnsi="等线" w:eastAsia="宋体" w:cs="Times New Roman"/>
          <w:color w:val="auto"/>
          <w:sz w:val="24"/>
          <w:lang w:val="en-US" w:eastAsia="zh-CN"/>
        </w:rPr>
        <w:t>（2）数据安全自查</w:t>
      </w:r>
    </w:p>
    <w:p w14:paraId="3E155668">
      <w:pPr>
        <w:bidi w:val="0"/>
        <w:spacing w:before="50" w:beforeLines="50" w:after="50" w:afterLines="50" w:line="360" w:lineRule="auto"/>
        <w:ind w:firstLine="480" w:firstLineChars="200"/>
        <w:rPr>
          <w:rFonts w:hint="default" w:ascii="宋体" w:hAnsi="等线" w:eastAsia="宋体" w:cs="Times New Roman"/>
          <w:color w:val="auto"/>
          <w:sz w:val="24"/>
          <w:lang w:val="en-US" w:eastAsia="zh-CN"/>
        </w:rPr>
      </w:pPr>
      <w:r>
        <w:rPr>
          <w:rFonts w:hint="eastAsia" w:ascii="宋体" w:hAnsi="等线" w:eastAsia="宋体" w:cs="Times New Roman"/>
          <w:color w:val="auto"/>
          <w:sz w:val="24"/>
          <w:lang w:val="en-US" w:eastAsia="zh-CN"/>
        </w:rPr>
        <w:t>依据数据安全相关法规条例，从数据全生命周期维度制定数据安全自查项，覆盖数据安全风险管理、数据处理活动（包括但不限于安全管理及技术保障）两方面，每年至少开展两次数据安全自查工作，输出《福建省水利厅数据安全自查报告》。</w:t>
      </w:r>
    </w:p>
    <w:p w14:paraId="0CD2680D">
      <w:pPr>
        <w:bidi w:val="0"/>
        <w:spacing w:before="50" w:beforeLines="50" w:after="50" w:afterLines="50" w:line="360" w:lineRule="auto"/>
        <w:ind w:firstLine="480" w:firstLineChars="200"/>
        <w:outlineLvl w:val="2"/>
        <w:rPr>
          <w:rFonts w:hint="eastAsia" w:ascii="宋体" w:hAnsi="等线" w:eastAsia="宋体" w:cs="Times New Roman"/>
          <w:color w:val="auto"/>
          <w:sz w:val="24"/>
          <w:lang w:val="en-US" w:eastAsia="zh-CN"/>
        </w:rPr>
      </w:pPr>
      <w:r>
        <w:rPr>
          <w:rFonts w:hint="eastAsia" w:ascii="宋体" w:hAnsi="等线" w:eastAsia="宋体" w:cs="Times New Roman"/>
          <w:color w:val="auto"/>
          <w:sz w:val="24"/>
          <w:lang w:val="en-US" w:eastAsia="zh-CN"/>
        </w:rPr>
        <w:t>（3）数据安全风险监测分析</w:t>
      </w:r>
    </w:p>
    <w:p w14:paraId="5BBDFFF2">
      <w:pPr>
        <w:bidi w:val="0"/>
        <w:spacing w:before="50" w:beforeLines="50" w:after="50" w:afterLines="50" w:line="360" w:lineRule="auto"/>
        <w:ind w:firstLine="480" w:firstLineChars="200"/>
        <w:outlineLvl w:val="2"/>
        <w:rPr>
          <w:rFonts w:hint="eastAsia" w:ascii="宋体" w:hAnsi="等线" w:eastAsia="宋体" w:cs="Times New Roman"/>
          <w:color w:val="auto"/>
          <w:sz w:val="24"/>
          <w:lang w:val="en-US" w:eastAsia="zh-CN"/>
        </w:rPr>
      </w:pPr>
      <w:r>
        <w:rPr>
          <w:rFonts w:hint="eastAsia" w:ascii="宋体" w:hAnsi="等线" w:eastAsia="宋体" w:cs="Times New Roman"/>
          <w:color w:val="auto"/>
          <w:sz w:val="24"/>
          <w:lang w:val="en-US" w:eastAsia="zh-CN"/>
        </w:rPr>
        <w:t>服务期内须持续开展数据安全风险监测分析，分析本周期内我厅重要系统的网络流量，建立完善数据画像，完成应用资产建模，构建目标区域主要应用数据流转路径测绘。对发现的数据流转风险进行分析处置，根据数据流转风险及目标区域业务特点制定风险监测策略，识别潜在的数据流转风险。</w:t>
      </w:r>
    </w:p>
    <w:p w14:paraId="3A509D53">
      <w:pPr>
        <w:bidi w:val="0"/>
        <w:spacing w:before="50" w:beforeLines="50" w:after="50" w:afterLines="50" w:line="360" w:lineRule="auto"/>
        <w:ind w:firstLine="480" w:firstLineChars="200"/>
        <w:outlineLvl w:val="2"/>
        <w:rPr>
          <w:rFonts w:hint="default" w:ascii="宋体" w:hAnsi="等线" w:eastAsia="宋体" w:cs="Times New Roman"/>
          <w:color w:val="auto"/>
          <w:sz w:val="24"/>
          <w:lang w:val="en-US" w:eastAsia="zh-CN"/>
        </w:rPr>
      </w:pPr>
      <w:r>
        <w:rPr>
          <w:rFonts w:hint="eastAsia" w:ascii="宋体" w:hAnsi="等线" w:eastAsia="宋体" w:cs="Times New Roman"/>
          <w:color w:val="auto"/>
          <w:sz w:val="24"/>
          <w:lang w:val="en-US" w:eastAsia="zh-CN"/>
        </w:rPr>
        <w:t>（4）补充完善数据安全管理制度体系</w:t>
      </w:r>
    </w:p>
    <w:p w14:paraId="04B5F569">
      <w:pPr>
        <w:spacing w:before="50" w:beforeLines="50" w:after="50" w:afterLines="50" w:line="360" w:lineRule="auto"/>
        <w:ind w:firstLine="480" w:firstLineChars="200"/>
        <w:rPr>
          <w:rFonts w:hint="default" w:ascii="宋体" w:hAnsi="等线" w:eastAsia="宋体" w:cs="Times New Roman"/>
          <w:color w:val="auto"/>
          <w:sz w:val="24"/>
          <w:lang w:val="en-US" w:eastAsia="zh-CN"/>
        </w:rPr>
      </w:pPr>
      <w:r>
        <w:rPr>
          <w:rFonts w:hint="eastAsia" w:ascii="宋体" w:hAnsi="等线" w:eastAsia="宋体" w:cs="Times New Roman"/>
          <w:color w:val="auto"/>
          <w:sz w:val="24"/>
          <w:lang w:val="en-US" w:eastAsia="zh-CN"/>
        </w:rPr>
        <w:t>依据《中华人民共和国数据安全法》、《中华人民共和国个人信息保护法》、《网络数据安全管理条例》以及《关键信息基础设施保护条例》等相关法律法规和条例的具体规定，在现有已经建立的数据安全管理制度体系的基础上，进一步进行深入优化和全面完善。具体措施包括但不限于对数据安全管理组织机构的结构进行调整和强化，确保其能够更高效地履行职责；同时，对数据安全管理制度体系进行细致的梳理和补充，确保各项制度不仅符合最新的法律法规要求，还能在实际操作中发挥应有的作用，从而全面提升数据安全管理的整体水平和效能。</w:t>
      </w:r>
    </w:p>
    <w:p w14:paraId="6F47FA59">
      <w:pPr>
        <w:spacing w:before="50" w:beforeLines="50" w:after="50" w:afterLines="50" w:line="360" w:lineRule="auto"/>
        <w:ind w:firstLine="482" w:firstLineChars="200"/>
        <w:outlineLvl w:val="1"/>
        <w:rPr>
          <w:rFonts w:hint="default" w:ascii="宋体" w:hAnsi="等线" w:eastAsia="宋体" w:cs="Times New Roman"/>
          <w:b/>
          <w:bCs/>
          <w:color w:val="auto"/>
          <w:sz w:val="24"/>
          <w:lang w:val="en-US" w:eastAsia="zh-CN"/>
        </w:rPr>
      </w:pPr>
      <w:bookmarkStart w:id="6" w:name="_Toc26628"/>
      <w:r>
        <w:rPr>
          <w:rFonts w:hint="eastAsia" w:ascii="宋体" w:hAnsi="等线" w:eastAsia="宋体" w:cs="Times New Roman"/>
          <w:b/>
          <w:bCs/>
          <w:color w:val="auto"/>
          <w:sz w:val="24"/>
          <w:lang w:val="en-US" w:eastAsia="zh-CN"/>
        </w:rPr>
        <w:t>4.</w:t>
      </w:r>
      <w:r>
        <w:rPr>
          <w:rFonts w:hint="default" w:ascii="宋体" w:hAnsi="等线" w:eastAsia="宋体" w:cs="Times New Roman"/>
          <w:b/>
          <w:bCs/>
          <w:color w:val="auto"/>
          <w:sz w:val="24"/>
          <w:lang w:val="en-US" w:eastAsia="zh-CN"/>
        </w:rPr>
        <w:t>数据库流量</w:t>
      </w:r>
      <w:r>
        <w:rPr>
          <w:rFonts w:hint="eastAsia" w:ascii="宋体" w:hAnsi="等线" w:eastAsia="宋体" w:cs="Times New Roman"/>
          <w:b/>
          <w:bCs/>
          <w:color w:val="auto"/>
          <w:sz w:val="24"/>
          <w:lang w:val="en-US" w:eastAsia="zh-CN"/>
        </w:rPr>
        <w:t>审计</w:t>
      </w:r>
      <w:r>
        <w:rPr>
          <w:rFonts w:hint="default" w:ascii="宋体" w:hAnsi="等线" w:eastAsia="宋体" w:cs="Times New Roman"/>
          <w:b/>
          <w:bCs/>
          <w:color w:val="auto"/>
          <w:sz w:val="24"/>
          <w:lang w:val="en-US" w:eastAsia="zh-CN"/>
        </w:rPr>
        <w:t>与API流量监控服务</w:t>
      </w:r>
      <w:bookmarkEnd w:id="6"/>
    </w:p>
    <w:p w14:paraId="06736762">
      <w:pPr>
        <w:numPr>
          <w:ilvl w:val="0"/>
          <w:numId w:val="0"/>
        </w:numPr>
        <w:bidi w:val="0"/>
        <w:spacing w:before="50" w:beforeLines="50" w:after="50" w:afterLines="50" w:line="360" w:lineRule="auto"/>
        <w:ind w:firstLine="420" w:firstLineChars="0"/>
        <w:rPr>
          <w:rFonts w:hint="default" w:ascii="宋体" w:hAnsi="等线" w:eastAsia="宋体" w:cs="Times New Roman"/>
          <w:color w:val="auto"/>
          <w:sz w:val="24"/>
          <w:lang w:val="en-US" w:eastAsia="zh-CN"/>
        </w:rPr>
      </w:pPr>
      <w:r>
        <w:rPr>
          <w:rFonts w:hint="eastAsia" w:ascii="宋体" w:hAnsi="等线" w:eastAsia="宋体" w:cs="Times New Roman"/>
          <w:color w:val="auto"/>
          <w:sz w:val="24"/>
          <w:lang w:val="en-US" w:eastAsia="zh-CN"/>
        </w:rPr>
        <w:t>检测数据库及API流量</w:t>
      </w:r>
      <w:r>
        <w:rPr>
          <w:rFonts w:hint="eastAsia" w:ascii="宋体" w:hAnsi="等线" w:eastAsia="宋体" w:cs="Times New Roman"/>
          <w:color w:val="auto"/>
          <w:sz w:val="24"/>
        </w:rPr>
        <w:t>，发现数据</w:t>
      </w:r>
      <w:r>
        <w:rPr>
          <w:rFonts w:hint="eastAsia" w:ascii="宋体" w:hAnsi="等线" w:eastAsia="宋体" w:cs="Times New Roman"/>
          <w:color w:val="auto"/>
          <w:sz w:val="24"/>
          <w:lang w:val="en-US" w:eastAsia="zh-CN"/>
        </w:rPr>
        <w:t>库及API</w:t>
      </w:r>
      <w:r>
        <w:rPr>
          <w:rFonts w:hint="eastAsia" w:ascii="宋体" w:hAnsi="等线" w:eastAsia="宋体" w:cs="Times New Roman"/>
          <w:color w:val="auto"/>
          <w:sz w:val="24"/>
        </w:rPr>
        <w:t>风险</w:t>
      </w:r>
      <w:r>
        <w:rPr>
          <w:rFonts w:hint="eastAsia" w:ascii="宋体" w:hAnsi="等线" w:eastAsia="宋体" w:cs="Times New Roman"/>
          <w:color w:val="auto"/>
          <w:sz w:val="24"/>
          <w:lang w:eastAsia="zh-CN"/>
        </w:rPr>
        <w:t>，</w:t>
      </w:r>
      <w:r>
        <w:rPr>
          <w:rFonts w:hint="eastAsia" w:ascii="宋体" w:hAnsi="等线" w:eastAsia="宋体" w:cs="Times New Roman"/>
          <w:color w:val="auto"/>
          <w:sz w:val="24"/>
          <w:lang w:val="en-US" w:eastAsia="zh-CN"/>
        </w:rPr>
        <w:t>及时进行预警处理。须配备系统平台以提供相关监控、预警等服务</w:t>
      </w:r>
      <w:r>
        <w:rPr>
          <w:rFonts w:hint="eastAsia" w:ascii="宋体" w:hAnsi="等线" w:eastAsia="宋体" w:cs="Times New Roman"/>
          <w:color w:val="auto"/>
          <w:sz w:val="24"/>
        </w:rPr>
        <w:t>。</w:t>
      </w:r>
      <w:r>
        <w:rPr>
          <w:rFonts w:hint="eastAsia" w:ascii="宋体" w:hAnsi="等线" w:eastAsia="宋体" w:cs="Times New Roman"/>
          <w:b w:val="0"/>
          <w:bCs w:val="0"/>
          <w:color w:val="auto"/>
          <w:sz w:val="24"/>
          <w:lang w:val="en-US" w:eastAsia="zh-CN"/>
        </w:rPr>
        <w:t>每季度输出</w:t>
      </w:r>
      <w:r>
        <w:rPr>
          <w:rFonts w:hint="eastAsia" w:ascii="宋体" w:hAnsi="等线" w:eastAsia="宋体" w:cs="Times New Roman"/>
          <w:color w:val="auto"/>
          <w:sz w:val="24"/>
        </w:rPr>
        <w:t>《</w:t>
      </w:r>
      <w:r>
        <w:rPr>
          <w:rFonts w:hint="eastAsia" w:ascii="宋体" w:hAnsi="等线" w:eastAsia="宋体" w:cs="Times New Roman"/>
          <w:color w:val="auto"/>
          <w:sz w:val="24"/>
          <w:lang w:val="en-US" w:eastAsia="zh-CN"/>
        </w:rPr>
        <w:t>数据库流量审计风险跟踪情况表</w:t>
      </w:r>
      <w:r>
        <w:rPr>
          <w:rFonts w:hint="eastAsia" w:ascii="宋体" w:hAnsi="等线" w:eastAsia="宋体" w:cs="Times New Roman"/>
          <w:color w:val="auto"/>
          <w:sz w:val="24"/>
        </w:rPr>
        <w:t>》</w:t>
      </w:r>
      <w:r>
        <w:rPr>
          <w:rFonts w:hint="eastAsia" w:ascii="宋体" w:hAnsi="等线" w:eastAsia="宋体" w:cs="Times New Roman"/>
          <w:color w:val="auto"/>
          <w:sz w:val="24"/>
          <w:lang w:val="en-US" w:eastAsia="zh-CN"/>
        </w:rPr>
        <w:t>及《</w:t>
      </w:r>
      <w:r>
        <w:rPr>
          <w:rFonts w:hint="default" w:ascii="宋体" w:hAnsi="等线" w:eastAsia="宋体" w:cs="Times New Roman"/>
          <w:color w:val="auto"/>
          <w:sz w:val="24"/>
          <w:lang w:val="en-US" w:eastAsia="zh-CN"/>
        </w:rPr>
        <w:t>API流量监控</w:t>
      </w:r>
      <w:r>
        <w:rPr>
          <w:rFonts w:hint="eastAsia" w:ascii="宋体" w:hAnsi="等线" w:eastAsia="宋体" w:cs="Times New Roman"/>
          <w:color w:val="auto"/>
          <w:sz w:val="24"/>
          <w:lang w:val="en-US" w:eastAsia="zh-CN"/>
        </w:rPr>
        <w:t>风险跟踪情况表》。</w:t>
      </w:r>
      <w:r>
        <w:rPr>
          <w:rFonts w:hint="eastAsia" w:ascii="宋体" w:hAnsi="等线" w:eastAsia="宋体" w:cs="Times New Roman"/>
          <w:b/>
          <w:bCs/>
          <w:color w:val="auto"/>
          <w:sz w:val="24"/>
          <w:lang w:val="en-US" w:eastAsia="zh-CN"/>
        </w:rPr>
        <w:t>数据库流量监控与API流量监控服务配套工具须支持当前云环境以及国产化环境部署，数据库流量监控须支持对国产数据库流量监控。</w:t>
      </w:r>
    </w:p>
    <w:p w14:paraId="200A4513">
      <w:pPr>
        <w:numPr>
          <w:ilvl w:val="0"/>
          <w:numId w:val="0"/>
        </w:numPr>
        <w:bidi w:val="0"/>
        <w:spacing w:before="50" w:beforeLines="50" w:after="50" w:afterLines="50" w:line="360" w:lineRule="auto"/>
        <w:ind w:firstLine="420" w:firstLineChars="0"/>
        <w:rPr>
          <w:rFonts w:hint="eastAsia" w:ascii="宋体" w:hAnsi="等线" w:eastAsia="宋体" w:cs="Times New Roman"/>
          <w:color w:val="auto"/>
          <w:sz w:val="24"/>
          <w:lang w:val="en-US" w:eastAsia="zh-CN"/>
        </w:rPr>
      </w:pPr>
      <w:r>
        <w:rPr>
          <w:rFonts w:hint="eastAsia" w:ascii="宋体" w:hAnsi="等线" w:eastAsia="宋体" w:cs="Times New Roman"/>
          <w:color w:val="auto"/>
          <w:sz w:val="24"/>
          <w:lang w:val="en-US" w:eastAsia="zh-CN"/>
        </w:rPr>
        <w:t>（1）数据库流量审计</w:t>
      </w:r>
    </w:p>
    <w:p w14:paraId="058A354D">
      <w:pPr>
        <w:spacing w:before="156" w:beforeLines="50" w:after="156" w:afterLines="50" w:line="360" w:lineRule="auto"/>
        <w:ind w:firstLine="480" w:firstLineChars="200"/>
        <w:rPr>
          <w:rFonts w:hint="default" w:ascii="宋体" w:hAnsi="等线" w:eastAsia="宋体" w:cs="Times New Roman"/>
          <w:color w:val="auto"/>
          <w:sz w:val="24"/>
          <w:lang w:eastAsia="zh-CN"/>
        </w:rPr>
      </w:pPr>
      <w:r>
        <w:rPr>
          <w:rFonts w:hint="eastAsia" w:ascii="宋体" w:hAnsi="等线" w:eastAsia="宋体" w:cs="Times New Roman"/>
          <w:color w:val="auto"/>
          <w:sz w:val="24"/>
          <w:lang w:val="en-US" w:eastAsia="zh-CN"/>
        </w:rPr>
        <w:t>数据资源画像。</w:t>
      </w:r>
      <w:r>
        <w:rPr>
          <w:rFonts w:hint="eastAsia" w:ascii="宋体" w:hAnsi="等线" w:eastAsia="宋体" w:cs="Times New Roman"/>
          <w:color w:val="auto"/>
          <w:sz w:val="24"/>
        </w:rPr>
        <w:t>通过流量解析对数据资源进行全面测绘形成数据资源画像，内容包括但不限于</w:t>
      </w:r>
      <w:r>
        <w:rPr>
          <w:rFonts w:ascii="宋体" w:hAnsi="等线" w:eastAsia="宋体" w:cs="Times New Roman"/>
          <w:color w:val="auto"/>
          <w:sz w:val="24"/>
        </w:rPr>
        <w:t>资源的基础信息：承载环境，部署IP，数据类型、账号</w:t>
      </w:r>
      <w:r>
        <w:rPr>
          <w:rFonts w:hint="eastAsia" w:ascii="宋体" w:hAnsi="等线" w:eastAsia="宋体" w:cs="Times New Roman"/>
          <w:color w:val="auto"/>
          <w:sz w:val="24"/>
          <w:lang w:val="en-US" w:eastAsia="zh-CN"/>
        </w:rPr>
        <w:t>数量</w:t>
      </w:r>
      <w:r>
        <w:rPr>
          <w:rFonts w:ascii="宋体" w:hAnsi="等线" w:eastAsia="宋体" w:cs="Times New Roman"/>
          <w:color w:val="auto"/>
          <w:sz w:val="24"/>
        </w:rPr>
        <w:t>等；资源的涉敏访问情况，包括日均流入/流出数据量、访问IP数、待处置风险等；资源的安全指标、风险趋势、风险治理/分布、风险主体TOP、接口分布、访问位置分布等内容</w:t>
      </w:r>
      <w:r>
        <w:rPr>
          <w:rFonts w:hint="eastAsia" w:ascii="宋体" w:hAnsi="等线" w:eastAsia="宋体" w:cs="Times New Roman"/>
          <w:color w:val="auto"/>
          <w:sz w:val="24"/>
          <w:lang w:eastAsia="zh-CN"/>
        </w:rPr>
        <w:t>。</w:t>
      </w:r>
      <w:r>
        <w:rPr>
          <w:rFonts w:hint="eastAsia" w:ascii="宋体" w:hAnsi="等线" w:eastAsia="宋体" w:cs="Times New Roman"/>
          <w:color w:val="auto"/>
          <w:sz w:val="24"/>
          <w:lang w:val="en-US" w:eastAsia="zh-CN"/>
        </w:rPr>
        <w:t>分析</w:t>
      </w:r>
      <w:r>
        <w:rPr>
          <w:rFonts w:ascii="宋体" w:hAnsi="等线" w:eastAsia="宋体" w:cs="Times New Roman"/>
          <w:color w:val="auto"/>
          <w:sz w:val="24"/>
        </w:rPr>
        <w:t>数据被什么用户使用，通过什么方式使用数据，使用了什么数据等，构建数据流转全景图。</w:t>
      </w:r>
    </w:p>
    <w:p w14:paraId="74EA71DC">
      <w:pPr>
        <w:numPr>
          <w:ilvl w:val="0"/>
          <w:numId w:val="0"/>
        </w:numPr>
        <w:bidi w:val="0"/>
        <w:spacing w:before="50" w:beforeLines="50" w:after="50" w:afterLines="50" w:line="360" w:lineRule="auto"/>
        <w:ind w:firstLine="420" w:firstLineChars="0"/>
        <w:rPr>
          <w:rFonts w:hint="default" w:ascii="宋体" w:hAnsi="等线" w:eastAsia="宋体" w:cs="Times New Roman"/>
          <w:color w:val="auto"/>
          <w:sz w:val="24"/>
          <w:lang w:val="en-US" w:eastAsia="zh-CN"/>
        </w:rPr>
      </w:pPr>
      <w:r>
        <w:rPr>
          <w:rFonts w:hint="eastAsia" w:ascii="宋体" w:hAnsi="等线" w:eastAsia="宋体" w:cs="Times New Roman"/>
          <w:color w:val="auto"/>
          <w:sz w:val="24"/>
          <w:lang w:val="en-US" w:eastAsia="zh-CN"/>
        </w:rPr>
        <w:t>风险检测及预警。通过数据库流量，</w:t>
      </w:r>
      <w:r>
        <w:rPr>
          <w:rFonts w:ascii="宋体" w:hAnsi="等线" w:eastAsia="宋体" w:cs="Times New Roman"/>
          <w:color w:val="auto"/>
          <w:sz w:val="24"/>
        </w:rPr>
        <w:t>捕捉操作细节（如执行时间、用户身份和SQL语句），形成审计日志，用于事后追溯和问题定位‌</w:t>
      </w:r>
      <w:r>
        <w:rPr>
          <w:rFonts w:hint="eastAsia" w:ascii="宋体" w:hAnsi="等线" w:eastAsia="宋体" w:cs="Times New Roman"/>
          <w:color w:val="auto"/>
          <w:sz w:val="24"/>
          <w:lang w:eastAsia="zh-CN"/>
        </w:rPr>
        <w:t>；</w:t>
      </w:r>
      <w:r>
        <w:rPr>
          <w:rFonts w:ascii="宋体" w:hAnsi="等线" w:eastAsia="宋体" w:cs="Times New Roman"/>
          <w:color w:val="auto"/>
          <w:sz w:val="24"/>
        </w:rPr>
        <w:t>检测高危操作（如非法删库</w:t>
      </w:r>
      <w:r>
        <w:rPr>
          <w:rFonts w:hint="eastAsia" w:ascii="宋体" w:hAnsi="等线" w:eastAsia="宋体" w:cs="Times New Roman"/>
          <w:color w:val="auto"/>
          <w:sz w:val="24"/>
          <w:lang w:eastAsia="zh-CN"/>
        </w:rPr>
        <w:t>、</w:t>
      </w:r>
      <w:r>
        <w:rPr>
          <w:rFonts w:hint="eastAsia" w:ascii="宋体" w:hAnsi="等线" w:eastAsia="宋体" w:cs="Times New Roman"/>
          <w:color w:val="auto"/>
          <w:sz w:val="24"/>
          <w:lang w:val="en-US" w:eastAsia="zh-CN"/>
        </w:rPr>
        <w:t>越权操作</w:t>
      </w:r>
      <w:r>
        <w:rPr>
          <w:rFonts w:ascii="宋体" w:hAnsi="等线" w:eastAsia="宋体" w:cs="Times New Roman"/>
          <w:color w:val="auto"/>
          <w:sz w:val="24"/>
        </w:rPr>
        <w:t>或权限变更）、异常数据传输（如大流量泄露）</w:t>
      </w:r>
      <w:r>
        <w:rPr>
          <w:rFonts w:hint="eastAsia" w:ascii="宋体" w:hAnsi="等线" w:eastAsia="宋体" w:cs="Times New Roman"/>
          <w:color w:val="auto"/>
          <w:sz w:val="24"/>
          <w:lang w:eastAsia="zh-CN"/>
        </w:rPr>
        <w:t>、</w:t>
      </w:r>
      <w:r>
        <w:rPr>
          <w:rFonts w:hint="eastAsia" w:ascii="宋体" w:hAnsi="等线" w:eastAsia="宋体" w:cs="Times New Roman"/>
          <w:color w:val="auto"/>
          <w:sz w:val="24"/>
          <w:lang w:val="en-US" w:eastAsia="zh-CN"/>
        </w:rPr>
        <w:t>数据涉敏</w:t>
      </w:r>
      <w:r>
        <w:rPr>
          <w:rFonts w:ascii="宋体" w:hAnsi="等线" w:eastAsia="宋体" w:cs="Times New Roman"/>
          <w:color w:val="auto"/>
          <w:sz w:val="24"/>
        </w:rPr>
        <w:t>以及性能瓶颈分析</w:t>
      </w:r>
      <w:r>
        <w:rPr>
          <w:rFonts w:hint="eastAsia" w:ascii="宋体" w:hAnsi="等线" w:eastAsia="宋体" w:cs="Times New Roman"/>
          <w:color w:val="auto"/>
          <w:sz w:val="24"/>
          <w:lang w:val="en-US" w:eastAsia="zh-CN"/>
        </w:rPr>
        <w:t>等</w:t>
      </w:r>
      <w:r>
        <w:rPr>
          <w:rFonts w:hint="eastAsia" w:ascii="宋体" w:hAnsi="等线" w:eastAsia="宋体" w:cs="Times New Roman"/>
          <w:color w:val="auto"/>
          <w:sz w:val="24"/>
          <w:lang w:eastAsia="zh-CN"/>
        </w:rPr>
        <w:t>，</w:t>
      </w:r>
      <w:r>
        <w:rPr>
          <w:rFonts w:ascii="宋体" w:hAnsi="等线" w:eastAsia="宋体" w:cs="Times New Roman"/>
          <w:color w:val="auto"/>
          <w:sz w:val="24"/>
        </w:rPr>
        <w:t>‌</w:t>
      </w:r>
      <w:r>
        <w:rPr>
          <w:rFonts w:hint="eastAsia" w:ascii="宋体" w:hAnsi="等线" w:eastAsia="宋体" w:cs="Times New Roman"/>
          <w:color w:val="auto"/>
          <w:sz w:val="24"/>
          <w:lang w:val="en-US" w:eastAsia="zh-CN"/>
        </w:rPr>
        <w:t>并提供实时预警提醒能力（邮件、短信通知等渠道）。</w:t>
      </w:r>
    </w:p>
    <w:p w14:paraId="21AA4B2D">
      <w:pPr>
        <w:numPr>
          <w:ilvl w:val="0"/>
          <w:numId w:val="0"/>
        </w:numPr>
        <w:bidi w:val="0"/>
        <w:spacing w:before="50" w:beforeLines="50" w:after="50" w:afterLines="50" w:line="360" w:lineRule="auto"/>
        <w:ind w:firstLine="420" w:firstLineChars="0"/>
        <w:rPr>
          <w:rFonts w:hint="default" w:ascii="宋体" w:hAnsi="等线" w:eastAsia="宋体" w:cs="Times New Roman"/>
          <w:color w:val="auto"/>
          <w:sz w:val="24"/>
          <w:lang w:val="en-US" w:eastAsia="zh-CN"/>
        </w:rPr>
      </w:pPr>
      <w:r>
        <w:rPr>
          <w:rFonts w:hint="eastAsia" w:ascii="宋体" w:hAnsi="等线" w:eastAsia="宋体" w:cs="Times New Roman"/>
          <w:color w:val="auto"/>
          <w:sz w:val="24"/>
          <w:lang w:val="en-US" w:eastAsia="zh-CN"/>
        </w:rPr>
        <w:t>（2）API流量监控</w:t>
      </w:r>
    </w:p>
    <w:p w14:paraId="16F8B1BC">
      <w:pPr>
        <w:spacing w:before="156" w:beforeLines="50" w:after="156" w:afterLines="50" w:line="360" w:lineRule="auto"/>
        <w:ind w:firstLine="480" w:firstLineChars="200"/>
        <w:rPr>
          <w:rFonts w:ascii="宋体" w:hAnsi="等线" w:eastAsia="宋体" w:cs="Times New Roman"/>
          <w:color w:val="auto"/>
          <w:sz w:val="24"/>
        </w:rPr>
      </w:pPr>
      <w:r>
        <w:rPr>
          <w:rFonts w:ascii="宋体" w:hAnsi="等线" w:eastAsia="宋体" w:cs="Times New Roman"/>
          <w:color w:val="auto"/>
          <w:sz w:val="24"/>
        </w:rPr>
        <w:t>API接口画像</w:t>
      </w:r>
      <w:r>
        <w:rPr>
          <w:rFonts w:hint="eastAsia" w:ascii="宋体" w:hAnsi="等线" w:eastAsia="宋体" w:cs="Times New Roman"/>
          <w:color w:val="auto"/>
          <w:sz w:val="24"/>
          <w:lang w:eastAsia="zh-CN"/>
        </w:rPr>
        <w:t>。</w:t>
      </w:r>
      <w:r>
        <w:rPr>
          <w:rFonts w:hint="eastAsia" w:ascii="宋体" w:hAnsi="等线" w:eastAsia="宋体" w:cs="Times New Roman"/>
          <w:color w:val="auto"/>
          <w:sz w:val="24"/>
          <w:lang w:val="en-US" w:eastAsia="zh-CN"/>
        </w:rPr>
        <w:t>在API资产梳理基础上，结合</w:t>
      </w:r>
      <w:r>
        <w:rPr>
          <w:rFonts w:hint="eastAsia" w:ascii="宋体" w:hAnsi="等线" w:eastAsia="宋体" w:cs="Times New Roman"/>
          <w:color w:val="auto"/>
          <w:sz w:val="24"/>
        </w:rPr>
        <w:t>流量解析对</w:t>
      </w:r>
      <w:r>
        <w:rPr>
          <w:rFonts w:ascii="宋体" w:hAnsi="等线" w:eastAsia="宋体" w:cs="Times New Roman"/>
          <w:color w:val="auto"/>
          <w:sz w:val="24"/>
        </w:rPr>
        <w:t>API接口进行全面测绘形成API接口画像，内容包括但不限于接口的基础信息，包括所属应用，承载环境，数据格式，请求/响应数据类型等；接口的涉敏访问情况，包括日均流入/流出数据量、日均访问次数、待处置风险等；接口的安全指标、风险趋势、风险治理分布、数据流动趋势、访问位置分布等内容。分析并记录API接口调用过程，包括数据被什么用户使用，通过什么方式使用数据，使用了什么数据等，构建数据流转全景图。</w:t>
      </w:r>
    </w:p>
    <w:p w14:paraId="337F3ED3">
      <w:pPr>
        <w:numPr>
          <w:ilvl w:val="0"/>
          <w:numId w:val="0"/>
        </w:numPr>
        <w:bidi w:val="0"/>
        <w:spacing w:before="50" w:beforeLines="50" w:after="50" w:afterLines="50" w:line="360" w:lineRule="auto"/>
        <w:ind w:firstLine="420" w:firstLineChars="0"/>
        <w:rPr>
          <w:rFonts w:hint="eastAsia" w:ascii="宋体" w:hAnsi="等线" w:eastAsia="宋体" w:cs="Times New Roman"/>
          <w:color w:val="auto"/>
          <w:sz w:val="24"/>
          <w:lang w:val="en-US" w:eastAsia="zh-CN"/>
        </w:rPr>
      </w:pPr>
      <w:r>
        <w:rPr>
          <w:rFonts w:hint="eastAsia" w:ascii="宋体" w:hAnsi="等线" w:eastAsia="宋体" w:cs="Times New Roman"/>
          <w:color w:val="auto"/>
          <w:sz w:val="24"/>
          <w:lang w:val="en-US" w:eastAsia="zh-CN"/>
        </w:rPr>
        <w:t>风险检测及预警。通过流量分析，</w:t>
      </w:r>
      <w:r>
        <w:rPr>
          <w:rFonts w:ascii="宋体" w:hAnsi="等线" w:eastAsia="宋体" w:cs="Times New Roman"/>
          <w:color w:val="auto"/>
          <w:sz w:val="24"/>
        </w:rPr>
        <w:t>识别高频调用、异常IP访问、越权操作或注入攻击</w:t>
      </w:r>
      <w:r>
        <w:rPr>
          <w:rFonts w:hint="eastAsia" w:ascii="宋体" w:hAnsi="等线" w:eastAsia="宋体" w:cs="Times New Roman"/>
          <w:color w:val="auto"/>
          <w:sz w:val="24"/>
          <w:lang w:eastAsia="zh-CN"/>
        </w:rPr>
        <w:t>、</w:t>
      </w:r>
      <w:r>
        <w:rPr>
          <w:rFonts w:ascii="宋体" w:hAnsi="等线" w:eastAsia="宋体" w:cs="Times New Roman"/>
          <w:color w:val="auto"/>
          <w:sz w:val="24"/>
        </w:rPr>
        <w:t>异常数据传输</w:t>
      </w:r>
      <w:r>
        <w:rPr>
          <w:rFonts w:hint="eastAsia" w:ascii="宋体" w:hAnsi="等线" w:eastAsia="宋体" w:cs="Times New Roman"/>
          <w:color w:val="auto"/>
          <w:sz w:val="24"/>
          <w:lang w:val="en-US" w:eastAsia="zh-CN"/>
        </w:rPr>
        <w:t>等数据安全等风险</w:t>
      </w:r>
      <w:r>
        <w:rPr>
          <w:rFonts w:ascii="宋体" w:hAnsi="等线" w:eastAsia="宋体" w:cs="Times New Roman"/>
          <w:color w:val="auto"/>
          <w:sz w:val="24"/>
        </w:rPr>
        <w:t>‌</w:t>
      </w:r>
      <w:r>
        <w:rPr>
          <w:rFonts w:hint="eastAsia" w:ascii="宋体" w:hAnsi="等线" w:eastAsia="宋体" w:cs="Times New Roman"/>
          <w:color w:val="auto"/>
          <w:sz w:val="24"/>
          <w:lang w:eastAsia="zh-CN"/>
        </w:rPr>
        <w:t>；</w:t>
      </w:r>
      <w:r>
        <w:rPr>
          <w:rFonts w:ascii="宋体" w:hAnsi="等线" w:eastAsia="宋体" w:cs="Times New Roman"/>
          <w:color w:val="auto"/>
          <w:sz w:val="24"/>
        </w:rPr>
        <w:t>追踪API调用全链路，记录请求参数、响应结果、用户身份及数据流向，生成可追溯日志</w:t>
      </w:r>
      <w:r>
        <w:rPr>
          <w:rFonts w:hint="eastAsia" w:ascii="宋体" w:hAnsi="等线" w:eastAsia="宋体" w:cs="Times New Roman"/>
          <w:color w:val="auto"/>
          <w:sz w:val="24"/>
          <w:lang w:eastAsia="zh-CN"/>
        </w:rPr>
        <w:t>；</w:t>
      </w:r>
      <w:r>
        <w:rPr>
          <w:rFonts w:hint="eastAsia" w:ascii="宋体" w:hAnsi="等线" w:eastAsia="宋体" w:cs="Times New Roman"/>
          <w:color w:val="auto"/>
          <w:sz w:val="24"/>
          <w:lang w:val="en-US" w:eastAsia="zh-CN"/>
        </w:rPr>
        <w:t>识别API调用过程中重要数据、个人信息使用是否合规，</w:t>
      </w:r>
      <w:r>
        <w:rPr>
          <w:rFonts w:ascii="宋体" w:hAnsi="等线" w:eastAsia="宋体" w:cs="Times New Roman"/>
          <w:color w:val="auto"/>
          <w:sz w:val="24"/>
        </w:rPr>
        <w:t>实现API资产与敏感数据的自动关联‌</w:t>
      </w:r>
      <w:r>
        <w:rPr>
          <w:rFonts w:hint="eastAsia" w:ascii="宋体" w:hAnsi="等线" w:eastAsia="宋体" w:cs="Times New Roman"/>
          <w:color w:val="auto"/>
          <w:sz w:val="24"/>
          <w:lang w:val="en-US" w:eastAsia="zh-CN"/>
        </w:rPr>
        <w:t>；</w:t>
      </w:r>
      <w:r>
        <w:rPr>
          <w:rFonts w:ascii="宋体" w:hAnsi="等线" w:eastAsia="宋体" w:cs="Times New Roman"/>
          <w:color w:val="auto"/>
          <w:sz w:val="24"/>
        </w:rPr>
        <w:t>‌</w:t>
      </w:r>
      <w:r>
        <w:rPr>
          <w:rFonts w:hint="eastAsia" w:ascii="宋体" w:hAnsi="等线" w:eastAsia="宋体" w:cs="Times New Roman"/>
          <w:color w:val="auto"/>
          <w:sz w:val="24"/>
          <w:lang w:val="en-US" w:eastAsia="zh-CN"/>
        </w:rPr>
        <w:t>并提供实时预警提醒能力（邮件、短信通知等渠道）。</w:t>
      </w:r>
    </w:p>
    <w:p w14:paraId="5EC4A2C6">
      <w:pPr>
        <w:spacing w:before="50" w:beforeLines="50" w:after="50" w:afterLines="50" w:line="360" w:lineRule="auto"/>
        <w:ind w:firstLine="482" w:firstLineChars="200"/>
        <w:outlineLvl w:val="1"/>
        <w:rPr>
          <w:rFonts w:hint="default" w:ascii="宋体" w:hAnsi="等线" w:eastAsia="宋体" w:cs="Times New Roman"/>
          <w:b/>
          <w:bCs/>
          <w:color w:val="auto"/>
          <w:sz w:val="24"/>
          <w:lang w:val="en-US" w:eastAsia="zh-CN"/>
        </w:rPr>
      </w:pPr>
      <w:bookmarkStart w:id="7" w:name="_Toc27632"/>
      <w:r>
        <w:rPr>
          <w:rFonts w:hint="eastAsia" w:ascii="宋体" w:hAnsi="等线" w:eastAsia="宋体" w:cs="Times New Roman"/>
          <w:b/>
          <w:bCs/>
          <w:color w:val="auto"/>
          <w:sz w:val="24"/>
          <w:lang w:val="en-US" w:eastAsia="zh-CN"/>
        </w:rPr>
        <w:t>5.</w:t>
      </w:r>
      <w:r>
        <w:rPr>
          <w:rFonts w:hint="default" w:ascii="宋体" w:hAnsi="等线" w:eastAsia="宋体" w:cs="Times New Roman"/>
          <w:b/>
          <w:bCs/>
          <w:color w:val="auto"/>
          <w:sz w:val="24"/>
          <w:lang w:val="en-US" w:eastAsia="zh-CN"/>
        </w:rPr>
        <w:t>数据库安全运维管理服务</w:t>
      </w:r>
      <w:bookmarkEnd w:id="7"/>
    </w:p>
    <w:p w14:paraId="3DC63DBF">
      <w:pPr>
        <w:spacing w:before="156" w:beforeLines="50" w:after="156" w:afterLines="50" w:line="360" w:lineRule="auto"/>
        <w:ind w:firstLine="720" w:firstLineChars="300"/>
        <w:rPr>
          <w:rFonts w:hint="eastAsia" w:ascii="宋体" w:hAnsi="等线" w:eastAsia="宋体" w:cs="Times New Roman"/>
          <w:color w:val="auto"/>
          <w:sz w:val="24"/>
        </w:rPr>
      </w:pPr>
      <w:r>
        <w:rPr>
          <w:rFonts w:hint="eastAsia" w:ascii="宋体" w:hAnsi="等线" w:eastAsia="宋体" w:cs="Times New Roman"/>
          <w:color w:val="auto"/>
          <w:sz w:val="24"/>
          <w:lang w:val="en-US" w:eastAsia="zh-CN"/>
        </w:rPr>
        <w:t>为保障业务数据安全，提高数据库运维质量，采购数据库安全运维管理服务。服务商须提供统一数据库访问入口、统一数据库用户身份认证、统一数据库权限管控、统一数据库监控审计，并且提供高危操作告警与拦截等能力，规避数据越权访问、数据泄漏、数据误删除等，保障数据库平稳、高效运行；对单位核心业务系统的数据库进行访问控制、权限控制等，集中提供包括身份验证、权限控制、高危操作阻断、访问时间、执行次数、库表权限、DML权限等在内的细粒度数据库访问控制，数据操作审计记录等安全功能。须配备系统平台提供相关监控、预警等服务（邮件、短信通知等渠道）。</w:t>
      </w:r>
    </w:p>
    <w:p w14:paraId="0E3C43EA">
      <w:pPr>
        <w:spacing w:before="156" w:beforeLines="50" w:after="156" w:afterLines="50" w:line="360" w:lineRule="auto"/>
        <w:ind w:firstLine="723" w:firstLineChars="300"/>
        <w:rPr>
          <w:rFonts w:hint="default" w:ascii="宋体" w:hAnsi="等线" w:eastAsia="宋体" w:cs="Times New Roman"/>
          <w:b/>
          <w:bCs/>
          <w:color w:val="auto"/>
          <w:sz w:val="24"/>
          <w:lang w:val="en-US" w:eastAsia="zh-CN"/>
        </w:rPr>
      </w:pPr>
      <w:r>
        <w:rPr>
          <w:rFonts w:hint="eastAsia" w:ascii="宋体" w:hAnsi="等线" w:eastAsia="宋体" w:cs="Times New Roman"/>
          <w:b/>
          <w:bCs/>
          <w:color w:val="auto"/>
          <w:sz w:val="24"/>
          <w:lang w:val="en-US" w:eastAsia="zh-CN"/>
        </w:rPr>
        <w:t>数据库安全运维管理服务配套工具须支持当前云环境以及国产化环境部署,支持国产数据库适配，并支持按采购人要求接入水利厅统一用户平台。</w:t>
      </w:r>
    </w:p>
    <w:p w14:paraId="51C23980">
      <w:pPr>
        <w:spacing w:before="156" w:beforeLines="50" w:after="156" w:afterLines="50" w:line="360" w:lineRule="auto"/>
        <w:ind w:firstLine="720" w:firstLineChars="300"/>
        <w:rPr>
          <w:rFonts w:hint="eastAsia" w:ascii="宋体" w:hAnsi="等线" w:eastAsia="宋体" w:cs="Times New Roman"/>
          <w:color w:val="auto"/>
          <w:sz w:val="24"/>
        </w:rPr>
      </w:pPr>
      <w:r>
        <w:rPr>
          <w:rFonts w:hint="eastAsia" w:ascii="宋体" w:hAnsi="等线" w:eastAsia="宋体" w:cs="Times New Roman"/>
          <w:b w:val="0"/>
          <w:bCs w:val="0"/>
          <w:color w:val="auto"/>
          <w:sz w:val="24"/>
          <w:lang w:val="en-US" w:eastAsia="zh-CN"/>
        </w:rPr>
        <w:t>每季度输出</w:t>
      </w:r>
      <w:r>
        <w:rPr>
          <w:rFonts w:hint="eastAsia" w:ascii="宋体" w:hAnsi="等线" w:eastAsia="宋体" w:cs="Times New Roman"/>
          <w:color w:val="auto"/>
          <w:sz w:val="24"/>
        </w:rPr>
        <w:t>《</w:t>
      </w:r>
      <w:r>
        <w:rPr>
          <w:rFonts w:hint="eastAsia" w:ascii="宋体" w:hAnsi="等线" w:eastAsia="宋体" w:cs="Times New Roman"/>
          <w:color w:val="auto"/>
          <w:sz w:val="24"/>
          <w:lang w:val="en-US" w:eastAsia="zh-CN"/>
        </w:rPr>
        <w:t>数据运维管理安全风险跟踪情况表</w:t>
      </w:r>
      <w:r>
        <w:rPr>
          <w:rFonts w:hint="eastAsia" w:ascii="宋体" w:hAnsi="等线" w:eastAsia="宋体" w:cs="Times New Roman"/>
          <w:color w:val="auto"/>
          <w:sz w:val="24"/>
        </w:rPr>
        <w:t>》</w:t>
      </w:r>
      <w:r>
        <w:rPr>
          <w:rFonts w:hint="eastAsia" w:ascii="宋体" w:hAnsi="等线" w:eastAsia="宋体" w:cs="Times New Roman"/>
          <w:color w:val="auto"/>
          <w:sz w:val="24"/>
          <w:lang w:eastAsia="zh-CN"/>
        </w:rPr>
        <w:t>。</w:t>
      </w:r>
    </w:p>
    <w:p w14:paraId="5275A94D">
      <w:pPr>
        <w:numPr>
          <w:ilvl w:val="0"/>
          <w:numId w:val="0"/>
        </w:numPr>
        <w:spacing w:before="50" w:beforeLines="50" w:after="50" w:afterLines="50" w:line="360" w:lineRule="auto"/>
        <w:ind w:firstLine="482" w:firstLineChars="200"/>
        <w:jc w:val="left"/>
        <w:outlineLvl w:val="1"/>
        <w:rPr>
          <w:rFonts w:hint="default" w:ascii="宋体" w:hAnsi="等线" w:eastAsia="宋体" w:cs="Times New Roman"/>
          <w:b/>
          <w:bCs/>
          <w:color w:val="auto"/>
          <w:sz w:val="24"/>
          <w:lang w:val="en-US" w:eastAsia="zh-CN"/>
        </w:rPr>
      </w:pPr>
      <w:r>
        <w:rPr>
          <w:rFonts w:hint="eastAsia" w:ascii="宋体" w:hAnsi="等线" w:eastAsia="宋体" w:cs="Times New Roman"/>
          <w:b/>
          <w:bCs/>
          <w:color w:val="auto"/>
          <w:kern w:val="2"/>
          <w:sz w:val="24"/>
          <w:szCs w:val="22"/>
          <w:lang w:val="en-US" w:eastAsia="zh-CN" w:bidi="ar-SA"/>
        </w:rPr>
        <w:t>（6）开始</w:t>
      </w:r>
      <w:r>
        <w:rPr>
          <w:rFonts w:hint="eastAsia" w:ascii="宋体" w:hAnsi="等线" w:eastAsia="宋体" w:cs="Times New Roman"/>
          <w:b/>
          <w:bCs/>
          <w:color w:val="auto"/>
          <w:sz w:val="24"/>
          <w:lang w:val="en-US" w:eastAsia="zh-CN"/>
        </w:rPr>
        <w:t>服务时间要求</w:t>
      </w:r>
    </w:p>
    <w:p w14:paraId="11F60B3E">
      <w:pPr>
        <w:spacing w:before="156" w:beforeLines="50" w:after="156" w:afterLines="50" w:line="360" w:lineRule="auto"/>
        <w:ind w:firstLine="723" w:firstLineChars="300"/>
        <w:rPr>
          <w:rFonts w:hint="eastAsia" w:ascii="宋体" w:hAnsi="等线" w:eastAsia="宋体" w:cs="Times New Roman"/>
          <w:b/>
          <w:bCs/>
          <w:color w:val="auto"/>
          <w:sz w:val="24"/>
          <w:lang w:val="en-US" w:eastAsia="zh-CN"/>
        </w:rPr>
      </w:pPr>
      <w:r>
        <w:rPr>
          <w:rFonts w:hint="eastAsia" w:ascii="宋体" w:hAnsi="等线" w:eastAsia="宋体" w:cs="Times New Roman"/>
          <w:b/>
          <w:bCs/>
          <w:color w:val="auto"/>
          <w:sz w:val="24"/>
          <w:lang w:val="en-US" w:eastAsia="zh-CN"/>
        </w:rPr>
        <w:t>因提供服务需要在云平台部署相应工具，投标人应在中标后一个月内完成实施部署并开始提供完整服务，并通过采购人确认，否则采购人有权</w:t>
      </w:r>
      <w:r>
        <w:rPr>
          <w:rFonts w:hint="eastAsia" w:ascii="宋体" w:hAnsi="宋体" w:eastAsia="宋体" w:cs="宋体"/>
          <w:b/>
          <w:bCs/>
          <w:sz w:val="24"/>
          <w:szCs w:val="24"/>
          <w:lang w:val="en-US" w:eastAsia="zh-CN"/>
        </w:rPr>
        <w:t>终止</w:t>
      </w:r>
      <w:r>
        <w:rPr>
          <w:rFonts w:hint="eastAsia" w:ascii="宋体" w:hAnsi="等线" w:eastAsia="宋体" w:cs="Times New Roman"/>
          <w:b/>
          <w:bCs/>
          <w:color w:val="auto"/>
          <w:sz w:val="24"/>
          <w:lang w:val="en-US" w:eastAsia="zh-CN"/>
        </w:rPr>
        <w:t>合同并按投标人违约处理。</w:t>
      </w:r>
    </w:p>
    <w:p w14:paraId="135B1FE1">
      <w:pPr>
        <w:numPr>
          <w:ilvl w:val="0"/>
          <w:numId w:val="0"/>
        </w:numPr>
        <w:spacing w:before="50" w:beforeLines="50" w:after="50" w:afterLines="50" w:line="360" w:lineRule="auto"/>
        <w:ind w:firstLine="482" w:firstLineChars="200"/>
        <w:outlineLvl w:val="1"/>
        <w:rPr>
          <w:rFonts w:hint="default" w:ascii="宋体" w:hAnsi="等线" w:eastAsia="宋体" w:cs="Times New Roman"/>
          <w:b/>
          <w:bCs/>
          <w:color w:val="auto"/>
          <w:sz w:val="24"/>
          <w:lang w:val="en-US" w:eastAsia="zh-CN"/>
        </w:rPr>
      </w:pPr>
      <w:r>
        <w:rPr>
          <w:rFonts w:hint="eastAsia" w:ascii="宋体" w:hAnsi="等线" w:eastAsia="宋体" w:cs="Times New Roman"/>
          <w:b/>
          <w:bCs/>
          <w:color w:val="auto"/>
          <w:kern w:val="2"/>
          <w:sz w:val="24"/>
          <w:szCs w:val="22"/>
          <w:lang w:val="en-US" w:eastAsia="zh-CN" w:bidi="ar-SA"/>
        </w:rPr>
        <w:t>（7）服务质量要求</w:t>
      </w:r>
    </w:p>
    <w:p w14:paraId="33492B5A">
      <w:pPr>
        <w:spacing w:before="156" w:beforeLines="50" w:after="156" w:afterLines="50" w:line="360" w:lineRule="auto"/>
        <w:ind w:firstLine="723" w:firstLineChars="300"/>
        <w:rPr>
          <w:rFonts w:hint="eastAsia" w:ascii="宋体" w:hAnsi="等线" w:eastAsia="宋体" w:cs="Times New Roman"/>
          <w:b/>
          <w:bCs/>
          <w:color w:val="auto"/>
          <w:sz w:val="24"/>
          <w:lang w:val="en-US" w:eastAsia="zh-CN"/>
        </w:rPr>
      </w:pPr>
      <w:r>
        <w:rPr>
          <w:rFonts w:hint="eastAsia" w:ascii="宋体" w:hAnsi="等线" w:eastAsia="宋体" w:cs="Times New Roman"/>
          <w:b/>
          <w:bCs/>
          <w:color w:val="auto"/>
          <w:sz w:val="24"/>
          <w:lang w:val="en-US" w:eastAsia="zh-CN"/>
        </w:rPr>
        <w:t>中标方须提供7*24 小时及时响应故障。若发生数据安全预警（包括数据库流量、API审计、数据库运维管理、采购方或云平台发现的预警），中标方须在1小时内做出明确响应和安排。问题协调处理完毕后，24 小时内将情况反馈甲方。</w:t>
      </w:r>
    </w:p>
    <w:p w14:paraId="2A852656">
      <w:pPr>
        <w:spacing w:before="156" w:beforeLines="50" w:after="156" w:afterLines="50" w:line="360" w:lineRule="auto"/>
        <w:ind w:firstLine="723" w:firstLineChars="300"/>
        <w:rPr>
          <w:rFonts w:hint="default" w:ascii="宋体" w:hAnsi="等线" w:eastAsia="宋体" w:cs="Times New Roman"/>
          <w:b/>
          <w:bCs/>
          <w:color w:val="auto"/>
          <w:sz w:val="24"/>
          <w:lang w:val="en-US" w:eastAsia="zh-CN"/>
        </w:rPr>
      </w:pPr>
      <w:r>
        <w:rPr>
          <w:rFonts w:hint="default" w:ascii="宋体" w:hAnsi="等线" w:eastAsia="宋体" w:cs="Times New Roman"/>
          <w:b/>
          <w:bCs/>
          <w:color w:val="auto"/>
          <w:sz w:val="24"/>
          <w:lang w:val="en-US" w:eastAsia="zh-CN"/>
        </w:rPr>
        <w:t>投标人须在采购人</w:t>
      </w:r>
      <w:r>
        <w:rPr>
          <w:rFonts w:hint="eastAsia" w:ascii="宋体" w:hAnsi="等线" w:eastAsia="宋体" w:cs="Times New Roman"/>
          <w:b/>
          <w:bCs/>
          <w:color w:val="auto"/>
          <w:sz w:val="24"/>
          <w:lang w:val="en-US" w:eastAsia="zh-CN"/>
        </w:rPr>
        <w:t>提供的</w:t>
      </w:r>
      <w:r>
        <w:rPr>
          <w:rFonts w:hint="default" w:ascii="宋体" w:hAnsi="等线" w:eastAsia="宋体" w:cs="Times New Roman"/>
          <w:b/>
          <w:bCs/>
          <w:color w:val="auto"/>
          <w:sz w:val="24"/>
          <w:lang w:val="en-US" w:eastAsia="zh-CN"/>
        </w:rPr>
        <w:t>环境部署提供服务必须的设备及软件系统，</w:t>
      </w:r>
      <w:r>
        <w:rPr>
          <w:rFonts w:hint="eastAsia" w:ascii="宋体" w:hAnsi="等线" w:eastAsia="宋体" w:cs="Times New Roman"/>
          <w:b/>
          <w:bCs/>
          <w:color w:val="auto"/>
          <w:sz w:val="24"/>
          <w:lang w:val="en-US" w:eastAsia="zh-CN"/>
        </w:rPr>
        <w:t>若无法支撑正常服务（性能不足、系统安全问题等）须及时进行升级直至服务正常。</w:t>
      </w:r>
    </w:p>
    <w:p w14:paraId="355AC312">
      <w:pPr>
        <w:pStyle w:val="2"/>
        <w:rPr>
          <w:rFonts w:hint="eastAsia" w:ascii="宋体" w:hAnsi="宋体" w:eastAsia="宋体" w:cs="宋体"/>
          <w:kern w:val="0"/>
          <w:sz w:val="24"/>
          <w:szCs w:val="24"/>
        </w:rPr>
      </w:pPr>
      <w:r>
        <w:rPr>
          <w:rFonts w:hint="eastAsia" w:ascii="宋体" w:hAnsi="宋体" w:eastAsia="宋体" w:cs="宋体"/>
          <w:kern w:val="0"/>
          <w:sz w:val="24"/>
          <w:szCs w:val="24"/>
        </w:rPr>
        <w:t>（五）服务人员要求</w:t>
      </w:r>
    </w:p>
    <w:p w14:paraId="1E35365E">
      <w:pPr>
        <w:spacing w:before="156" w:beforeLines="50" w:after="156" w:afterLines="50" w:line="360" w:lineRule="auto"/>
        <w:ind w:firstLine="723" w:firstLineChars="300"/>
        <w:rPr>
          <w:rFonts w:hint="default" w:ascii="宋体" w:hAnsi="等线" w:eastAsia="宋体" w:cs="Times New Roman"/>
          <w:b/>
          <w:bCs/>
          <w:color w:val="auto"/>
          <w:sz w:val="24"/>
          <w:lang w:val="en-US" w:eastAsia="zh-CN"/>
        </w:rPr>
      </w:pPr>
      <w:r>
        <w:rPr>
          <w:rFonts w:hint="eastAsia" w:ascii="宋体" w:hAnsi="等线" w:eastAsia="宋体" w:cs="Times New Roman"/>
          <w:b/>
          <w:bCs/>
          <w:color w:val="auto"/>
          <w:sz w:val="24"/>
          <w:lang w:val="en-US" w:eastAsia="zh-CN"/>
        </w:rPr>
        <w:t>为了保障本项目的服务质量及专业性，对项目团队作以下要求：</w:t>
      </w:r>
    </w:p>
    <w:p w14:paraId="7FFD377F">
      <w:pPr>
        <w:numPr>
          <w:ilvl w:val="0"/>
          <w:numId w:val="3"/>
        </w:numPr>
        <w:spacing w:before="156" w:beforeLines="50" w:after="156" w:afterLines="50" w:line="360" w:lineRule="auto"/>
        <w:ind w:firstLine="723" w:firstLineChars="300"/>
        <w:rPr>
          <w:rFonts w:hint="eastAsia" w:ascii="宋体" w:hAnsi="等线" w:eastAsia="宋体" w:cs="Times New Roman"/>
          <w:b/>
          <w:bCs/>
          <w:color w:val="auto"/>
          <w:sz w:val="24"/>
          <w:lang w:val="en-US" w:eastAsia="zh-CN"/>
        </w:rPr>
      </w:pPr>
      <w:r>
        <w:rPr>
          <w:rFonts w:hint="eastAsia" w:ascii="宋体" w:hAnsi="等线" w:eastAsia="宋体" w:cs="Times New Roman"/>
          <w:b/>
          <w:bCs/>
          <w:color w:val="auto"/>
          <w:sz w:val="24"/>
          <w:lang w:val="en-US" w:eastAsia="zh-CN"/>
        </w:rPr>
        <w:t>项目经理。须同时具备国家注册信息安全专业人员（CISP）证书及项目管理专业人士（PMP）资格认证。</w:t>
      </w:r>
    </w:p>
    <w:p w14:paraId="1190091A">
      <w:pPr>
        <w:numPr>
          <w:ilvl w:val="0"/>
          <w:numId w:val="3"/>
        </w:numPr>
        <w:spacing w:before="156" w:beforeLines="50" w:after="156" w:afterLines="50" w:line="360" w:lineRule="auto"/>
        <w:ind w:firstLine="723" w:firstLineChars="300"/>
        <w:rPr>
          <w:rFonts w:hint="eastAsia" w:ascii="宋体" w:hAnsi="等线" w:eastAsia="宋体" w:cs="Times New Roman"/>
          <w:b/>
          <w:bCs/>
          <w:color w:val="auto"/>
          <w:sz w:val="24"/>
          <w:lang w:val="en-US" w:eastAsia="zh-CN"/>
        </w:rPr>
      </w:pPr>
      <w:r>
        <w:rPr>
          <w:rFonts w:hint="eastAsia" w:ascii="宋体" w:hAnsi="等线" w:eastAsia="宋体" w:cs="Times New Roman"/>
          <w:b/>
          <w:bCs/>
          <w:color w:val="auto"/>
          <w:sz w:val="24"/>
          <w:lang w:val="en-US" w:eastAsia="zh-CN"/>
        </w:rPr>
        <w:t>项目成员。至少有1名团队成员具备信息安全保障人员认证证书（CISAW证书）。</w:t>
      </w:r>
    </w:p>
    <w:p w14:paraId="6E7087E2">
      <w:pPr>
        <w:spacing w:before="156" w:beforeLines="50" w:after="156" w:afterLines="50" w:line="360" w:lineRule="auto"/>
        <w:ind w:firstLine="723" w:firstLineChars="300"/>
        <w:rPr>
          <w:rFonts w:hint="eastAsia" w:ascii="宋体" w:hAnsi="等线" w:eastAsia="宋体" w:cs="Times New Roman"/>
          <w:b/>
          <w:bCs/>
          <w:color w:val="auto"/>
          <w:sz w:val="24"/>
          <w:lang w:val="en-US" w:eastAsia="zh-CN"/>
        </w:rPr>
      </w:pPr>
      <w:r>
        <w:rPr>
          <w:rFonts w:hint="eastAsia" w:ascii="宋体" w:hAnsi="等线" w:eastAsia="宋体" w:cs="Times New Roman"/>
          <w:b/>
          <w:bCs/>
          <w:color w:val="auto"/>
          <w:sz w:val="24"/>
          <w:lang w:val="en-US" w:eastAsia="zh-CN"/>
        </w:rPr>
        <w:t>以上要求，须提供相关证书复印件和近6个月内任意1个月的社保缴交证明。</w:t>
      </w:r>
    </w:p>
    <w:p w14:paraId="1198CE13">
      <w:pPr>
        <w:pStyle w:val="2"/>
        <w:rPr>
          <w:rFonts w:hint="eastAsia" w:ascii="宋体" w:hAnsi="宋体" w:eastAsia="宋体" w:cs="宋体"/>
          <w:kern w:val="0"/>
          <w:sz w:val="24"/>
          <w:szCs w:val="24"/>
        </w:rPr>
      </w:pPr>
      <w:r>
        <w:rPr>
          <w:rFonts w:hint="eastAsia" w:ascii="宋体" w:hAnsi="宋体" w:eastAsia="宋体" w:cs="宋体"/>
          <w:kern w:val="0"/>
          <w:sz w:val="24"/>
          <w:szCs w:val="24"/>
        </w:rPr>
        <w:t>（六）真实性要求</w:t>
      </w:r>
    </w:p>
    <w:p w14:paraId="659DE292">
      <w:pPr>
        <w:widowControl/>
        <w:spacing w:before="100" w:beforeAutospacing="1" w:after="100" w:afterAutospacing="1" w:line="360" w:lineRule="auto"/>
        <w:jc w:val="left"/>
        <w:rPr>
          <w:rFonts w:hint="eastAsia" w:ascii="宋体" w:hAnsi="宋体" w:eastAsia="宋体" w:cs="Arial"/>
          <w:b/>
          <w:bCs/>
          <w:sz w:val="24"/>
        </w:rPr>
      </w:pPr>
      <w:r>
        <w:rPr>
          <w:rFonts w:ascii="宋体" w:hAnsi="宋体" w:eastAsia="宋体" w:cs="Arial"/>
          <w:b/>
          <w:bCs/>
          <w:sz w:val="24"/>
        </w:rPr>
        <w:tab/>
      </w:r>
      <w:r>
        <w:rPr>
          <w:rFonts w:hint="eastAsia" w:ascii="宋体" w:hAnsi="宋体" w:eastAsia="宋体" w:cs="Arial"/>
          <w:b/>
          <w:bCs/>
          <w:sz w:val="24"/>
        </w:rPr>
        <w:t>针对本项目提供的服务工具、证明材料进行真实确认核查。投标人在</w:t>
      </w:r>
      <w:r>
        <w:rPr>
          <w:rFonts w:hint="eastAsia" w:ascii="宋体" w:hAnsi="宋体" w:eastAsia="宋体" w:cs="Arial"/>
          <w:b/>
          <w:bCs/>
          <w:sz w:val="24"/>
          <w:lang w:eastAsia="zh-CN"/>
        </w:rPr>
        <w:t>中标</w:t>
      </w:r>
      <w:r>
        <w:rPr>
          <w:rFonts w:hint="eastAsia" w:ascii="宋体" w:hAnsi="宋体" w:eastAsia="宋体" w:cs="Arial"/>
          <w:b/>
          <w:bCs/>
          <w:sz w:val="24"/>
        </w:rPr>
        <w:t>后3个工作日内需提供人员证书和社保、数据安全服务能力资质证书等</w:t>
      </w:r>
      <w:r>
        <w:rPr>
          <w:rFonts w:hint="eastAsia" w:ascii="宋体" w:hAnsi="宋体" w:eastAsia="宋体" w:cs="Arial"/>
          <w:b/>
          <w:bCs/>
          <w:sz w:val="24"/>
          <w:lang w:val="en-US" w:eastAsia="zh-CN"/>
        </w:rPr>
        <w:t>材料备采购人</w:t>
      </w:r>
      <w:r>
        <w:rPr>
          <w:rFonts w:hint="eastAsia" w:ascii="宋体" w:hAnsi="宋体" w:eastAsia="宋体" w:cs="Arial"/>
          <w:b/>
          <w:bCs/>
          <w:sz w:val="24"/>
        </w:rPr>
        <w:t>核查，如未能满足本项目要求，采购人有权不予以签订合同,</w:t>
      </w:r>
      <w:r>
        <w:rPr>
          <w:rFonts w:hint="eastAsia"/>
        </w:rPr>
        <w:t xml:space="preserve"> </w:t>
      </w:r>
      <w:r>
        <w:rPr>
          <w:rFonts w:hint="eastAsia" w:ascii="宋体" w:hAnsi="宋体" w:eastAsia="宋体" w:cs="Arial"/>
          <w:b/>
          <w:bCs/>
          <w:sz w:val="24"/>
        </w:rPr>
        <w:t>并追究其虚假应标相关法律责任。</w:t>
      </w:r>
    </w:p>
    <w:p w14:paraId="4276606D">
      <w:pPr>
        <w:pStyle w:val="2"/>
        <w:rPr>
          <w:rFonts w:hint="eastAsia" w:ascii="宋体" w:hAnsi="宋体" w:eastAsia="宋体" w:cs="宋体"/>
          <w:kern w:val="0"/>
          <w:sz w:val="24"/>
          <w:szCs w:val="24"/>
        </w:rPr>
      </w:pPr>
      <w:r>
        <w:rPr>
          <w:rFonts w:hint="eastAsia" w:ascii="宋体" w:hAnsi="宋体" w:eastAsia="宋体" w:cs="宋体"/>
          <w:kern w:val="0"/>
          <w:sz w:val="24"/>
          <w:szCs w:val="24"/>
        </w:rPr>
        <w:t>（七）保密要求</w:t>
      </w:r>
    </w:p>
    <w:p w14:paraId="5B6A5573">
      <w:pPr>
        <w:spacing w:line="360" w:lineRule="auto"/>
        <w:ind w:firstLine="480" w:firstLineChars="200"/>
        <w:rPr>
          <w:rFonts w:hint="eastAsia" w:ascii="宋体" w:hAnsi="宋体" w:eastAsia="宋体" w:cs="Arial"/>
          <w:sz w:val="24"/>
        </w:rPr>
      </w:pPr>
      <w:r>
        <w:rPr>
          <w:rFonts w:ascii="宋体" w:hAnsi="宋体" w:eastAsia="宋体" w:cs="Arial"/>
          <w:sz w:val="24"/>
        </w:rPr>
        <w:t>1</w:t>
      </w:r>
      <w:r>
        <w:rPr>
          <w:rFonts w:hint="eastAsia" w:ascii="宋体" w:hAnsi="宋体" w:eastAsia="宋体" w:cs="Arial"/>
          <w:sz w:val="24"/>
        </w:rPr>
        <w:t>.</w:t>
      </w:r>
      <w:r>
        <w:rPr>
          <w:rFonts w:ascii="宋体" w:hAnsi="宋体" w:eastAsia="宋体" w:cs="Arial"/>
          <w:sz w:val="24"/>
        </w:rPr>
        <w:t xml:space="preserve">本条所称“保密信息”指：中标人获得的与本项目有关的、不为公众所知悉的、不宜披露给第三方的任何信息，包括但不限于本项目基本情况、本项目招标文件等。前述保密信息可以以数据、代码、文字及记载上述内容的资料、光盘、软件、图书等有形媒介体现，也可通过法律法规认可的其他介质形式体现。  </w:t>
      </w:r>
    </w:p>
    <w:p w14:paraId="490C22C3">
      <w:pPr>
        <w:spacing w:line="360" w:lineRule="auto"/>
        <w:ind w:firstLine="480" w:firstLineChars="200"/>
        <w:rPr>
          <w:rFonts w:hint="eastAsia" w:ascii="宋体" w:hAnsi="宋体" w:eastAsia="宋体" w:cs="Arial"/>
          <w:sz w:val="24"/>
        </w:rPr>
      </w:pPr>
      <w:r>
        <w:rPr>
          <w:rFonts w:ascii="宋体" w:hAnsi="宋体" w:eastAsia="宋体" w:cs="Arial"/>
          <w:sz w:val="24"/>
        </w:rPr>
        <w:t>2</w:t>
      </w:r>
      <w:r>
        <w:rPr>
          <w:rFonts w:hint="eastAsia" w:ascii="宋体" w:hAnsi="宋体" w:eastAsia="宋体" w:cs="Arial"/>
          <w:sz w:val="24"/>
        </w:rPr>
        <w:t>.</w:t>
      </w:r>
      <w:r>
        <w:rPr>
          <w:rFonts w:ascii="宋体" w:hAnsi="宋体" w:eastAsia="宋体" w:cs="Arial"/>
          <w:sz w:val="24"/>
        </w:rPr>
        <w:t xml:space="preserve">中标人应主动采取加密措施（包括但不限于采取与用于保护自身保密信息同等级别的加密措施）对保密信息进行保护，防止不承担同等保密义务的任何第三者知悉及使用。  </w:t>
      </w:r>
    </w:p>
    <w:p w14:paraId="7A14B464">
      <w:pPr>
        <w:spacing w:line="360" w:lineRule="auto"/>
        <w:ind w:firstLine="480" w:firstLineChars="200"/>
        <w:rPr>
          <w:rFonts w:hint="eastAsia" w:ascii="宋体" w:hAnsi="宋体" w:eastAsia="宋体" w:cs="Arial"/>
          <w:sz w:val="24"/>
        </w:rPr>
      </w:pPr>
      <w:r>
        <w:rPr>
          <w:rFonts w:hint="eastAsia" w:ascii="宋体" w:hAnsi="宋体" w:eastAsia="宋体" w:cs="Arial"/>
          <w:sz w:val="24"/>
        </w:rPr>
        <w:t>3.</w:t>
      </w:r>
      <w:r>
        <w:rPr>
          <w:rFonts w:ascii="宋体" w:hAnsi="宋体" w:eastAsia="宋体" w:cs="Arial"/>
          <w:sz w:val="24"/>
        </w:rPr>
        <w:t xml:space="preserve">中标人保证该保密信息仅用于与本项目有关的用途，不得利用保密信息进行项目以外的其他用途。  </w:t>
      </w:r>
    </w:p>
    <w:p w14:paraId="57C68C46">
      <w:pPr>
        <w:spacing w:line="360" w:lineRule="auto"/>
        <w:ind w:firstLine="480" w:firstLineChars="200"/>
        <w:rPr>
          <w:rFonts w:hint="eastAsia" w:ascii="宋体" w:hAnsi="宋体" w:eastAsia="宋体" w:cs="Arial"/>
          <w:sz w:val="24"/>
        </w:rPr>
      </w:pPr>
      <w:r>
        <w:rPr>
          <w:rFonts w:hint="eastAsia" w:ascii="宋体" w:hAnsi="宋体" w:eastAsia="宋体" w:cs="Arial"/>
          <w:sz w:val="24"/>
        </w:rPr>
        <w:t>4.</w:t>
      </w:r>
      <w:r>
        <w:rPr>
          <w:rFonts w:ascii="宋体" w:hAnsi="宋体" w:eastAsia="宋体" w:cs="Arial"/>
          <w:sz w:val="24"/>
        </w:rPr>
        <w:t>中标人保证未经采购人事先书面授权，不将保密信息的原件、复印件以及对保密信息做出的概括性分析、判断、报告、意见等透露给任何第三方;中标人如因过失泄露保密信息，同样要承担违约责任。</w:t>
      </w:r>
    </w:p>
    <w:p w14:paraId="6AE4E39A">
      <w:pPr>
        <w:spacing w:line="360" w:lineRule="auto"/>
        <w:ind w:firstLine="480" w:firstLineChars="200"/>
        <w:rPr>
          <w:rFonts w:hint="eastAsia" w:ascii="宋体" w:hAnsi="宋体" w:eastAsia="宋体" w:cs="Arial"/>
          <w:sz w:val="24"/>
        </w:rPr>
      </w:pPr>
      <w:r>
        <w:rPr>
          <w:rFonts w:hint="eastAsia" w:ascii="宋体" w:hAnsi="宋体" w:eastAsia="宋体" w:cs="Arial"/>
          <w:sz w:val="24"/>
        </w:rPr>
        <w:t>5.</w:t>
      </w:r>
      <w:r>
        <w:rPr>
          <w:rFonts w:ascii="宋体" w:hAnsi="宋体" w:eastAsia="宋体" w:cs="Arial"/>
          <w:sz w:val="24"/>
        </w:rPr>
        <w:t xml:space="preserve">中标人不得允许(包括但不限于出借、赠与、出租、转让等行为)或协助不承担同等保密义务的任何第三人使用保密信息。中标人一旦发现或应该发现保密信息被不正当使用或未经授权被使用，应该立即采取合理的措施防止进一步的不正当使用，且应该立即通知采购人。  </w:t>
      </w:r>
    </w:p>
    <w:p w14:paraId="0B458B6F">
      <w:pPr>
        <w:spacing w:line="360" w:lineRule="auto"/>
        <w:ind w:firstLine="480" w:firstLineChars="200"/>
        <w:rPr>
          <w:rFonts w:hint="eastAsia" w:ascii="宋体" w:hAnsi="宋体" w:eastAsia="宋体" w:cs="Arial"/>
          <w:sz w:val="24"/>
        </w:rPr>
      </w:pPr>
      <w:r>
        <w:rPr>
          <w:rFonts w:hint="eastAsia" w:ascii="宋体" w:hAnsi="宋体" w:eastAsia="宋体" w:cs="Arial"/>
          <w:sz w:val="24"/>
        </w:rPr>
        <w:t>6.</w:t>
      </w:r>
      <w:r>
        <w:rPr>
          <w:rFonts w:ascii="宋体" w:hAnsi="宋体" w:eastAsia="宋体" w:cs="Arial"/>
          <w:sz w:val="24"/>
        </w:rPr>
        <w:t>中标人只能在出现以下情形时向特定人员披露保密信息：</w:t>
      </w:r>
    </w:p>
    <w:p w14:paraId="0E8D1AE8">
      <w:pPr>
        <w:spacing w:line="360" w:lineRule="auto"/>
        <w:ind w:firstLine="480" w:firstLineChars="200"/>
        <w:rPr>
          <w:rFonts w:hint="eastAsia" w:ascii="宋体" w:hAnsi="宋体" w:eastAsia="宋体" w:cs="Arial"/>
          <w:sz w:val="24"/>
        </w:rPr>
      </w:pPr>
      <w:r>
        <w:rPr>
          <w:rFonts w:hint="eastAsia" w:ascii="宋体" w:hAnsi="宋体" w:eastAsia="宋体" w:cs="Arial"/>
          <w:sz w:val="24"/>
        </w:rPr>
        <w:t>（</w:t>
      </w:r>
      <w:r>
        <w:rPr>
          <w:rFonts w:ascii="宋体" w:hAnsi="宋体" w:eastAsia="宋体" w:cs="Arial"/>
          <w:sz w:val="24"/>
        </w:rPr>
        <w:t>1）根据法律、行政法规、部门规章规定必须披露和公告；</w:t>
      </w:r>
    </w:p>
    <w:p w14:paraId="727A305A">
      <w:pPr>
        <w:spacing w:line="360" w:lineRule="auto"/>
        <w:ind w:firstLine="480" w:firstLineChars="200"/>
        <w:rPr>
          <w:rFonts w:hint="eastAsia" w:ascii="宋体" w:hAnsi="宋体" w:eastAsia="宋体" w:cs="Arial"/>
          <w:sz w:val="24"/>
        </w:rPr>
      </w:pPr>
      <w:r>
        <w:rPr>
          <w:rFonts w:hint="eastAsia" w:ascii="宋体" w:hAnsi="宋体" w:eastAsia="宋体" w:cs="Arial"/>
          <w:sz w:val="24"/>
        </w:rPr>
        <w:t>（</w:t>
      </w:r>
      <w:r>
        <w:rPr>
          <w:rFonts w:ascii="宋体" w:hAnsi="宋体" w:eastAsia="宋体" w:cs="Arial"/>
          <w:sz w:val="24"/>
        </w:rPr>
        <w:t xml:space="preserve">2）向其法律顾问、财务顾问、审计机构或者其他专业机构披露（前提是该方已与中标人签订同等程度的保密协议）；  </w:t>
      </w:r>
    </w:p>
    <w:p w14:paraId="24229390">
      <w:pPr>
        <w:spacing w:line="360" w:lineRule="auto"/>
        <w:ind w:firstLine="480" w:firstLineChars="200"/>
        <w:rPr>
          <w:rFonts w:hint="eastAsia" w:ascii="宋体" w:hAnsi="宋体" w:eastAsia="宋体" w:cs="Arial"/>
          <w:sz w:val="24"/>
        </w:rPr>
      </w:pPr>
      <w:r>
        <w:rPr>
          <w:rFonts w:hint="eastAsia" w:ascii="宋体" w:hAnsi="宋体" w:eastAsia="宋体" w:cs="Arial"/>
          <w:sz w:val="24"/>
        </w:rPr>
        <w:t>（</w:t>
      </w:r>
      <w:r>
        <w:rPr>
          <w:rFonts w:ascii="宋体" w:hAnsi="宋体" w:eastAsia="宋体" w:cs="Arial"/>
          <w:sz w:val="24"/>
        </w:rPr>
        <w:t>3）采购人书面许可披露或公开；</w:t>
      </w:r>
    </w:p>
    <w:p w14:paraId="534E1BA8">
      <w:pPr>
        <w:spacing w:line="360" w:lineRule="auto"/>
        <w:ind w:firstLine="480" w:firstLineChars="200"/>
        <w:rPr>
          <w:rFonts w:hint="eastAsia" w:ascii="宋体" w:hAnsi="宋体" w:eastAsia="宋体" w:cs="Arial"/>
          <w:sz w:val="24"/>
        </w:rPr>
      </w:pPr>
      <w:r>
        <w:rPr>
          <w:rFonts w:hint="eastAsia" w:ascii="宋体" w:hAnsi="宋体" w:eastAsia="宋体" w:cs="Arial"/>
          <w:sz w:val="24"/>
        </w:rPr>
        <w:t>（</w:t>
      </w:r>
      <w:r>
        <w:rPr>
          <w:rFonts w:ascii="宋体" w:hAnsi="宋体" w:eastAsia="宋体" w:cs="Arial"/>
          <w:sz w:val="24"/>
        </w:rPr>
        <w:t xml:space="preserve">4）该信息已被采购人认为不再是保密信息，或已在社会上公开。  </w:t>
      </w:r>
    </w:p>
    <w:p w14:paraId="1992A080">
      <w:pPr>
        <w:spacing w:line="360" w:lineRule="auto"/>
        <w:ind w:firstLine="480" w:firstLineChars="200"/>
        <w:rPr>
          <w:rFonts w:hint="eastAsia" w:ascii="宋体" w:hAnsi="宋体" w:eastAsia="宋体" w:cs="Arial"/>
          <w:sz w:val="24"/>
        </w:rPr>
      </w:pPr>
      <w:r>
        <w:rPr>
          <w:rFonts w:hint="eastAsia" w:ascii="宋体" w:hAnsi="宋体" w:eastAsia="宋体" w:cs="Arial"/>
          <w:sz w:val="24"/>
        </w:rPr>
        <w:t>7.</w:t>
      </w:r>
      <w:r>
        <w:rPr>
          <w:rFonts w:ascii="宋体" w:hAnsi="宋体" w:eastAsia="宋体" w:cs="Arial"/>
          <w:sz w:val="24"/>
        </w:rPr>
        <w:t xml:space="preserve">保密信息的保密期限自本项目合同签订之日起永久有效。  </w:t>
      </w:r>
    </w:p>
    <w:p w14:paraId="169CADE1">
      <w:pPr>
        <w:spacing w:line="360" w:lineRule="auto"/>
        <w:ind w:firstLine="480" w:firstLineChars="200"/>
        <w:rPr>
          <w:rFonts w:hint="eastAsia" w:ascii="宋体" w:hAnsi="宋体" w:eastAsia="宋体" w:cs="Arial"/>
          <w:sz w:val="24"/>
        </w:rPr>
      </w:pPr>
      <w:r>
        <w:rPr>
          <w:rFonts w:hint="eastAsia" w:ascii="宋体" w:hAnsi="宋体" w:eastAsia="宋体" w:cs="Arial"/>
          <w:sz w:val="24"/>
        </w:rPr>
        <w:t>8.</w:t>
      </w:r>
      <w:r>
        <w:rPr>
          <w:rFonts w:ascii="宋体" w:hAnsi="宋体" w:eastAsia="宋体" w:cs="Arial"/>
          <w:sz w:val="24"/>
        </w:rPr>
        <w:t xml:space="preserve">倘若本项目合同因任何原因而未生效或失去效力的，中标人及其相关人员仍应当遵守本条的保密义务。如果参与本合同确定业务的中标人员工不再继续参与本项目，则中标人应确保立即终止该员工获得采购人保密信息和信息源的途径。 </w:t>
      </w:r>
    </w:p>
    <w:p w14:paraId="72607EB8">
      <w:pPr>
        <w:spacing w:line="360" w:lineRule="auto"/>
        <w:ind w:firstLine="480" w:firstLineChars="200"/>
        <w:rPr>
          <w:rFonts w:hint="eastAsia" w:ascii="宋体" w:hAnsi="宋体" w:eastAsia="宋体" w:cs="Arial"/>
          <w:sz w:val="24"/>
          <w:lang w:eastAsia="zh-CN"/>
        </w:rPr>
      </w:pPr>
      <w:r>
        <w:rPr>
          <w:rFonts w:ascii="宋体" w:hAnsi="宋体" w:eastAsia="宋体" w:cs="Arial"/>
          <w:sz w:val="24"/>
        </w:rPr>
        <w:t>9.中标人若违反本条约定的承诺，将承担违约行为导致的法律责任，并赔偿由于该违约行为给采购人造成的全部损失（包括但不限于采购人为追索损失而支付的诉讼费、公告费、保全费、律师费等）</w:t>
      </w:r>
      <w:r>
        <w:rPr>
          <w:rFonts w:hint="eastAsia" w:ascii="宋体" w:hAnsi="宋体" w:eastAsia="宋体" w:cs="Arial"/>
          <w:sz w:val="24"/>
          <w:lang w:eastAsia="zh-CN"/>
        </w:rPr>
        <w:t>。</w:t>
      </w:r>
    </w:p>
    <w:p w14:paraId="56AB8766">
      <w:pPr>
        <w:pStyle w:val="2"/>
        <w:rPr>
          <w:rFonts w:hint="eastAsia" w:ascii="宋体" w:hAnsi="宋体" w:eastAsia="宋体" w:cs="宋体"/>
          <w:kern w:val="0"/>
          <w:sz w:val="24"/>
          <w:szCs w:val="24"/>
        </w:rPr>
      </w:pPr>
      <w:r>
        <w:rPr>
          <w:rFonts w:hint="eastAsia" w:ascii="宋体" w:hAnsi="宋体" w:eastAsia="宋体" w:cs="宋体"/>
          <w:kern w:val="0"/>
          <w:sz w:val="24"/>
          <w:szCs w:val="24"/>
        </w:rPr>
        <w:t>（八）服务考核</w:t>
      </w:r>
    </w:p>
    <w:p w14:paraId="3FA3E64A">
      <w:pPr>
        <w:pStyle w:val="3"/>
        <w:spacing w:line="360" w:lineRule="auto"/>
        <w:rPr>
          <w:rFonts w:hint="eastAsia" w:ascii="宋体" w:hAnsi="宋体" w:eastAsia="宋体" w:cs="仿宋_GB2312"/>
          <w:sz w:val="24"/>
          <w:szCs w:val="24"/>
        </w:rPr>
      </w:pPr>
      <w:r>
        <w:rPr>
          <w:rFonts w:hint="eastAsia" w:ascii="宋体" w:hAnsi="宋体" w:eastAsia="宋体" w:cs="仿宋_GB2312"/>
          <w:sz w:val="24"/>
          <w:szCs w:val="24"/>
        </w:rPr>
        <w:t>1.</w:t>
      </w:r>
      <w:r>
        <w:rPr>
          <w:rFonts w:ascii="宋体" w:hAnsi="宋体" w:eastAsia="宋体" w:cs="仿宋_GB2312"/>
          <w:sz w:val="24"/>
          <w:szCs w:val="24"/>
        </w:rPr>
        <w:t>考核</w:t>
      </w:r>
      <w:r>
        <w:rPr>
          <w:rFonts w:hint="eastAsia" w:ascii="宋体" w:hAnsi="宋体" w:eastAsia="宋体" w:cs="仿宋_GB2312"/>
          <w:sz w:val="24"/>
          <w:szCs w:val="24"/>
        </w:rPr>
        <w:t>方式和</w:t>
      </w:r>
      <w:r>
        <w:rPr>
          <w:rFonts w:ascii="宋体" w:hAnsi="宋体" w:eastAsia="宋体" w:cs="仿宋_GB2312"/>
          <w:sz w:val="24"/>
          <w:szCs w:val="24"/>
        </w:rPr>
        <w:t>周期</w:t>
      </w:r>
    </w:p>
    <w:p w14:paraId="0656ED1A">
      <w:pPr>
        <w:spacing w:line="360" w:lineRule="auto"/>
        <w:ind w:firstLine="480" w:firstLineChars="200"/>
        <w:rPr>
          <w:rFonts w:hint="eastAsia" w:ascii="宋体" w:hAnsi="宋体" w:eastAsia="宋体" w:cs="Arial"/>
          <w:sz w:val="24"/>
        </w:rPr>
      </w:pPr>
      <w:r>
        <w:rPr>
          <w:rFonts w:hint="eastAsia" w:ascii="宋体" w:hAnsi="宋体" w:eastAsia="宋体" w:cs="Arial"/>
          <w:sz w:val="24"/>
          <w:lang w:val="en-US" w:eastAsia="zh-CN"/>
        </w:rPr>
        <w:t>采购人</w:t>
      </w:r>
      <w:r>
        <w:rPr>
          <w:rFonts w:hint="eastAsia" w:ascii="宋体" w:hAnsi="宋体" w:eastAsia="宋体" w:cs="Arial"/>
          <w:sz w:val="24"/>
        </w:rPr>
        <w:t>在服务期结束后进行</w:t>
      </w:r>
      <w:r>
        <w:rPr>
          <w:rFonts w:hint="eastAsia" w:ascii="宋体" w:hAnsi="宋体" w:eastAsia="宋体" w:cs="Arial"/>
          <w:sz w:val="24"/>
          <w:lang w:val="en-US" w:eastAsia="zh-CN"/>
        </w:rPr>
        <w:t>项目</w:t>
      </w:r>
      <w:r>
        <w:rPr>
          <w:rFonts w:hint="eastAsia" w:ascii="宋体" w:hAnsi="宋体" w:eastAsia="宋体" w:cs="Arial"/>
          <w:sz w:val="24"/>
        </w:rPr>
        <w:t xml:space="preserve">考核。 </w:t>
      </w:r>
    </w:p>
    <w:p w14:paraId="4B63CA25">
      <w:pPr>
        <w:pStyle w:val="3"/>
        <w:spacing w:line="360" w:lineRule="auto"/>
        <w:rPr>
          <w:rFonts w:hint="eastAsia" w:ascii="宋体" w:hAnsi="宋体" w:eastAsia="宋体" w:cs="仿宋_GB2312"/>
          <w:sz w:val="24"/>
          <w:szCs w:val="24"/>
        </w:rPr>
      </w:pPr>
      <w:r>
        <w:rPr>
          <w:rFonts w:hint="eastAsia" w:ascii="宋体" w:hAnsi="宋体" w:eastAsia="宋体" w:cs="仿宋_GB2312"/>
          <w:sz w:val="24"/>
          <w:szCs w:val="24"/>
        </w:rPr>
        <w:t>2.考核</w:t>
      </w:r>
      <w:r>
        <w:rPr>
          <w:rFonts w:ascii="宋体" w:hAnsi="宋体" w:eastAsia="宋体" w:cs="仿宋_GB2312"/>
          <w:sz w:val="24"/>
          <w:szCs w:val="24"/>
        </w:rPr>
        <w:t>内容</w:t>
      </w:r>
    </w:p>
    <w:p w14:paraId="2FE38762">
      <w:pPr>
        <w:spacing w:line="360" w:lineRule="auto"/>
        <w:ind w:firstLine="480" w:firstLineChars="200"/>
        <w:rPr>
          <w:rFonts w:hint="eastAsia" w:ascii="宋体" w:hAnsi="宋体" w:eastAsia="宋体" w:cs="Arial"/>
          <w:sz w:val="24"/>
        </w:rPr>
      </w:pPr>
      <w:r>
        <w:rPr>
          <w:rFonts w:hint="eastAsia" w:ascii="宋体" w:hAnsi="宋体" w:eastAsia="宋体" w:cs="Arial"/>
          <w:sz w:val="24"/>
        </w:rPr>
        <w:t>采购人在服务期结束后终验前对服务商进行最终考核，并签订考核表，服务考核内容和考评标准内容如下：</w:t>
      </w:r>
    </w:p>
    <w:p w14:paraId="5F57564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黑体" w:hAnsi="黑体" w:eastAsia="黑体" w:cs="黑体"/>
          <w:sz w:val="32"/>
          <w:szCs w:val="32"/>
          <w:highlight w:val="none"/>
        </w:rPr>
      </w:pPr>
      <w:r>
        <w:rPr>
          <w:rFonts w:hint="eastAsia" w:ascii="黑体" w:hAnsi="黑体" w:eastAsia="黑体" w:cs="黑体"/>
          <w:i w:val="0"/>
          <w:iCs w:val="0"/>
          <w:caps w:val="0"/>
          <w:spacing w:val="0"/>
          <w:sz w:val="32"/>
          <w:szCs w:val="32"/>
          <w:highlight w:val="none"/>
          <w:shd w:val="clear" w:color="auto" w:fill="FFFFFF"/>
        </w:rPr>
        <w:t>工作考核表</w:t>
      </w:r>
    </w:p>
    <w:tbl>
      <w:tblPr>
        <w:tblStyle w:val="18"/>
        <w:tblW w:w="9787"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0" w:type="dxa"/>
          <w:bottom w:w="0" w:type="dxa"/>
          <w:right w:w="0" w:type="dxa"/>
        </w:tblCellMar>
      </w:tblPr>
      <w:tblGrid>
        <w:gridCol w:w="664"/>
        <w:gridCol w:w="1132"/>
        <w:gridCol w:w="1613"/>
        <w:gridCol w:w="1391"/>
        <w:gridCol w:w="3092"/>
        <w:gridCol w:w="763"/>
        <w:gridCol w:w="1132"/>
      </w:tblGrid>
      <w:tr w14:paraId="2FDC5D8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0E82A750">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32"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705DA169">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指标名称</w:t>
            </w:r>
          </w:p>
        </w:tc>
        <w:tc>
          <w:tcPr>
            <w:tcW w:w="161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341465B0">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448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428F662F">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考核内容及标准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34EA710E">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w:t>
            </w:r>
          </w:p>
        </w:tc>
        <w:tc>
          <w:tcPr>
            <w:tcW w:w="1132"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3034A200">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5EA8B5B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36E0F54E">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32"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354F4359">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人员考核</w:t>
            </w:r>
          </w:p>
        </w:tc>
        <w:tc>
          <w:tcPr>
            <w:tcW w:w="1613"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38D0FBDD">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448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2785208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1.合同签订后</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天</w:t>
            </w:r>
            <w:r>
              <w:rPr>
                <w:rFonts w:hint="eastAsia" w:ascii="宋体" w:hAnsi="宋体" w:eastAsia="宋体" w:cs="宋体"/>
                <w:sz w:val="24"/>
                <w:szCs w:val="24"/>
                <w:highlight w:val="none"/>
              </w:rPr>
              <w:t>内</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团队人员</w:t>
            </w:r>
            <w:r>
              <w:rPr>
                <w:rFonts w:hint="eastAsia" w:ascii="宋体" w:hAnsi="宋体" w:eastAsia="宋体" w:cs="宋体"/>
                <w:sz w:val="24"/>
                <w:szCs w:val="24"/>
                <w:highlight w:val="none"/>
                <w:lang w:eastAsia="zh-CN"/>
              </w:rPr>
              <w:t>未到位开展工作</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扣</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（满分5分）</w:t>
            </w:r>
          </w:p>
          <w:p w14:paraId="1E5D1D6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2.服务</w:t>
            </w:r>
            <w:r>
              <w:rPr>
                <w:rFonts w:hint="eastAsia" w:ascii="宋体" w:hAnsi="宋体" w:eastAsia="宋体" w:cs="宋体"/>
                <w:sz w:val="24"/>
                <w:szCs w:val="24"/>
                <w:highlight w:val="none"/>
                <w:lang w:eastAsia="zh-CN"/>
              </w:rPr>
              <w:t>团队</w:t>
            </w:r>
            <w:r>
              <w:rPr>
                <w:rFonts w:hint="eastAsia" w:ascii="宋体" w:hAnsi="宋体" w:eastAsia="宋体" w:cs="宋体"/>
                <w:sz w:val="24"/>
                <w:szCs w:val="24"/>
                <w:highlight w:val="none"/>
              </w:rPr>
              <w:t>稳定性</w:t>
            </w:r>
            <w:r>
              <w:rPr>
                <w:rFonts w:hint="eastAsia" w:ascii="宋体" w:hAnsi="宋体" w:eastAsia="宋体" w:cs="宋体"/>
                <w:sz w:val="24"/>
                <w:szCs w:val="24"/>
                <w:highlight w:val="none"/>
                <w:lang w:val="en-US" w:eastAsia="zh-CN"/>
              </w:rPr>
              <w:t>保障不力</w:t>
            </w:r>
            <w:r>
              <w:rPr>
                <w:rFonts w:hint="eastAsia" w:ascii="宋体" w:hAnsi="宋体" w:eastAsia="宋体" w:cs="宋体"/>
                <w:sz w:val="24"/>
                <w:szCs w:val="24"/>
                <w:highlight w:val="none"/>
              </w:rPr>
              <w:t>，服务期内人员</w:t>
            </w:r>
            <w:r>
              <w:rPr>
                <w:rFonts w:hint="eastAsia" w:ascii="宋体" w:hAnsi="宋体" w:eastAsia="宋体" w:cs="宋体"/>
                <w:sz w:val="24"/>
                <w:szCs w:val="24"/>
                <w:highlight w:val="none"/>
                <w:lang w:eastAsia="zh-CN"/>
              </w:rPr>
              <w:t>未经甲方同意</w:t>
            </w:r>
            <w:r>
              <w:rPr>
                <w:rFonts w:hint="eastAsia" w:ascii="宋体" w:hAnsi="宋体" w:eastAsia="宋体" w:cs="宋体"/>
                <w:sz w:val="24"/>
                <w:szCs w:val="24"/>
                <w:highlight w:val="none"/>
              </w:rPr>
              <w:t>变动的</w:t>
            </w:r>
            <w:r>
              <w:rPr>
                <w:rFonts w:hint="eastAsia" w:ascii="宋体" w:hAnsi="宋体" w:eastAsia="宋体" w:cs="宋体"/>
                <w:sz w:val="24"/>
                <w:szCs w:val="24"/>
                <w:highlight w:val="none"/>
                <w:lang w:eastAsia="zh-CN"/>
              </w:rPr>
              <w:t>每次</w:t>
            </w:r>
            <w:r>
              <w:rPr>
                <w:rFonts w:hint="eastAsia" w:ascii="宋体" w:hAnsi="宋体" w:eastAsia="宋体" w:cs="宋体"/>
                <w:sz w:val="24"/>
                <w:szCs w:val="24"/>
                <w:highlight w:val="none"/>
              </w:rPr>
              <w:t>扣</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分。（满分5分）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1006775B">
            <w:pPr>
              <w:jc w:val="center"/>
              <w:rPr>
                <w:rFonts w:hint="eastAsia" w:ascii="宋体" w:hAnsi="宋体" w:eastAsia="宋体" w:cs="宋体"/>
                <w:sz w:val="24"/>
                <w:szCs w:val="24"/>
                <w:highlight w:val="none"/>
              </w:rPr>
            </w:pPr>
          </w:p>
        </w:tc>
        <w:tc>
          <w:tcPr>
            <w:tcW w:w="1132"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5DDD5D74">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p>
        </w:tc>
      </w:tr>
      <w:tr w14:paraId="448D54E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6D374891">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7E123B44">
            <w:pPr>
              <w:jc w:val="center"/>
              <w:rPr>
                <w:rFonts w:hint="eastAsia" w:ascii="宋体" w:hAnsi="宋体" w:eastAsia="宋体" w:cs="宋体"/>
                <w:sz w:val="24"/>
                <w:szCs w:val="24"/>
                <w:highlight w:val="none"/>
              </w:rPr>
            </w:pPr>
          </w:p>
        </w:tc>
        <w:tc>
          <w:tcPr>
            <w:tcW w:w="1613"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56CE952E">
            <w:pPr>
              <w:jc w:val="center"/>
              <w:rPr>
                <w:rFonts w:hint="eastAsia" w:ascii="宋体" w:hAnsi="宋体" w:eastAsia="宋体" w:cs="宋体"/>
                <w:sz w:val="24"/>
                <w:szCs w:val="24"/>
                <w:highlight w:val="none"/>
              </w:rPr>
            </w:pPr>
          </w:p>
        </w:tc>
        <w:tc>
          <w:tcPr>
            <w:tcW w:w="448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50CB984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甲方对服务人员工作情况和工作满意度打分，</w:t>
            </w:r>
            <w:r>
              <w:rPr>
                <w:rFonts w:hint="eastAsia" w:ascii="宋体" w:hAnsi="宋体" w:eastAsia="宋体" w:cs="宋体"/>
                <w:sz w:val="24"/>
                <w:szCs w:val="24"/>
                <w:highlight w:val="none"/>
                <w:lang w:eastAsia="zh-CN"/>
              </w:rPr>
              <w:t>采购人及厅相关处室、厅属单位</w:t>
            </w:r>
            <w:r>
              <w:rPr>
                <w:rFonts w:hint="eastAsia" w:ascii="宋体" w:hAnsi="宋体" w:eastAsia="宋体" w:cs="宋体"/>
                <w:sz w:val="24"/>
                <w:szCs w:val="24"/>
                <w:highlight w:val="none"/>
              </w:rPr>
              <w:t>每投诉1次扣1分，扣完为止。(满分10分）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694905A4">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729FC926">
            <w:pPr>
              <w:jc w:val="center"/>
              <w:rPr>
                <w:rFonts w:hint="eastAsia" w:ascii="宋体" w:hAnsi="宋体" w:eastAsia="宋体" w:cs="宋体"/>
                <w:sz w:val="24"/>
                <w:szCs w:val="24"/>
                <w:highlight w:val="none"/>
              </w:rPr>
            </w:pPr>
          </w:p>
        </w:tc>
      </w:tr>
      <w:tr w14:paraId="3A55A8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4B6FB5E2">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32"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772D0367">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工作考核</w:t>
            </w:r>
          </w:p>
        </w:tc>
        <w:tc>
          <w:tcPr>
            <w:tcW w:w="1613"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5EC07CF2">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60</w:t>
            </w:r>
          </w:p>
        </w:tc>
        <w:tc>
          <w:tcPr>
            <w:tcW w:w="448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4ACEC65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.数据资产梳理服务。未能及时完成资产梳理，或资产梳理不清晰、不符合管理要求的，每次扣2分，扣完为止</w:t>
            </w:r>
            <w:r>
              <w:rPr>
                <w:rFonts w:hint="eastAsia" w:ascii="宋体" w:hAnsi="宋体" w:eastAsia="宋体" w:cs="宋体"/>
                <w:sz w:val="24"/>
                <w:szCs w:val="24"/>
                <w:highlight w:val="none"/>
              </w:rPr>
              <w:t>。(满分10分）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21D078BC">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1C5B456C">
            <w:pPr>
              <w:jc w:val="center"/>
              <w:rPr>
                <w:rFonts w:hint="eastAsia" w:ascii="宋体" w:hAnsi="宋体" w:eastAsia="宋体" w:cs="宋体"/>
                <w:sz w:val="24"/>
                <w:szCs w:val="24"/>
                <w:highlight w:val="none"/>
              </w:rPr>
            </w:pPr>
          </w:p>
        </w:tc>
      </w:tr>
      <w:tr w14:paraId="26EE48D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40E0C956">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12DE9F93">
            <w:pPr>
              <w:jc w:val="center"/>
              <w:rPr>
                <w:rFonts w:hint="eastAsia" w:ascii="宋体" w:hAnsi="宋体" w:eastAsia="宋体" w:cs="宋体"/>
                <w:sz w:val="24"/>
                <w:szCs w:val="24"/>
                <w:highlight w:val="none"/>
              </w:rPr>
            </w:pPr>
          </w:p>
        </w:tc>
        <w:tc>
          <w:tcPr>
            <w:tcW w:w="1613"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2F8C38AE">
            <w:pPr>
              <w:jc w:val="center"/>
              <w:rPr>
                <w:rFonts w:hint="eastAsia" w:ascii="宋体" w:hAnsi="宋体" w:eastAsia="宋体" w:cs="宋体"/>
                <w:sz w:val="24"/>
                <w:szCs w:val="24"/>
                <w:highlight w:val="none"/>
              </w:rPr>
            </w:pPr>
          </w:p>
        </w:tc>
        <w:tc>
          <w:tcPr>
            <w:tcW w:w="448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6FE61EC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2.数据安全风险评估服务。未能在相关部门时间要求内完成数据安全风险评估服务或评估工作不满足相关部门要求的，每项扣2分，扣完为止。(满分10分）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4B4E71CC">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66CF57B9">
            <w:pPr>
              <w:jc w:val="center"/>
              <w:rPr>
                <w:rFonts w:hint="eastAsia" w:ascii="宋体" w:hAnsi="宋体" w:eastAsia="宋体" w:cs="宋体"/>
                <w:sz w:val="24"/>
                <w:szCs w:val="24"/>
                <w:highlight w:val="none"/>
              </w:rPr>
            </w:pPr>
          </w:p>
        </w:tc>
      </w:tr>
      <w:tr w14:paraId="0613FF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13CABF5D">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305055E7">
            <w:pPr>
              <w:jc w:val="center"/>
              <w:rPr>
                <w:rFonts w:hint="eastAsia" w:ascii="宋体" w:hAnsi="宋体" w:eastAsia="宋体" w:cs="宋体"/>
                <w:sz w:val="24"/>
                <w:szCs w:val="24"/>
                <w:highlight w:val="none"/>
              </w:rPr>
            </w:pPr>
          </w:p>
        </w:tc>
        <w:tc>
          <w:tcPr>
            <w:tcW w:w="1613"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66F9DC0A">
            <w:pPr>
              <w:jc w:val="center"/>
              <w:rPr>
                <w:rFonts w:hint="eastAsia" w:ascii="宋体" w:hAnsi="宋体" w:eastAsia="宋体" w:cs="宋体"/>
                <w:sz w:val="24"/>
                <w:szCs w:val="24"/>
                <w:highlight w:val="none"/>
              </w:rPr>
            </w:pPr>
          </w:p>
        </w:tc>
        <w:tc>
          <w:tcPr>
            <w:tcW w:w="448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1E243E6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3.数据安全日常运营服务。预警信息未及时响应和处理的扣3分，数据安全重大风险或故障（如重要数据泄露、个人信息泄露等）未及时发现及处理的一次扣5分，扣完为止。(满分20分）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634FB70D">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34A61F23">
            <w:pPr>
              <w:jc w:val="center"/>
              <w:rPr>
                <w:rFonts w:hint="eastAsia" w:ascii="宋体" w:hAnsi="宋体" w:eastAsia="宋体" w:cs="宋体"/>
                <w:sz w:val="24"/>
                <w:szCs w:val="24"/>
                <w:highlight w:val="none"/>
              </w:rPr>
            </w:pPr>
          </w:p>
        </w:tc>
      </w:tr>
      <w:tr w14:paraId="044CB8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14939FA3">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00ACEE44">
            <w:pPr>
              <w:jc w:val="center"/>
              <w:rPr>
                <w:rFonts w:hint="eastAsia" w:ascii="宋体" w:hAnsi="宋体" w:eastAsia="宋体" w:cs="宋体"/>
                <w:sz w:val="24"/>
                <w:szCs w:val="24"/>
                <w:highlight w:val="none"/>
              </w:rPr>
            </w:pPr>
          </w:p>
        </w:tc>
        <w:tc>
          <w:tcPr>
            <w:tcW w:w="1613"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401B5637">
            <w:pPr>
              <w:jc w:val="center"/>
              <w:rPr>
                <w:rFonts w:hint="eastAsia" w:ascii="宋体" w:hAnsi="宋体" w:eastAsia="宋体" w:cs="宋体"/>
                <w:sz w:val="24"/>
                <w:szCs w:val="24"/>
                <w:highlight w:val="none"/>
              </w:rPr>
            </w:pPr>
          </w:p>
        </w:tc>
        <w:tc>
          <w:tcPr>
            <w:tcW w:w="448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218EE7B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4.数据库流量与API流量监控服务。未能及时发现安全风险或未解决的，一次扣2分，扣完为止。(满分10分）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7C3E6711">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261C8085">
            <w:pPr>
              <w:jc w:val="center"/>
              <w:rPr>
                <w:rFonts w:hint="eastAsia" w:ascii="宋体" w:hAnsi="宋体" w:eastAsia="宋体" w:cs="宋体"/>
                <w:sz w:val="24"/>
                <w:szCs w:val="24"/>
                <w:highlight w:val="none"/>
              </w:rPr>
            </w:pPr>
          </w:p>
        </w:tc>
      </w:tr>
      <w:tr w14:paraId="0925DA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38945E9E">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302B9703">
            <w:pPr>
              <w:jc w:val="center"/>
              <w:rPr>
                <w:rFonts w:hint="eastAsia" w:ascii="宋体" w:hAnsi="宋体" w:eastAsia="宋体" w:cs="宋体"/>
                <w:sz w:val="24"/>
                <w:szCs w:val="24"/>
                <w:highlight w:val="none"/>
              </w:rPr>
            </w:pPr>
          </w:p>
        </w:tc>
        <w:tc>
          <w:tcPr>
            <w:tcW w:w="1613"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5078D94B">
            <w:pPr>
              <w:jc w:val="center"/>
              <w:rPr>
                <w:rFonts w:hint="eastAsia" w:ascii="宋体" w:hAnsi="宋体" w:eastAsia="宋体" w:cs="宋体"/>
                <w:sz w:val="24"/>
                <w:szCs w:val="24"/>
                <w:highlight w:val="none"/>
              </w:rPr>
            </w:pPr>
          </w:p>
        </w:tc>
        <w:tc>
          <w:tcPr>
            <w:tcW w:w="448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4549361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5.数据库安全运维管理服务。未能及时发现数据库运维风险导致安全事故的，一次扣5分，扣完为止。(满分10分）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5CB5545F">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402E7C45">
            <w:pPr>
              <w:jc w:val="center"/>
              <w:rPr>
                <w:rFonts w:hint="eastAsia" w:ascii="宋体" w:hAnsi="宋体" w:eastAsia="宋体" w:cs="宋体"/>
                <w:sz w:val="24"/>
                <w:szCs w:val="24"/>
                <w:highlight w:val="none"/>
              </w:rPr>
            </w:pPr>
          </w:p>
        </w:tc>
      </w:tr>
      <w:tr w14:paraId="67DCD0B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50E2121D">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p>
        </w:tc>
        <w:tc>
          <w:tcPr>
            <w:tcW w:w="1132"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6D51D9A3">
            <w:pPr>
              <w:widowControl/>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rPr>
              <w:t>保密规定</w:t>
            </w:r>
          </w:p>
        </w:tc>
        <w:tc>
          <w:tcPr>
            <w:tcW w:w="161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0CCB9498">
            <w:pPr>
              <w:widowControl/>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448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33A91B61">
            <w:pPr>
              <w:widowControl/>
              <w:jc w:val="left"/>
              <w:rPr>
                <w:rFonts w:hint="default" w:ascii="宋体" w:hAnsi="宋体" w:eastAsia="宋体" w:cs="宋体"/>
                <w:sz w:val="24"/>
                <w:szCs w:val="24"/>
                <w:highlight w:val="none"/>
                <w:lang w:val="en-US" w:eastAsia="zh-CN"/>
              </w:rPr>
            </w:pPr>
            <w:r>
              <w:rPr>
                <w:rFonts w:hint="eastAsia" w:ascii="宋体" w:hAnsi="宋体" w:eastAsia="宋体" w:cs="宋体"/>
                <w:color w:val="000000"/>
                <w:kern w:val="0"/>
                <w:sz w:val="24"/>
                <w:szCs w:val="24"/>
                <w:lang w:val="en-US" w:eastAsia="zh-CN"/>
              </w:rPr>
              <w:t>运维期须严格遵守保密规定</w:t>
            </w:r>
            <w:r>
              <w:rPr>
                <w:rFonts w:hint="eastAsia" w:ascii="宋体" w:hAnsi="宋体" w:eastAsia="宋体" w:cs="宋体"/>
                <w:color w:val="000000"/>
                <w:kern w:val="0"/>
                <w:sz w:val="24"/>
                <w:szCs w:val="24"/>
              </w:rPr>
              <w:t>，未经许可不得泄露任何数据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只能在甲方许可的系统范围内提供服务，不得利用工作之便非法侵入或尝试侵入其他系统。</w:t>
            </w:r>
            <w:r>
              <w:rPr>
                <w:rFonts w:hint="eastAsia" w:ascii="宋体" w:hAnsi="宋体" w:eastAsia="宋体" w:cs="宋体"/>
                <w:color w:val="000000"/>
                <w:kern w:val="0"/>
                <w:sz w:val="24"/>
                <w:szCs w:val="24"/>
                <w:lang w:val="en-US" w:eastAsia="zh-CN"/>
              </w:rPr>
              <w:t>发生此类事件，该项不得分并追究相关责任</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bidi="ar-SA"/>
              </w:rPr>
              <w:t>(满分20分）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6F2EC903">
            <w:pPr>
              <w:jc w:val="center"/>
              <w:rPr>
                <w:rFonts w:hint="eastAsia" w:ascii="宋体" w:hAnsi="宋体" w:eastAsia="宋体" w:cs="宋体"/>
                <w:sz w:val="24"/>
                <w:szCs w:val="24"/>
                <w:highlight w:val="none"/>
              </w:rPr>
            </w:pPr>
          </w:p>
        </w:tc>
        <w:tc>
          <w:tcPr>
            <w:tcW w:w="1132"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703AE582">
            <w:pPr>
              <w:jc w:val="center"/>
              <w:rPr>
                <w:rFonts w:hint="eastAsia" w:ascii="宋体" w:hAnsi="宋体" w:eastAsia="宋体" w:cs="宋体"/>
                <w:sz w:val="24"/>
                <w:szCs w:val="24"/>
                <w:highlight w:val="none"/>
              </w:rPr>
            </w:pPr>
          </w:p>
        </w:tc>
      </w:tr>
      <w:tr w14:paraId="7394621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613AF5EA">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1132"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26667B5F">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c>
          <w:tcPr>
            <w:tcW w:w="161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515F79C5">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c>
          <w:tcPr>
            <w:tcW w:w="448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2FB92771">
            <w:pPr>
              <w:jc w:val="center"/>
              <w:rPr>
                <w:rFonts w:hint="default" w:ascii="宋体" w:hAnsi="宋体" w:eastAsia="宋体" w:cs="宋体"/>
                <w:sz w:val="24"/>
                <w:szCs w:val="24"/>
                <w:highlight w:val="none"/>
                <w:lang w:val="en-US" w:eastAsia="zh-CN"/>
              </w:rPr>
            </w:pP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16294C6C">
            <w:pPr>
              <w:jc w:val="center"/>
              <w:rPr>
                <w:rFonts w:hint="eastAsia" w:ascii="宋体" w:hAnsi="宋体" w:eastAsia="宋体" w:cs="宋体"/>
                <w:sz w:val="24"/>
                <w:szCs w:val="24"/>
                <w:highlight w:val="none"/>
              </w:rPr>
            </w:pPr>
          </w:p>
        </w:tc>
        <w:tc>
          <w:tcPr>
            <w:tcW w:w="1132"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6A7A8BBD">
            <w:pPr>
              <w:jc w:val="center"/>
              <w:rPr>
                <w:rFonts w:hint="eastAsia" w:ascii="宋体" w:hAnsi="宋体" w:eastAsia="宋体" w:cs="宋体"/>
                <w:sz w:val="24"/>
                <w:szCs w:val="24"/>
                <w:highlight w:val="none"/>
              </w:rPr>
            </w:pPr>
          </w:p>
        </w:tc>
      </w:tr>
      <w:tr w14:paraId="75DB84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9787" w:type="dxa"/>
            <w:gridSpan w:val="7"/>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05635307">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双方项目管理人员意见</w:t>
            </w:r>
          </w:p>
        </w:tc>
      </w:tr>
      <w:tr w14:paraId="14DE5E3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4800" w:type="dxa"/>
            <w:gridSpan w:val="4"/>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7CA0B18D">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p w14:paraId="50D3E0A8">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1E2F3C56">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日期：</w:t>
            </w:r>
          </w:p>
        </w:tc>
        <w:tc>
          <w:tcPr>
            <w:tcW w:w="4987" w:type="dxa"/>
            <w:gridSpan w:val="3"/>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14:paraId="0E85DCD2">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p w14:paraId="445AFAB6">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highlight w:val="none"/>
              </w:rPr>
            </w:pPr>
          </w:p>
          <w:p w14:paraId="5BA1053E">
            <w:pPr>
              <w:pStyle w:val="1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日期：</w:t>
            </w:r>
          </w:p>
        </w:tc>
      </w:tr>
    </w:tbl>
    <w:p w14:paraId="7914A147">
      <w:pPr>
        <w:bidi w:val="0"/>
        <w:rPr>
          <w:rFonts w:hint="eastAsia"/>
        </w:rPr>
      </w:pPr>
    </w:p>
    <w:p w14:paraId="1735A9D8">
      <w:pPr>
        <w:pStyle w:val="3"/>
        <w:spacing w:line="360" w:lineRule="auto"/>
        <w:rPr>
          <w:rFonts w:hint="eastAsia" w:ascii="宋体" w:hAnsi="宋体" w:eastAsia="宋体" w:cs="仿宋_GB2312"/>
          <w:sz w:val="24"/>
          <w:szCs w:val="24"/>
        </w:rPr>
      </w:pPr>
      <w:r>
        <w:rPr>
          <w:rFonts w:hint="eastAsia" w:ascii="宋体" w:hAnsi="宋体" w:eastAsia="宋体" w:cs="仿宋_GB2312"/>
          <w:sz w:val="24"/>
          <w:szCs w:val="24"/>
        </w:rPr>
        <w:t>3考核与结算规则</w:t>
      </w:r>
    </w:p>
    <w:p w14:paraId="00B1232B">
      <w:pPr>
        <w:pStyle w:val="32"/>
        <w:spacing w:before="156" w:after="120"/>
        <w:ind w:firstLine="480"/>
        <w:rPr>
          <w:rFonts w:hint="eastAsia"/>
        </w:rPr>
      </w:pPr>
      <w:r>
        <w:rPr>
          <w:rFonts w:hint="eastAsia"/>
        </w:rPr>
        <w:t>为确保安全服务能达到</w:t>
      </w:r>
      <w:r>
        <w:rPr>
          <w:rFonts w:hint="eastAsia" w:cs="Arial"/>
        </w:rPr>
        <w:t>采购人</w:t>
      </w:r>
      <w:r>
        <w:rPr>
          <w:rFonts w:hint="eastAsia"/>
        </w:rPr>
        <w:t>的业务实际需求，同时保证服务质量。考核与付款规则要求如下：</w:t>
      </w:r>
      <w:r>
        <w:t xml:space="preserve"> </w:t>
      </w:r>
    </w:p>
    <w:p w14:paraId="48CA714F">
      <w:pPr>
        <w:pStyle w:val="32"/>
        <w:spacing w:before="156" w:after="120"/>
        <w:ind w:firstLine="480"/>
        <w:rPr>
          <w:rFonts w:hint="eastAsia"/>
        </w:rPr>
      </w:pPr>
      <w:r>
        <w:rPr>
          <w:rFonts w:hint="eastAsia"/>
          <w:lang w:eastAsia="zh-CN"/>
        </w:rPr>
        <w:t>（</w:t>
      </w:r>
      <w:r>
        <w:rPr>
          <w:rFonts w:hint="eastAsia"/>
          <w:lang w:val="en-US" w:eastAsia="zh-CN"/>
        </w:rPr>
        <w:t>1</w:t>
      </w:r>
      <w:r>
        <w:rPr>
          <w:rFonts w:hint="eastAsia"/>
          <w:lang w:eastAsia="zh-CN"/>
        </w:rPr>
        <w:t>）</w:t>
      </w:r>
      <w:r>
        <w:rPr>
          <w:rFonts w:hint="eastAsia"/>
        </w:rPr>
        <w:t>考核与扣款</w:t>
      </w:r>
    </w:p>
    <w:p w14:paraId="31C6A628">
      <w:pPr>
        <w:pStyle w:val="32"/>
        <w:spacing w:before="156" w:after="120"/>
        <w:ind w:firstLine="480"/>
        <w:rPr>
          <w:rFonts w:hint="eastAsia"/>
        </w:rPr>
      </w:pPr>
      <w:r>
        <w:rPr>
          <w:rFonts w:hint="eastAsia"/>
        </w:rPr>
        <w:t>考核根据考核表进行，依据考核得分情况在支付尾款时进行扣款结算，如下：</w:t>
      </w:r>
    </w:p>
    <w:tbl>
      <w:tblPr>
        <w:tblStyle w:val="18"/>
        <w:tblW w:w="0" w:type="auto"/>
        <w:tblInd w:w="0" w:type="dxa"/>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Layout w:type="autofit"/>
        <w:tblCellMar>
          <w:top w:w="0" w:type="dxa"/>
          <w:left w:w="108" w:type="dxa"/>
          <w:bottom w:w="0" w:type="dxa"/>
          <w:right w:w="108" w:type="dxa"/>
        </w:tblCellMar>
      </w:tblPr>
      <w:tblGrid>
        <w:gridCol w:w="1692"/>
        <w:gridCol w:w="6604"/>
      </w:tblGrid>
      <w:tr w14:paraId="5C59708B">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1692" w:type="dxa"/>
            <w:tcBorders>
              <w:top w:val="outset" w:color="000000" w:sz="4" w:space="0"/>
              <w:left w:val="outset" w:color="000000" w:sz="4" w:space="0"/>
              <w:bottom w:val="outset" w:color="000000" w:sz="4" w:space="0"/>
              <w:right w:val="outset" w:color="000000" w:sz="4" w:space="0"/>
            </w:tcBorders>
            <w:tcMar>
              <w:top w:w="0" w:type="dxa"/>
              <w:left w:w="90" w:type="dxa"/>
              <w:bottom w:w="0" w:type="dxa"/>
              <w:right w:w="90" w:type="dxa"/>
            </w:tcMar>
          </w:tcPr>
          <w:p w14:paraId="6A804211">
            <w:pPr>
              <w:pStyle w:val="40"/>
              <w:jc w:val="center"/>
              <w:rPr>
                <w:rFonts w:ascii="宋体" w:hAnsi="宋体" w:eastAsia="宋体" w:cs="宋体"/>
                <w:sz w:val="24"/>
                <w:szCs w:val="24"/>
              </w:rPr>
            </w:pPr>
            <w:r>
              <w:rPr>
                <w:rFonts w:ascii="宋体" w:hAnsi="宋体" w:eastAsia="宋体" w:cs="宋体"/>
                <w:sz w:val="24"/>
                <w:szCs w:val="24"/>
              </w:rPr>
              <w:t>考核得分</w:t>
            </w:r>
          </w:p>
        </w:tc>
        <w:tc>
          <w:tcPr>
            <w:tcW w:w="6604" w:type="dxa"/>
            <w:tcBorders>
              <w:top w:val="outset" w:color="000000" w:sz="4" w:space="0"/>
              <w:left w:val="outset" w:color="000000" w:sz="4" w:space="0"/>
              <w:bottom w:val="outset" w:color="000000" w:sz="4" w:space="0"/>
              <w:right w:val="outset" w:color="000000" w:sz="4" w:space="0"/>
            </w:tcBorders>
            <w:tcMar>
              <w:top w:w="0" w:type="dxa"/>
              <w:left w:w="90" w:type="dxa"/>
              <w:bottom w:w="0" w:type="dxa"/>
              <w:right w:w="90" w:type="dxa"/>
            </w:tcMar>
          </w:tcPr>
          <w:p w14:paraId="59725703">
            <w:pPr>
              <w:pStyle w:val="40"/>
              <w:jc w:val="center"/>
              <w:rPr>
                <w:rFonts w:ascii="宋体" w:hAnsi="宋体" w:eastAsia="宋体" w:cs="宋体"/>
                <w:sz w:val="24"/>
                <w:szCs w:val="24"/>
              </w:rPr>
            </w:pPr>
            <w:r>
              <w:rPr>
                <w:rFonts w:ascii="宋体" w:hAnsi="宋体" w:eastAsia="宋体" w:cs="宋体"/>
                <w:sz w:val="24"/>
                <w:szCs w:val="24"/>
              </w:rPr>
              <w:t>结算依据</w:t>
            </w:r>
          </w:p>
        </w:tc>
      </w:tr>
      <w:tr w14:paraId="74BE58BA">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1692" w:type="dxa"/>
            <w:tcBorders>
              <w:top w:val="outset" w:color="000000" w:sz="4" w:space="0"/>
              <w:left w:val="outset" w:color="000000" w:sz="4" w:space="0"/>
              <w:bottom w:val="outset" w:color="000000" w:sz="4" w:space="0"/>
              <w:right w:val="outset" w:color="000000" w:sz="4" w:space="0"/>
            </w:tcBorders>
            <w:tcMar>
              <w:top w:w="0" w:type="dxa"/>
              <w:left w:w="90" w:type="dxa"/>
              <w:bottom w:w="0" w:type="dxa"/>
              <w:right w:w="90" w:type="dxa"/>
            </w:tcMar>
          </w:tcPr>
          <w:p w14:paraId="1200D77F">
            <w:pPr>
              <w:pStyle w:val="40"/>
              <w:jc w:val="center"/>
              <w:rPr>
                <w:rFonts w:ascii="宋体" w:hAnsi="宋体" w:eastAsia="宋体" w:cs="宋体"/>
                <w:sz w:val="24"/>
                <w:szCs w:val="24"/>
              </w:rPr>
            </w:pPr>
            <w:r>
              <w:rPr>
                <w:rFonts w:ascii="宋体" w:hAnsi="宋体" w:eastAsia="宋体" w:cs="宋体"/>
                <w:sz w:val="24"/>
                <w:szCs w:val="24"/>
              </w:rPr>
              <w:t>100分</w:t>
            </w:r>
          </w:p>
        </w:tc>
        <w:tc>
          <w:tcPr>
            <w:tcW w:w="6604" w:type="dxa"/>
            <w:tcBorders>
              <w:top w:val="outset" w:color="000000" w:sz="4" w:space="0"/>
              <w:left w:val="outset" w:color="000000" w:sz="4" w:space="0"/>
              <w:bottom w:val="outset" w:color="000000" w:sz="4" w:space="0"/>
              <w:right w:val="outset" w:color="000000" w:sz="4" w:space="0"/>
            </w:tcBorders>
            <w:tcMar>
              <w:top w:w="0" w:type="dxa"/>
              <w:left w:w="90" w:type="dxa"/>
              <w:bottom w:w="0" w:type="dxa"/>
              <w:right w:w="90" w:type="dxa"/>
            </w:tcMar>
          </w:tcPr>
          <w:p w14:paraId="62B01536">
            <w:pPr>
              <w:pStyle w:val="40"/>
              <w:rPr>
                <w:rFonts w:ascii="宋体" w:hAnsi="宋体" w:eastAsia="宋体" w:cs="宋体"/>
                <w:sz w:val="24"/>
                <w:szCs w:val="24"/>
              </w:rPr>
            </w:pPr>
            <w:r>
              <w:rPr>
                <w:rFonts w:ascii="宋体" w:hAnsi="宋体" w:eastAsia="宋体" w:cs="宋体"/>
                <w:sz w:val="24"/>
                <w:szCs w:val="24"/>
              </w:rPr>
              <w:t>全额结算，给予表扬</w:t>
            </w:r>
          </w:p>
        </w:tc>
      </w:tr>
      <w:tr w14:paraId="53AA5858">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1692" w:type="dxa"/>
            <w:tcBorders>
              <w:top w:val="outset" w:color="000000" w:sz="4" w:space="0"/>
              <w:left w:val="outset" w:color="000000" w:sz="4" w:space="0"/>
              <w:bottom w:val="outset" w:color="000000" w:sz="4" w:space="0"/>
              <w:right w:val="outset" w:color="000000" w:sz="4" w:space="0"/>
            </w:tcBorders>
            <w:tcMar>
              <w:top w:w="0" w:type="dxa"/>
              <w:left w:w="90" w:type="dxa"/>
              <w:bottom w:w="0" w:type="dxa"/>
              <w:right w:w="90" w:type="dxa"/>
            </w:tcMar>
          </w:tcPr>
          <w:p w14:paraId="7439DC18">
            <w:pPr>
              <w:pStyle w:val="40"/>
              <w:jc w:val="center"/>
              <w:rPr>
                <w:rFonts w:ascii="宋体" w:hAnsi="宋体" w:eastAsia="宋体" w:cs="宋体"/>
                <w:sz w:val="24"/>
                <w:szCs w:val="24"/>
              </w:rPr>
            </w:pPr>
            <w:r>
              <w:rPr>
                <w:rFonts w:ascii="宋体" w:hAnsi="宋体" w:eastAsia="宋体" w:cs="宋体"/>
                <w:sz w:val="24"/>
                <w:szCs w:val="24"/>
              </w:rPr>
              <w:t>9</w:t>
            </w:r>
            <w:r>
              <w:rPr>
                <w:rFonts w:ascii="宋体" w:hAnsi="宋体" w:eastAsia="宋体" w:cs="宋体"/>
                <w:sz w:val="24"/>
                <w:szCs w:val="24"/>
                <w:lang w:eastAsia="zh-CN"/>
              </w:rPr>
              <w:t>0</w:t>
            </w:r>
            <w:r>
              <w:rPr>
                <w:rFonts w:ascii="宋体" w:hAnsi="宋体" w:eastAsia="宋体" w:cs="宋体"/>
                <w:sz w:val="24"/>
                <w:szCs w:val="24"/>
              </w:rPr>
              <w:t>-99分</w:t>
            </w:r>
          </w:p>
        </w:tc>
        <w:tc>
          <w:tcPr>
            <w:tcW w:w="6604" w:type="dxa"/>
            <w:tcBorders>
              <w:top w:val="outset" w:color="000000" w:sz="4" w:space="0"/>
              <w:left w:val="outset" w:color="000000" w:sz="4" w:space="0"/>
              <w:bottom w:val="outset" w:color="000000" w:sz="4" w:space="0"/>
              <w:right w:val="outset" w:color="000000" w:sz="4" w:space="0"/>
            </w:tcBorders>
            <w:tcMar>
              <w:top w:w="0" w:type="dxa"/>
              <w:left w:w="90" w:type="dxa"/>
              <w:bottom w:w="0" w:type="dxa"/>
              <w:right w:w="90" w:type="dxa"/>
            </w:tcMar>
          </w:tcPr>
          <w:p w14:paraId="3074C775">
            <w:pPr>
              <w:pStyle w:val="40"/>
              <w:rPr>
                <w:rFonts w:ascii="宋体" w:hAnsi="宋体" w:eastAsia="宋体" w:cs="宋体"/>
                <w:sz w:val="24"/>
                <w:szCs w:val="24"/>
              </w:rPr>
            </w:pPr>
            <w:r>
              <w:rPr>
                <w:rFonts w:ascii="宋体" w:hAnsi="宋体" w:eastAsia="宋体" w:cs="宋体"/>
                <w:sz w:val="24"/>
                <w:szCs w:val="24"/>
              </w:rPr>
              <w:t>全额结算</w:t>
            </w:r>
          </w:p>
        </w:tc>
      </w:tr>
      <w:tr w14:paraId="73AC01AB">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1692" w:type="dxa"/>
            <w:tcBorders>
              <w:top w:val="outset" w:color="000000" w:sz="4" w:space="0"/>
              <w:left w:val="outset" w:color="000000" w:sz="4" w:space="0"/>
              <w:bottom w:val="outset" w:color="000000" w:sz="4" w:space="0"/>
              <w:right w:val="outset" w:color="000000" w:sz="4" w:space="0"/>
            </w:tcBorders>
            <w:tcMar>
              <w:top w:w="0" w:type="dxa"/>
              <w:left w:w="90" w:type="dxa"/>
              <w:bottom w:w="0" w:type="dxa"/>
              <w:right w:w="90" w:type="dxa"/>
            </w:tcMar>
          </w:tcPr>
          <w:p w14:paraId="5FA674BE">
            <w:pPr>
              <w:pStyle w:val="40"/>
              <w:jc w:val="center"/>
              <w:rPr>
                <w:rFonts w:ascii="宋体" w:hAnsi="宋体" w:eastAsia="宋体" w:cs="宋体"/>
                <w:sz w:val="24"/>
                <w:szCs w:val="24"/>
              </w:rPr>
            </w:pPr>
            <w:r>
              <w:rPr>
                <w:rFonts w:ascii="宋体" w:hAnsi="宋体" w:eastAsia="宋体" w:cs="宋体"/>
                <w:sz w:val="24"/>
                <w:szCs w:val="24"/>
                <w:lang w:eastAsia="zh-CN"/>
              </w:rPr>
              <w:t>8</w:t>
            </w:r>
            <w:r>
              <w:rPr>
                <w:rFonts w:ascii="宋体" w:hAnsi="宋体" w:eastAsia="宋体" w:cs="宋体"/>
                <w:sz w:val="24"/>
                <w:szCs w:val="24"/>
              </w:rPr>
              <w:t>0-</w:t>
            </w:r>
            <w:r>
              <w:rPr>
                <w:rFonts w:ascii="宋体" w:hAnsi="宋体" w:eastAsia="宋体" w:cs="宋体"/>
                <w:sz w:val="24"/>
                <w:szCs w:val="24"/>
                <w:lang w:eastAsia="zh-CN"/>
              </w:rPr>
              <w:t>89</w:t>
            </w:r>
            <w:r>
              <w:rPr>
                <w:rFonts w:ascii="宋体" w:hAnsi="宋体" w:eastAsia="宋体" w:cs="宋体"/>
                <w:sz w:val="24"/>
                <w:szCs w:val="24"/>
              </w:rPr>
              <w:t>分</w:t>
            </w:r>
          </w:p>
        </w:tc>
        <w:tc>
          <w:tcPr>
            <w:tcW w:w="6604" w:type="dxa"/>
            <w:tcBorders>
              <w:top w:val="outset" w:color="000000" w:sz="4" w:space="0"/>
              <w:left w:val="outset" w:color="000000" w:sz="4" w:space="0"/>
              <w:bottom w:val="outset" w:color="000000" w:sz="4" w:space="0"/>
              <w:right w:val="outset" w:color="000000" w:sz="4" w:space="0"/>
            </w:tcBorders>
            <w:tcMar>
              <w:top w:w="0" w:type="dxa"/>
              <w:left w:w="90" w:type="dxa"/>
              <w:bottom w:w="0" w:type="dxa"/>
              <w:right w:w="90" w:type="dxa"/>
            </w:tcMar>
          </w:tcPr>
          <w:p w14:paraId="6F1D4C40">
            <w:pPr>
              <w:pStyle w:val="40"/>
              <w:rPr>
                <w:rFonts w:hint="default" w:ascii="宋体" w:hAnsi="宋体" w:eastAsia="宋体" w:cs="宋体"/>
                <w:sz w:val="24"/>
                <w:szCs w:val="24"/>
                <w:lang w:val="en-US"/>
              </w:rPr>
            </w:pPr>
            <w:r>
              <w:rPr>
                <w:rFonts w:ascii="宋体" w:hAnsi="宋体" w:eastAsia="宋体" w:cs="宋体"/>
                <w:sz w:val="24"/>
                <w:szCs w:val="24"/>
              </w:rPr>
              <w:t>采购人有权从未支付款项中扣除中标价</w:t>
            </w:r>
            <w:r>
              <w:rPr>
                <w:rFonts w:hint="eastAsia" w:ascii="宋体" w:hAnsi="宋体" w:eastAsia="宋体" w:cs="宋体"/>
                <w:sz w:val="24"/>
                <w:szCs w:val="24"/>
                <w:lang w:val="en-US" w:eastAsia="zh-CN"/>
              </w:rPr>
              <w:t>20</w:t>
            </w:r>
            <w:r>
              <w:rPr>
                <w:rFonts w:ascii="宋体" w:hAnsi="宋体" w:eastAsia="宋体" w:cs="宋体"/>
                <w:sz w:val="24"/>
                <w:szCs w:val="24"/>
                <w:lang w:eastAsia="zh-CN"/>
              </w:rPr>
              <w:t>%</w:t>
            </w:r>
            <w:r>
              <w:rPr>
                <w:rFonts w:hint="eastAsia" w:ascii="宋体" w:hAnsi="宋体" w:eastAsia="宋体" w:cs="宋体"/>
                <w:sz w:val="24"/>
                <w:szCs w:val="24"/>
                <w:lang w:val="en-US" w:eastAsia="zh-CN"/>
              </w:rPr>
              <w:t>款项</w:t>
            </w:r>
          </w:p>
        </w:tc>
      </w:tr>
      <w:tr w14:paraId="45E2E104">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1692" w:type="dxa"/>
            <w:tcBorders>
              <w:top w:val="outset" w:color="000000" w:sz="4" w:space="0"/>
              <w:left w:val="outset" w:color="000000" w:sz="4" w:space="0"/>
              <w:bottom w:val="outset" w:color="000000" w:sz="4" w:space="0"/>
              <w:right w:val="outset" w:color="000000" w:sz="4" w:space="0"/>
            </w:tcBorders>
            <w:tcMar>
              <w:top w:w="0" w:type="dxa"/>
              <w:left w:w="90" w:type="dxa"/>
              <w:bottom w:w="0" w:type="dxa"/>
              <w:right w:w="90" w:type="dxa"/>
            </w:tcMar>
          </w:tcPr>
          <w:p w14:paraId="7ED5D764">
            <w:pPr>
              <w:pStyle w:val="40"/>
              <w:jc w:val="center"/>
              <w:rPr>
                <w:rFonts w:ascii="宋体" w:hAnsi="宋体" w:eastAsia="宋体" w:cs="宋体"/>
                <w:sz w:val="24"/>
                <w:szCs w:val="24"/>
              </w:rPr>
            </w:pPr>
            <w:r>
              <w:rPr>
                <w:rFonts w:ascii="宋体" w:hAnsi="宋体" w:eastAsia="宋体" w:cs="宋体"/>
                <w:sz w:val="24"/>
                <w:szCs w:val="24"/>
              </w:rPr>
              <w:t>70-79分</w:t>
            </w:r>
          </w:p>
        </w:tc>
        <w:tc>
          <w:tcPr>
            <w:tcW w:w="6604" w:type="dxa"/>
            <w:tcBorders>
              <w:top w:val="outset" w:color="000000" w:sz="4" w:space="0"/>
              <w:left w:val="outset" w:color="000000" w:sz="4" w:space="0"/>
              <w:bottom w:val="outset" w:color="000000" w:sz="4" w:space="0"/>
              <w:right w:val="outset" w:color="000000" w:sz="4" w:space="0"/>
            </w:tcBorders>
            <w:tcMar>
              <w:top w:w="0" w:type="dxa"/>
              <w:left w:w="90" w:type="dxa"/>
              <w:bottom w:w="0" w:type="dxa"/>
              <w:right w:w="90" w:type="dxa"/>
            </w:tcMar>
          </w:tcPr>
          <w:p w14:paraId="51F6CFA3">
            <w:pPr>
              <w:pStyle w:val="40"/>
              <w:rPr>
                <w:rFonts w:ascii="宋体" w:hAnsi="宋体" w:eastAsia="宋体" w:cs="宋体"/>
                <w:sz w:val="24"/>
                <w:szCs w:val="24"/>
              </w:rPr>
            </w:pPr>
            <w:r>
              <w:rPr>
                <w:rFonts w:ascii="宋体" w:hAnsi="宋体" w:eastAsia="宋体" w:cs="宋体"/>
                <w:sz w:val="24"/>
                <w:szCs w:val="24"/>
              </w:rPr>
              <w:t>采购人有权从未支付款项中扣除中标价</w:t>
            </w:r>
            <w:r>
              <w:rPr>
                <w:rFonts w:hint="eastAsia" w:ascii="宋体" w:hAnsi="宋体" w:eastAsia="宋体" w:cs="宋体"/>
                <w:sz w:val="24"/>
                <w:szCs w:val="24"/>
                <w:lang w:val="en-US" w:eastAsia="zh-CN"/>
              </w:rPr>
              <w:t>50</w:t>
            </w:r>
            <w:r>
              <w:rPr>
                <w:rFonts w:ascii="宋体" w:hAnsi="宋体" w:eastAsia="宋体" w:cs="宋体"/>
                <w:sz w:val="24"/>
                <w:szCs w:val="24"/>
                <w:lang w:eastAsia="zh-CN"/>
              </w:rPr>
              <w:t>%</w:t>
            </w:r>
            <w:r>
              <w:rPr>
                <w:rFonts w:hint="eastAsia" w:ascii="宋体" w:hAnsi="宋体" w:eastAsia="宋体" w:cs="宋体"/>
                <w:sz w:val="24"/>
                <w:szCs w:val="24"/>
                <w:lang w:val="en-US" w:eastAsia="zh-CN"/>
              </w:rPr>
              <w:t>款项</w:t>
            </w:r>
          </w:p>
        </w:tc>
      </w:tr>
      <w:tr w14:paraId="18DD4367">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1692" w:type="dxa"/>
            <w:tcBorders>
              <w:top w:val="outset" w:color="000000" w:sz="4" w:space="0"/>
              <w:left w:val="outset" w:color="000000" w:sz="4" w:space="0"/>
              <w:bottom w:val="outset" w:color="000000" w:sz="4" w:space="0"/>
              <w:right w:val="outset" w:color="000000" w:sz="4" w:space="0"/>
            </w:tcBorders>
            <w:tcMar>
              <w:top w:w="0" w:type="dxa"/>
              <w:left w:w="90" w:type="dxa"/>
              <w:bottom w:w="0" w:type="dxa"/>
              <w:right w:w="90" w:type="dxa"/>
            </w:tcMar>
          </w:tcPr>
          <w:p w14:paraId="0A9ADD54">
            <w:pPr>
              <w:pStyle w:val="40"/>
              <w:jc w:val="center"/>
              <w:rPr>
                <w:rFonts w:hint="default" w:ascii="宋体" w:hAnsi="宋体" w:eastAsia="宋体" w:cs="宋体"/>
                <w:sz w:val="24"/>
                <w:szCs w:val="24"/>
                <w:lang w:val="en-US" w:eastAsia="zh-CN"/>
              </w:rPr>
            </w:pPr>
            <w:r>
              <w:rPr>
                <w:rFonts w:ascii="宋体" w:hAnsi="宋体" w:eastAsia="宋体" w:cs="宋体"/>
                <w:sz w:val="24"/>
                <w:szCs w:val="24"/>
              </w:rPr>
              <w:t>69分</w:t>
            </w:r>
            <w:r>
              <w:rPr>
                <w:rFonts w:hint="eastAsia" w:ascii="宋体" w:hAnsi="宋体" w:eastAsia="宋体" w:cs="宋体"/>
                <w:sz w:val="24"/>
                <w:szCs w:val="24"/>
                <w:lang w:val="en-US" w:eastAsia="zh-CN"/>
              </w:rPr>
              <w:t>及以下</w:t>
            </w:r>
          </w:p>
        </w:tc>
        <w:tc>
          <w:tcPr>
            <w:tcW w:w="6604" w:type="dxa"/>
            <w:tcBorders>
              <w:top w:val="outset" w:color="000000" w:sz="4" w:space="0"/>
              <w:left w:val="outset" w:color="000000" w:sz="4" w:space="0"/>
              <w:bottom w:val="outset" w:color="000000" w:sz="4" w:space="0"/>
              <w:right w:val="outset" w:color="000000" w:sz="4" w:space="0"/>
            </w:tcBorders>
            <w:tcMar>
              <w:top w:w="0" w:type="dxa"/>
              <w:left w:w="90" w:type="dxa"/>
              <w:bottom w:w="0" w:type="dxa"/>
              <w:right w:w="90" w:type="dxa"/>
            </w:tcMar>
          </w:tcPr>
          <w:p w14:paraId="27A23C27">
            <w:pPr>
              <w:pStyle w:val="40"/>
              <w:rPr>
                <w:rFonts w:ascii="宋体" w:hAnsi="宋体" w:eastAsia="宋体" w:cs="宋体"/>
                <w:sz w:val="24"/>
                <w:szCs w:val="24"/>
              </w:rPr>
            </w:pPr>
            <w:r>
              <w:rPr>
                <w:rFonts w:hint="eastAsia" w:ascii="宋体" w:hAnsi="宋体" w:eastAsia="宋体" w:cs="宋体"/>
                <w:sz w:val="24"/>
                <w:szCs w:val="24"/>
                <w:lang w:val="en-US" w:eastAsia="zh-CN"/>
              </w:rPr>
              <w:t>采购人有权终止合同并追究中标人责任</w:t>
            </w:r>
          </w:p>
        </w:tc>
      </w:tr>
    </w:tbl>
    <w:p w14:paraId="54594AF8">
      <w:pPr>
        <w:pStyle w:val="2"/>
        <w:rPr>
          <w:rFonts w:hint="eastAsia" w:ascii="宋体" w:hAnsi="宋体" w:eastAsia="宋体" w:cs="宋体"/>
          <w:kern w:val="0"/>
          <w:sz w:val="24"/>
          <w:szCs w:val="24"/>
        </w:rPr>
      </w:pPr>
      <w:r>
        <w:rPr>
          <w:rFonts w:hint="eastAsia" w:ascii="宋体" w:hAnsi="宋体" w:eastAsia="宋体" w:cs="宋体"/>
          <w:kern w:val="0"/>
          <w:sz w:val="24"/>
          <w:szCs w:val="24"/>
        </w:rPr>
        <w:t>（九）付款方式</w:t>
      </w:r>
    </w:p>
    <w:p w14:paraId="461E690A">
      <w:pPr>
        <w:pStyle w:val="32"/>
        <w:spacing w:before="156" w:after="120"/>
        <w:ind w:firstLine="480"/>
        <w:rPr>
          <w:rFonts w:hint="eastAsia"/>
        </w:rPr>
      </w:pPr>
      <w:r>
        <w:rPr>
          <w:rFonts w:hint="eastAsia"/>
        </w:rPr>
        <w:t>1.合同签订后，采购人在收到中标人提供的正规、足额增值税普通发票之日起15工作日内，采购人向中标人支付合同总额的</w:t>
      </w:r>
      <w:r>
        <w:rPr>
          <w:rFonts w:hint="eastAsia"/>
          <w:lang w:val="en-US" w:eastAsia="zh-CN"/>
        </w:rPr>
        <w:t>3</w:t>
      </w:r>
      <w:r>
        <w:rPr>
          <w:rFonts w:hint="eastAsia"/>
          <w:b/>
          <w:bCs/>
        </w:rPr>
        <w:t>0%。</w:t>
      </w:r>
      <w:r>
        <w:rPr>
          <w:rFonts w:hint="eastAsia"/>
        </w:rPr>
        <w:t>中标人未及时提供发票的，采购人有权延迟付款。</w:t>
      </w:r>
    </w:p>
    <w:p w14:paraId="20C8C9F8">
      <w:pPr>
        <w:pStyle w:val="32"/>
        <w:spacing w:before="156" w:after="120"/>
        <w:ind w:firstLine="480"/>
        <w:rPr>
          <w:rFonts w:hint="default" w:eastAsia="宋体"/>
          <w:lang w:val="en-US" w:eastAsia="zh-CN"/>
        </w:rPr>
      </w:pPr>
      <w:r>
        <w:rPr>
          <w:rFonts w:hint="eastAsia"/>
          <w:lang w:val="en-US" w:eastAsia="zh-CN"/>
        </w:rPr>
        <w:t>2.中标人须在一个月内完成实施部署并提供一个月完整服务，经采购人确认</w:t>
      </w:r>
      <w:bookmarkStart w:id="8" w:name="_GoBack"/>
      <w:bookmarkEnd w:id="8"/>
      <w:r>
        <w:rPr>
          <w:rFonts w:hint="eastAsia"/>
          <w:lang w:val="en-US" w:eastAsia="zh-CN"/>
        </w:rPr>
        <w:t>后,</w:t>
      </w:r>
      <w:r>
        <w:rPr>
          <w:rFonts w:hint="eastAsia"/>
        </w:rPr>
        <w:t>采购人在收到中标人提供的正规、足额增值税普通发票之日起15工作日内，采购人向中标人支付合同总额的</w:t>
      </w:r>
      <w:r>
        <w:rPr>
          <w:rFonts w:hint="eastAsia"/>
          <w:lang w:val="en-US" w:eastAsia="zh-CN"/>
        </w:rPr>
        <w:t>2</w:t>
      </w:r>
      <w:r>
        <w:rPr>
          <w:rFonts w:hint="eastAsia"/>
          <w:b/>
          <w:bCs/>
        </w:rPr>
        <w:t>0%。</w:t>
      </w:r>
      <w:r>
        <w:rPr>
          <w:rFonts w:hint="eastAsia"/>
        </w:rPr>
        <w:t>中标人未及时提供发票的，采购人有权延迟付款。</w:t>
      </w:r>
    </w:p>
    <w:p w14:paraId="583B2A02">
      <w:pPr>
        <w:pStyle w:val="32"/>
        <w:spacing w:before="156" w:after="120"/>
        <w:ind w:firstLine="480"/>
        <w:rPr>
          <w:rFonts w:hint="eastAsia"/>
        </w:rPr>
      </w:pPr>
      <w:r>
        <w:rPr>
          <w:rFonts w:hint="eastAsia"/>
          <w:lang w:val="en-US" w:eastAsia="zh-CN"/>
        </w:rPr>
        <w:t>3</w:t>
      </w:r>
      <w:r>
        <w:rPr>
          <w:rFonts w:hint="eastAsia"/>
        </w:rPr>
        <w:t>.服务期满，通过</w:t>
      </w:r>
      <w:r>
        <w:rPr>
          <w:rFonts w:hint="eastAsia"/>
          <w:lang w:val="en-US" w:eastAsia="zh-CN"/>
        </w:rPr>
        <w:t>考核</w:t>
      </w:r>
      <w:r>
        <w:rPr>
          <w:rFonts w:hint="eastAsia"/>
        </w:rPr>
        <w:t>验收后</w:t>
      </w:r>
      <w:r>
        <w:rPr>
          <w:rFonts w:hint="eastAsia"/>
          <w:lang w:eastAsia="zh-CN"/>
        </w:rPr>
        <w:t>，</w:t>
      </w:r>
      <w:r>
        <w:rPr>
          <w:rFonts w:hint="eastAsia"/>
        </w:rPr>
        <w:t>采购人在收到中标人提供的正规、足额增值税普通发票之日起15工作日内，采购人向中标人支付剩余服务款项</w:t>
      </w:r>
      <w:r>
        <w:rPr>
          <w:rFonts w:hint="eastAsia"/>
          <w:b/>
          <w:bCs/>
        </w:rPr>
        <w:t>，</w:t>
      </w:r>
      <w:r>
        <w:rPr>
          <w:rFonts w:hint="eastAsia"/>
          <w:lang w:val="en-US" w:eastAsia="zh-CN"/>
        </w:rPr>
        <w:t>参照考核标准约定，</w:t>
      </w:r>
      <w:r>
        <w:rPr>
          <w:rFonts w:hint="eastAsia"/>
        </w:rPr>
        <w:t>若存在扣款情况的，采购人将直接在应付款中扣除。中标人未及时提供发票的，采购人有权延迟付款。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A407F"/>
    <w:multiLevelType w:val="singleLevel"/>
    <w:tmpl w:val="F20A407F"/>
    <w:lvl w:ilvl="0" w:tentative="0">
      <w:start w:val="1"/>
      <w:numFmt w:val="decimal"/>
      <w:suff w:val="nothing"/>
      <w:lvlText w:val="%1、"/>
      <w:lvlJc w:val="left"/>
    </w:lvl>
  </w:abstractNum>
  <w:abstractNum w:abstractNumId="1">
    <w:nsid w:val="40BA4770"/>
    <w:multiLevelType w:val="singleLevel"/>
    <w:tmpl w:val="40BA4770"/>
    <w:lvl w:ilvl="0" w:tentative="0">
      <w:start w:val="3"/>
      <w:numFmt w:val="chineseCounting"/>
      <w:suff w:val="nothing"/>
      <w:lvlText w:val="（%1）"/>
      <w:lvlJc w:val="left"/>
      <w:rPr>
        <w:rFonts w:hint="eastAsia"/>
      </w:rPr>
    </w:lvl>
  </w:abstractNum>
  <w:abstractNum w:abstractNumId="2">
    <w:nsid w:val="74E9D3C2"/>
    <w:multiLevelType w:val="singleLevel"/>
    <w:tmpl w:val="74E9D3C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5MTkxNzYxMjg2Zjc2YWU0N2Y3MWMzNjQ2NDZiMjEifQ=="/>
  </w:docVars>
  <w:rsids>
    <w:rsidRoot w:val="002D7945"/>
    <w:rsid w:val="000005C9"/>
    <w:rsid w:val="000174DE"/>
    <w:rsid w:val="0002173C"/>
    <w:rsid w:val="00024539"/>
    <w:rsid w:val="000255AA"/>
    <w:rsid w:val="00031621"/>
    <w:rsid w:val="00035468"/>
    <w:rsid w:val="00035BF8"/>
    <w:rsid w:val="00051898"/>
    <w:rsid w:val="00065051"/>
    <w:rsid w:val="00074B8A"/>
    <w:rsid w:val="000756EC"/>
    <w:rsid w:val="0007679E"/>
    <w:rsid w:val="00084D86"/>
    <w:rsid w:val="000973DE"/>
    <w:rsid w:val="00097ACC"/>
    <w:rsid w:val="000A438C"/>
    <w:rsid w:val="000A7799"/>
    <w:rsid w:val="000B55AD"/>
    <w:rsid w:val="000B7916"/>
    <w:rsid w:val="000D3A97"/>
    <w:rsid w:val="000F7180"/>
    <w:rsid w:val="00100386"/>
    <w:rsid w:val="00101BE3"/>
    <w:rsid w:val="001060E1"/>
    <w:rsid w:val="00111781"/>
    <w:rsid w:val="00124DFC"/>
    <w:rsid w:val="00135981"/>
    <w:rsid w:val="001702FB"/>
    <w:rsid w:val="00173198"/>
    <w:rsid w:val="00177B61"/>
    <w:rsid w:val="0018193D"/>
    <w:rsid w:val="001948DB"/>
    <w:rsid w:val="001B0E45"/>
    <w:rsid w:val="001C4055"/>
    <w:rsid w:val="001D6991"/>
    <w:rsid w:val="001F36D2"/>
    <w:rsid w:val="00200130"/>
    <w:rsid w:val="00202960"/>
    <w:rsid w:val="00203C2F"/>
    <w:rsid w:val="00217B32"/>
    <w:rsid w:val="00242FEF"/>
    <w:rsid w:val="002452BF"/>
    <w:rsid w:val="00247947"/>
    <w:rsid w:val="00251A8D"/>
    <w:rsid w:val="00252039"/>
    <w:rsid w:val="00277054"/>
    <w:rsid w:val="00277990"/>
    <w:rsid w:val="00282E05"/>
    <w:rsid w:val="002A1AB0"/>
    <w:rsid w:val="002A603F"/>
    <w:rsid w:val="002C027C"/>
    <w:rsid w:val="002C1EA5"/>
    <w:rsid w:val="002C782C"/>
    <w:rsid w:val="002D7945"/>
    <w:rsid w:val="002E192C"/>
    <w:rsid w:val="00305771"/>
    <w:rsid w:val="00313ABB"/>
    <w:rsid w:val="00315F12"/>
    <w:rsid w:val="00325290"/>
    <w:rsid w:val="003264F2"/>
    <w:rsid w:val="00327717"/>
    <w:rsid w:val="00341B6A"/>
    <w:rsid w:val="00347A3A"/>
    <w:rsid w:val="00350BEB"/>
    <w:rsid w:val="0036240B"/>
    <w:rsid w:val="003702B0"/>
    <w:rsid w:val="0038135A"/>
    <w:rsid w:val="0038713E"/>
    <w:rsid w:val="003905C7"/>
    <w:rsid w:val="003B5F63"/>
    <w:rsid w:val="003C12BA"/>
    <w:rsid w:val="003C3FBF"/>
    <w:rsid w:val="003C5B26"/>
    <w:rsid w:val="003D1569"/>
    <w:rsid w:val="003D412E"/>
    <w:rsid w:val="003E0246"/>
    <w:rsid w:val="003F7AB0"/>
    <w:rsid w:val="00403821"/>
    <w:rsid w:val="00406FFF"/>
    <w:rsid w:val="00407F83"/>
    <w:rsid w:val="00414564"/>
    <w:rsid w:val="00433DD1"/>
    <w:rsid w:val="00442A4E"/>
    <w:rsid w:val="00455AA6"/>
    <w:rsid w:val="00473A44"/>
    <w:rsid w:val="004842D6"/>
    <w:rsid w:val="004A274E"/>
    <w:rsid w:val="004A5A11"/>
    <w:rsid w:val="004C5E83"/>
    <w:rsid w:val="004C6705"/>
    <w:rsid w:val="00507B06"/>
    <w:rsid w:val="00514F0D"/>
    <w:rsid w:val="00525EBE"/>
    <w:rsid w:val="00546569"/>
    <w:rsid w:val="0054678E"/>
    <w:rsid w:val="005525FB"/>
    <w:rsid w:val="00571471"/>
    <w:rsid w:val="00590119"/>
    <w:rsid w:val="005907A0"/>
    <w:rsid w:val="00595405"/>
    <w:rsid w:val="005958E5"/>
    <w:rsid w:val="005B4A42"/>
    <w:rsid w:val="005C37CE"/>
    <w:rsid w:val="005D6DE8"/>
    <w:rsid w:val="005F45AD"/>
    <w:rsid w:val="005F7391"/>
    <w:rsid w:val="00613034"/>
    <w:rsid w:val="0062011E"/>
    <w:rsid w:val="00636E21"/>
    <w:rsid w:val="00641FA3"/>
    <w:rsid w:val="00653091"/>
    <w:rsid w:val="00667149"/>
    <w:rsid w:val="00676512"/>
    <w:rsid w:val="0068070C"/>
    <w:rsid w:val="006903A2"/>
    <w:rsid w:val="006978A5"/>
    <w:rsid w:val="006A7FDA"/>
    <w:rsid w:val="006B1D94"/>
    <w:rsid w:val="006C15C4"/>
    <w:rsid w:val="006C2725"/>
    <w:rsid w:val="006D2AE8"/>
    <w:rsid w:val="006D2FE6"/>
    <w:rsid w:val="006F3237"/>
    <w:rsid w:val="00700422"/>
    <w:rsid w:val="00700E24"/>
    <w:rsid w:val="00701067"/>
    <w:rsid w:val="00757104"/>
    <w:rsid w:val="007A22D5"/>
    <w:rsid w:val="007C29A3"/>
    <w:rsid w:val="007C2AC0"/>
    <w:rsid w:val="007E2FAC"/>
    <w:rsid w:val="007E4A86"/>
    <w:rsid w:val="00807431"/>
    <w:rsid w:val="00843E71"/>
    <w:rsid w:val="008502F8"/>
    <w:rsid w:val="00862B8E"/>
    <w:rsid w:val="0086401E"/>
    <w:rsid w:val="008923C5"/>
    <w:rsid w:val="008940A2"/>
    <w:rsid w:val="0089713D"/>
    <w:rsid w:val="008A7187"/>
    <w:rsid w:val="008B05F4"/>
    <w:rsid w:val="008C5B4B"/>
    <w:rsid w:val="00901B22"/>
    <w:rsid w:val="00915988"/>
    <w:rsid w:val="0092187C"/>
    <w:rsid w:val="00926888"/>
    <w:rsid w:val="00946B7B"/>
    <w:rsid w:val="00947025"/>
    <w:rsid w:val="00956373"/>
    <w:rsid w:val="00965DA9"/>
    <w:rsid w:val="0096728C"/>
    <w:rsid w:val="0097283D"/>
    <w:rsid w:val="00986A2B"/>
    <w:rsid w:val="009A63DD"/>
    <w:rsid w:val="009A7D84"/>
    <w:rsid w:val="009E6996"/>
    <w:rsid w:val="009F0ACF"/>
    <w:rsid w:val="009F411B"/>
    <w:rsid w:val="00A5608B"/>
    <w:rsid w:val="00A620F9"/>
    <w:rsid w:val="00A66633"/>
    <w:rsid w:val="00A67CAE"/>
    <w:rsid w:val="00A83F4E"/>
    <w:rsid w:val="00A86C32"/>
    <w:rsid w:val="00AB2354"/>
    <w:rsid w:val="00AC7D68"/>
    <w:rsid w:val="00AD68B0"/>
    <w:rsid w:val="00AE4CD0"/>
    <w:rsid w:val="00AE5837"/>
    <w:rsid w:val="00AE6736"/>
    <w:rsid w:val="00AF5994"/>
    <w:rsid w:val="00B04C02"/>
    <w:rsid w:val="00B16B66"/>
    <w:rsid w:val="00B17D04"/>
    <w:rsid w:val="00B25BCA"/>
    <w:rsid w:val="00B32CC6"/>
    <w:rsid w:val="00B45619"/>
    <w:rsid w:val="00B607D3"/>
    <w:rsid w:val="00B77351"/>
    <w:rsid w:val="00BA29AA"/>
    <w:rsid w:val="00BB1963"/>
    <w:rsid w:val="00BB4207"/>
    <w:rsid w:val="00BB515C"/>
    <w:rsid w:val="00BE24B0"/>
    <w:rsid w:val="00BE4744"/>
    <w:rsid w:val="00C045AE"/>
    <w:rsid w:val="00C1579D"/>
    <w:rsid w:val="00C17900"/>
    <w:rsid w:val="00C7783C"/>
    <w:rsid w:val="00C80E88"/>
    <w:rsid w:val="00CA0614"/>
    <w:rsid w:val="00CB5A2B"/>
    <w:rsid w:val="00CC0BCC"/>
    <w:rsid w:val="00CC3FAF"/>
    <w:rsid w:val="00CD0485"/>
    <w:rsid w:val="00CD6916"/>
    <w:rsid w:val="00CE6D4C"/>
    <w:rsid w:val="00CF6356"/>
    <w:rsid w:val="00CF7E4C"/>
    <w:rsid w:val="00D17A50"/>
    <w:rsid w:val="00D34C86"/>
    <w:rsid w:val="00D3590D"/>
    <w:rsid w:val="00D41537"/>
    <w:rsid w:val="00D713E5"/>
    <w:rsid w:val="00D76AF5"/>
    <w:rsid w:val="00DD0740"/>
    <w:rsid w:val="00DE03F1"/>
    <w:rsid w:val="00DF2FBB"/>
    <w:rsid w:val="00E07E84"/>
    <w:rsid w:val="00E104BD"/>
    <w:rsid w:val="00E22DAC"/>
    <w:rsid w:val="00E23921"/>
    <w:rsid w:val="00E25155"/>
    <w:rsid w:val="00E31322"/>
    <w:rsid w:val="00E34EDB"/>
    <w:rsid w:val="00E37F07"/>
    <w:rsid w:val="00E419EE"/>
    <w:rsid w:val="00E63157"/>
    <w:rsid w:val="00E64B88"/>
    <w:rsid w:val="00E6527B"/>
    <w:rsid w:val="00E80318"/>
    <w:rsid w:val="00E804DE"/>
    <w:rsid w:val="00E91D05"/>
    <w:rsid w:val="00E97FDB"/>
    <w:rsid w:val="00EC2B82"/>
    <w:rsid w:val="00EC3B39"/>
    <w:rsid w:val="00ED4796"/>
    <w:rsid w:val="00EE46AA"/>
    <w:rsid w:val="00EE7994"/>
    <w:rsid w:val="00EF2F94"/>
    <w:rsid w:val="00F07985"/>
    <w:rsid w:val="00F17697"/>
    <w:rsid w:val="00F54295"/>
    <w:rsid w:val="00F569E3"/>
    <w:rsid w:val="00F72AF4"/>
    <w:rsid w:val="00F85FDB"/>
    <w:rsid w:val="00F9743D"/>
    <w:rsid w:val="00FA00EB"/>
    <w:rsid w:val="00FA53D9"/>
    <w:rsid w:val="00FE1116"/>
    <w:rsid w:val="00FF50CE"/>
    <w:rsid w:val="011765AA"/>
    <w:rsid w:val="025E0219"/>
    <w:rsid w:val="03167D76"/>
    <w:rsid w:val="04B03D94"/>
    <w:rsid w:val="052B3E5C"/>
    <w:rsid w:val="05D32938"/>
    <w:rsid w:val="06600081"/>
    <w:rsid w:val="06F22DDC"/>
    <w:rsid w:val="07CD21D1"/>
    <w:rsid w:val="08C6281E"/>
    <w:rsid w:val="09117634"/>
    <w:rsid w:val="09DA42DB"/>
    <w:rsid w:val="0A7E4DE6"/>
    <w:rsid w:val="0CC376A4"/>
    <w:rsid w:val="0DC566A4"/>
    <w:rsid w:val="0DD953D7"/>
    <w:rsid w:val="0EB75D5C"/>
    <w:rsid w:val="1063632A"/>
    <w:rsid w:val="109D1DBA"/>
    <w:rsid w:val="11CD20F0"/>
    <w:rsid w:val="139951D4"/>
    <w:rsid w:val="16457715"/>
    <w:rsid w:val="1C845179"/>
    <w:rsid w:val="1CA13CEB"/>
    <w:rsid w:val="1DCC3D6B"/>
    <w:rsid w:val="20546C98"/>
    <w:rsid w:val="211B2738"/>
    <w:rsid w:val="23B452A1"/>
    <w:rsid w:val="282E358F"/>
    <w:rsid w:val="29656152"/>
    <w:rsid w:val="2ACD28FA"/>
    <w:rsid w:val="2DFB239F"/>
    <w:rsid w:val="320E5D4F"/>
    <w:rsid w:val="348F14C1"/>
    <w:rsid w:val="360A02F4"/>
    <w:rsid w:val="376D5B2B"/>
    <w:rsid w:val="38B71BB5"/>
    <w:rsid w:val="39346C55"/>
    <w:rsid w:val="3BFB4DA0"/>
    <w:rsid w:val="3D2902E7"/>
    <w:rsid w:val="3F6C127E"/>
    <w:rsid w:val="40A857C3"/>
    <w:rsid w:val="40DF2773"/>
    <w:rsid w:val="41146209"/>
    <w:rsid w:val="41A11C30"/>
    <w:rsid w:val="44D16625"/>
    <w:rsid w:val="451746C2"/>
    <w:rsid w:val="473D1F95"/>
    <w:rsid w:val="479A72AE"/>
    <w:rsid w:val="49591531"/>
    <w:rsid w:val="4C516396"/>
    <w:rsid w:val="4DA05A2E"/>
    <w:rsid w:val="4E21111F"/>
    <w:rsid w:val="4F693D29"/>
    <w:rsid w:val="4F8A5A0E"/>
    <w:rsid w:val="506E3F2C"/>
    <w:rsid w:val="513242BC"/>
    <w:rsid w:val="52607735"/>
    <w:rsid w:val="53C412A4"/>
    <w:rsid w:val="54776284"/>
    <w:rsid w:val="54EB1352"/>
    <w:rsid w:val="5572624B"/>
    <w:rsid w:val="55A047DE"/>
    <w:rsid w:val="57C05A19"/>
    <w:rsid w:val="5DBD507C"/>
    <w:rsid w:val="63C54DD9"/>
    <w:rsid w:val="66C163D1"/>
    <w:rsid w:val="678753EF"/>
    <w:rsid w:val="67AB4F57"/>
    <w:rsid w:val="68183EDF"/>
    <w:rsid w:val="68245C5D"/>
    <w:rsid w:val="68F228CB"/>
    <w:rsid w:val="6A1F541F"/>
    <w:rsid w:val="6AD61449"/>
    <w:rsid w:val="6D0B417D"/>
    <w:rsid w:val="6D586561"/>
    <w:rsid w:val="6F10063C"/>
    <w:rsid w:val="714B6FA9"/>
    <w:rsid w:val="73367E96"/>
    <w:rsid w:val="73A1041B"/>
    <w:rsid w:val="771A3C5F"/>
    <w:rsid w:val="7AA770A0"/>
    <w:rsid w:val="7AB245B9"/>
    <w:rsid w:val="7C770220"/>
    <w:rsid w:val="7E2D4CDD"/>
    <w:rsid w:val="7E416DC5"/>
    <w:rsid w:val="7ECC686E"/>
    <w:rsid w:val="FFF31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5"/>
    <w:qFormat/>
    <w:uiPriority w:val="0"/>
    <w:pPr>
      <w:keepNext/>
      <w:keepLines/>
      <w:spacing w:before="120" w:after="120"/>
      <w:outlineLvl w:val="4"/>
    </w:pPr>
    <w:rPr>
      <w:rFonts w:ascii="Arial" w:hAnsi="Arial" w:eastAsia="宋体" w:cs="Times New Roman"/>
      <w:b/>
      <w:bCs/>
      <w:sz w:val="24"/>
      <w:szCs w:val="28"/>
    </w:rPr>
  </w:style>
  <w:style w:type="paragraph" w:styleId="7">
    <w:name w:val="heading 6"/>
    <w:basedOn w:val="1"/>
    <w:next w:val="1"/>
    <w:link w:val="36"/>
    <w:qFormat/>
    <w:uiPriority w:val="0"/>
    <w:pPr>
      <w:keepNext/>
      <w:keepLines/>
      <w:spacing w:before="120" w:after="120"/>
      <w:outlineLvl w:val="5"/>
    </w:pPr>
    <w:rPr>
      <w:rFonts w:ascii="Arial" w:hAnsi="Arial" w:eastAsia="宋体" w:cs="Times New Roman"/>
      <w:b/>
      <w:bCs/>
      <w:sz w:val="24"/>
      <w:szCs w:val="24"/>
    </w:rPr>
  </w:style>
  <w:style w:type="paragraph" w:styleId="8">
    <w:name w:val="heading 7"/>
    <w:basedOn w:val="1"/>
    <w:next w:val="1"/>
    <w:link w:val="37"/>
    <w:qFormat/>
    <w:uiPriority w:val="0"/>
    <w:pPr>
      <w:keepNext/>
      <w:keepLines/>
      <w:spacing w:before="120" w:after="120"/>
      <w:outlineLvl w:val="6"/>
    </w:pPr>
    <w:rPr>
      <w:rFonts w:ascii="Arial" w:hAnsi="Arial" w:eastAsia="宋体" w:cs="Arial"/>
      <w:b/>
      <w:bCs/>
      <w:sz w:val="24"/>
      <w:szCs w:val="32"/>
    </w:rPr>
  </w:style>
  <w:style w:type="paragraph" w:styleId="9">
    <w:name w:val="heading 8"/>
    <w:basedOn w:val="10"/>
    <w:next w:val="1"/>
    <w:link w:val="38"/>
    <w:qFormat/>
    <w:uiPriority w:val="0"/>
    <w:pPr>
      <w:keepNext w:val="0"/>
      <w:spacing w:before="0" w:after="120"/>
      <w:jc w:val="left"/>
      <w:outlineLvl w:val="7"/>
    </w:pPr>
  </w:style>
  <w:style w:type="paragraph" w:styleId="10">
    <w:name w:val="heading 9"/>
    <w:basedOn w:val="1"/>
    <w:next w:val="1"/>
    <w:link w:val="39"/>
    <w:qFormat/>
    <w:uiPriority w:val="0"/>
    <w:pPr>
      <w:keepNext/>
      <w:keepLines/>
      <w:spacing w:before="120"/>
      <w:jc w:val="center"/>
      <w:outlineLvl w:val="8"/>
    </w:pPr>
    <w:rPr>
      <w:rFonts w:ascii="宋体" w:hAnsi="宋体" w:eastAsia="宋体" w:cs="Times New Roman"/>
      <w:b/>
      <w:sz w:val="24"/>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7"/>
    <w:semiHidden/>
    <w:unhideWhenUsed/>
    <w:qFormat/>
    <w:uiPriority w:val="99"/>
    <w:pPr>
      <w:jc w:val="left"/>
    </w:pPr>
  </w:style>
  <w:style w:type="paragraph" w:styleId="12">
    <w:name w:val="Body Text"/>
    <w:basedOn w:val="1"/>
    <w:next w:val="13"/>
    <w:qFormat/>
    <w:uiPriority w:val="0"/>
  </w:style>
  <w:style w:type="paragraph" w:styleId="13">
    <w:name w:val="Body Text 2"/>
    <w:basedOn w:val="1"/>
    <w:next w:val="12"/>
    <w:qFormat/>
    <w:uiPriority w:val="0"/>
    <w:pPr>
      <w:spacing w:after="120" w:line="480" w:lineRule="auto"/>
    </w:pPr>
  </w:style>
  <w:style w:type="paragraph" w:styleId="14">
    <w:name w:val="footer"/>
    <w:basedOn w:val="1"/>
    <w:link w:val="24"/>
    <w:unhideWhenUsed/>
    <w:qFormat/>
    <w:uiPriority w:val="99"/>
    <w:pPr>
      <w:tabs>
        <w:tab w:val="center" w:pos="4153"/>
        <w:tab w:val="right" w:pos="8306"/>
      </w:tabs>
      <w:snapToGrid w:val="0"/>
      <w:jc w:val="left"/>
    </w:pPr>
    <w:rPr>
      <w:sz w:val="18"/>
      <w:szCs w:val="18"/>
    </w:rPr>
  </w:style>
  <w:style w:type="paragraph" w:styleId="15">
    <w:name w:val="header"/>
    <w:basedOn w:val="1"/>
    <w:link w:val="23"/>
    <w:unhideWhenUsed/>
    <w:qFormat/>
    <w:uiPriority w:val="99"/>
    <w:pPr>
      <w:tabs>
        <w:tab w:val="center" w:pos="4153"/>
        <w:tab w:val="right" w:pos="8306"/>
      </w:tabs>
      <w:snapToGrid w:val="0"/>
      <w:jc w:val="center"/>
    </w:pPr>
    <w:rPr>
      <w:sz w:val="18"/>
      <w:szCs w:val="18"/>
    </w:r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annotation subject"/>
    <w:basedOn w:val="11"/>
    <w:next w:val="11"/>
    <w:link w:val="28"/>
    <w:semiHidden/>
    <w:unhideWhenUsed/>
    <w:qFormat/>
    <w:uiPriority w:val="99"/>
    <w:rPr>
      <w:b/>
      <w:bCs/>
    </w:rPr>
  </w:style>
  <w:style w:type="table" w:styleId="19">
    <w:name w:val="Table Grid"/>
    <w:basedOn w:val="18"/>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semiHidden/>
    <w:unhideWhenUsed/>
    <w:qFormat/>
    <w:uiPriority w:val="99"/>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页眉 字符"/>
    <w:basedOn w:val="20"/>
    <w:link w:val="15"/>
    <w:qFormat/>
    <w:uiPriority w:val="99"/>
    <w:rPr>
      <w:sz w:val="18"/>
      <w:szCs w:val="18"/>
    </w:rPr>
  </w:style>
  <w:style w:type="character" w:customStyle="1" w:styleId="24">
    <w:name w:val="页脚 字符"/>
    <w:basedOn w:val="20"/>
    <w:link w:val="14"/>
    <w:qFormat/>
    <w:uiPriority w:val="99"/>
    <w:rPr>
      <w:sz w:val="18"/>
      <w:szCs w:val="18"/>
    </w:rPr>
  </w:style>
  <w:style w:type="paragraph" w:styleId="25">
    <w:name w:val="List Paragraph"/>
    <w:basedOn w:val="1"/>
    <w:link w:val="26"/>
    <w:qFormat/>
    <w:uiPriority w:val="34"/>
    <w:pPr>
      <w:pBdr>
        <w:top w:val="none" w:color="000000" w:sz="0" w:space="0"/>
        <w:left w:val="none" w:color="000000" w:sz="0" w:space="0"/>
        <w:bottom w:val="none" w:color="000000" w:sz="0" w:space="0"/>
        <w:right w:val="none" w:color="000000" w:sz="0" w:space="0"/>
        <w:between w:val="none" w:color="000000" w:sz="0" w:space="0"/>
      </w:pBdr>
      <w:shd w:val="clear" w:color="auto" w:fill="FFFFFF"/>
      <w:ind w:firstLine="420"/>
    </w:pPr>
    <w:rPr>
      <w:rFonts w:ascii="等线" w:hAnsi="等线" w:eastAsia="等线" w:cs="等线"/>
      <w:kern w:val="0"/>
    </w:rPr>
  </w:style>
  <w:style w:type="character" w:customStyle="1" w:styleId="26">
    <w:name w:val="列表段落 字符"/>
    <w:link w:val="25"/>
    <w:qFormat/>
    <w:uiPriority w:val="34"/>
    <w:rPr>
      <w:rFonts w:ascii="等线" w:hAnsi="等线" w:eastAsia="等线" w:cs="等线"/>
      <w:kern w:val="0"/>
      <w:shd w:val="clear" w:color="auto" w:fill="FFFFFF"/>
    </w:rPr>
  </w:style>
  <w:style w:type="character" w:customStyle="1" w:styleId="27">
    <w:name w:val="批注文字 字符"/>
    <w:basedOn w:val="20"/>
    <w:link w:val="11"/>
    <w:semiHidden/>
    <w:qFormat/>
    <w:uiPriority w:val="99"/>
  </w:style>
  <w:style w:type="character" w:customStyle="1" w:styleId="28">
    <w:name w:val="批注主题 字符"/>
    <w:basedOn w:val="27"/>
    <w:link w:val="17"/>
    <w:semiHidden/>
    <w:qFormat/>
    <w:uiPriority w:val="99"/>
    <w:rPr>
      <w:b/>
      <w:bCs/>
    </w:rPr>
  </w:style>
  <w:style w:type="character" w:customStyle="1" w:styleId="29">
    <w:name w:val="标题 2 字符"/>
    <w:basedOn w:val="20"/>
    <w:link w:val="3"/>
    <w:qFormat/>
    <w:uiPriority w:val="0"/>
    <w:rPr>
      <w:rFonts w:asciiTheme="majorHAnsi" w:hAnsiTheme="majorHAnsi" w:eastAsiaTheme="majorEastAsia" w:cstheme="majorBidi"/>
      <w:b/>
      <w:bCs/>
      <w:sz w:val="32"/>
      <w:szCs w:val="32"/>
    </w:rPr>
  </w:style>
  <w:style w:type="character" w:customStyle="1" w:styleId="30">
    <w:name w:val="标题 3 字符"/>
    <w:basedOn w:val="20"/>
    <w:link w:val="4"/>
    <w:qFormat/>
    <w:uiPriority w:val="0"/>
    <w:rPr>
      <w:rFonts w:ascii="Times New Roman" w:hAnsi="Times New Roman" w:eastAsia="宋体" w:cs="Times New Roman"/>
      <w:b/>
      <w:bCs/>
      <w:sz w:val="32"/>
      <w:szCs w:val="32"/>
    </w:rPr>
  </w:style>
  <w:style w:type="character" w:customStyle="1" w:styleId="31">
    <w:name w:val="标题 4 字符"/>
    <w:basedOn w:val="20"/>
    <w:link w:val="5"/>
    <w:qFormat/>
    <w:uiPriority w:val="0"/>
    <w:rPr>
      <w:rFonts w:asciiTheme="majorHAnsi" w:hAnsiTheme="majorHAnsi" w:eastAsiaTheme="majorEastAsia" w:cstheme="majorBidi"/>
      <w:b/>
      <w:bCs/>
      <w:sz w:val="28"/>
      <w:szCs w:val="28"/>
    </w:rPr>
  </w:style>
  <w:style w:type="paragraph" w:customStyle="1" w:styleId="32">
    <w:name w:val="FC正文"/>
    <w:basedOn w:val="1"/>
    <w:link w:val="33"/>
    <w:qFormat/>
    <w:uiPriority w:val="0"/>
    <w:pPr>
      <w:widowControl/>
      <w:snapToGrid w:val="0"/>
      <w:spacing w:beforeLines="50" w:line="360" w:lineRule="auto"/>
      <w:ind w:firstLine="560" w:firstLineChars="200"/>
      <w:contextualSpacing/>
    </w:pPr>
    <w:rPr>
      <w:rFonts w:ascii="宋体" w:hAnsi="宋体" w:eastAsia="宋体" w:cs="宋体"/>
      <w:sz w:val="24"/>
      <w:szCs w:val="21"/>
    </w:rPr>
  </w:style>
  <w:style w:type="character" w:customStyle="1" w:styleId="33">
    <w:name w:val="FC正文 Char"/>
    <w:link w:val="32"/>
    <w:qFormat/>
    <w:uiPriority w:val="0"/>
    <w:rPr>
      <w:rFonts w:ascii="宋体" w:hAnsi="宋体" w:eastAsia="宋体" w:cs="宋体"/>
      <w:sz w:val="24"/>
      <w:szCs w:val="21"/>
    </w:rPr>
  </w:style>
  <w:style w:type="character" w:customStyle="1" w:styleId="34">
    <w:name w:val="标题 1 字符"/>
    <w:basedOn w:val="20"/>
    <w:link w:val="2"/>
    <w:qFormat/>
    <w:uiPriority w:val="9"/>
    <w:rPr>
      <w:b/>
      <w:bCs/>
      <w:kern w:val="44"/>
      <w:sz w:val="44"/>
      <w:szCs w:val="44"/>
    </w:rPr>
  </w:style>
  <w:style w:type="character" w:customStyle="1" w:styleId="35">
    <w:name w:val="标题 5 字符"/>
    <w:basedOn w:val="20"/>
    <w:link w:val="6"/>
    <w:qFormat/>
    <w:uiPriority w:val="0"/>
    <w:rPr>
      <w:rFonts w:ascii="Arial" w:hAnsi="Arial" w:eastAsia="宋体" w:cs="Times New Roman"/>
      <w:b/>
      <w:bCs/>
      <w:sz w:val="24"/>
      <w:szCs w:val="28"/>
    </w:rPr>
  </w:style>
  <w:style w:type="character" w:customStyle="1" w:styleId="36">
    <w:name w:val="标题 6 字符"/>
    <w:basedOn w:val="20"/>
    <w:link w:val="7"/>
    <w:qFormat/>
    <w:uiPriority w:val="0"/>
    <w:rPr>
      <w:rFonts w:ascii="Arial" w:hAnsi="Arial" w:eastAsia="宋体" w:cs="Times New Roman"/>
      <w:b/>
      <w:bCs/>
      <w:sz w:val="24"/>
      <w:szCs w:val="24"/>
    </w:rPr>
  </w:style>
  <w:style w:type="character" w:customStyle="1" w:styleId="37">
    <w:name w:val="标题 7 字符"/>
    <w:basedOn w:val="20"/>
    <w:link w:val="8"/>
    <w:qFormat/>
    <w:uiPriority w:val="0"/>
    <w:rPr>
      <w:rFonts w:ascii="Arial" w:hAnsi="Arial" w:eastAsia="宋体" w:cs="Arial"/>
      <w:b/>
      <w:bCs/>
      <w:sz w:val="24"/>
      <w:szCs w:val="32"/>
    </w:rPr>
  </w:style>
  <w:style w:type="character" w:customStyle="1" w:styleId="38">
    <w:name w:val="标题 8 字符"/>
    <w:basedOn w:val="20"/>
    <w:link w:val="9"/>
    <w:qFormat/>
    <w:uiPriority w:val="0"/>
    <w:rPr>
      <w:rFonts w:ascii="宋体" w:hAnsi="宋体" w:eastAsia="宋体" w:cs="Times New Roman"/>
      <w:b/>
      <w:sz w:val="24"/>
      <w:szCs w:val="21"/>
    </w:rPr>
  </w:style>
  <w:style w:type="character" w:customStyle="1" w:styleId="39">
    <w:name w:val="标题 9 字符"/>
    <w:basedOn w:val="20"/>
    <w:link w:val="10"/>
    <w:qFormat/>
    <w:uiPriority w:val="0"/>
    <w:rPr>
      <w:rFonts w:ascii="宋体" w:hAnsi="宋体" w:eastAsia="宋体" w:cs="Times New Roman"/>
      <w:b/>
      <w:sz w:val="24"/>
      <w:szCs w:val="21"/>
    </w:rPr>
  </w:style>
  <w:style w:type="paragraph" w:customStyle="1" w:styleId="40">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5531</Words>
  <Characters>5650</Characters>
  <Lines>58</Lines>
  <Paragraphs>16</Paragraphs>
  <TotalTime>2</TotalTime>
  <ScaleCrop>false</ScaleCrop>
  <LinksUpToDate>false</LinksUpToDate>
  <CharactersWithSpaces>5672</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2024-07-18T02:44:00Z</dcterms:created>
  <dc:creator>0M</dc:creator>
  <cp:lastModifiedBy>作者</cp:lastModifiedBy>
  <cp:lastPrinted>2024-07-26T01:46:00Z</cp:lastPrinted>
  <dcterms:modified xsi:type="dcterms:W3CDTF">2025-09-03T03:08:08Z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2052-12.8.2.19830</vt:lpwstr>
  </property>
  <property fmtid="{D5CDD505-2E9C-101B-9397-08002B2CF9AE}" pid="3" name="ICV">
    <vt:lpwstr>1B1B99282E6A47B4BACC0D3D7D698142_13</vt:lpwstr>
  </property>
  <property fmtid="{D5CDD505-2E9C-101B-9397-08002B2CF9AE}" pid="4" name="KSOTemplateDocerSaveRecord">
    <vt:lpwstr>eyJoZGlkIjoiMDNiYmE2YWU1M2JiMzEwMDgwOTk4ZDVlMjc1NjNjMjYiLCJ1c2VySWQiOiI4NTM5ODUwNTQifQ==</vt:lpwstr>
  </property>
</Properties>
</file>