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b w:val="0"/>
          <w:bCs/>
          <w:sz w:val="36"/>
          <w:szCs w:val="36"/>
          <w:lang w:val="en-US" w:eastAsia="zh-CN"/>
        </w:rPr>
      </w:pPr>
      <w:r>
        <w:rPr>
          <w:rFonts w:hint="eastAsia" w:ascii="方正小标宋简体" w:hAnsi="宋体" w:eastAsia="方正小标宋简体" w:cs="Times New Roman"/>
          <w:b w:val="0"/>
          <w:bCs/>
          <w:sz w:val="36"/>
          <w:szCs w:val="36"/>
          <w:lang w:val="en-US" w:eastAsia="zh-CN"/>
        </w:rPr>
        <w:t xml:space="preserve">   2025-2026年福建省数字水安视频监视系统（一期）运维服务和2023-2025年度省级水资源管理系统运维服务（2025年度）等2个项目的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b w:val="0"/>
          <w:bCs/>
          <w:sz w:val="36"/>
          <w:szCs w:val="36"/>
          <w:lang w:val="en-US" w:eastAsia="zh-CN"/>
        </w:rPr>
      </w:pPr>
      <w:r>
        <w:rPr>
          <w:rFonts w:hint="eastAsia" w:ascii="方正小标宋简体" w:hAnsi="宋体" w:eastAsia="方正小标宋简体" w:cs="Times New Roman"/>
          <w:b w:val="0"/>
          <w:bCs/>
          <w:sz w:val="36"/>
          <w:szCs w:val="36"/>
          <w:lang w:val="en-US" w:eastAsia="zh-CN"/>
        </w:rPr>
        <w:t>监理</w:t>
      </w:r>
      <w:bookmarkStart w:id="5" w:name="_GoBack"/>
      <w:r>
        <w:rPr>
          <w:rFonts w:hint="eastAsia" w:ascii="方正小标宋简体" w:hAnsi="宋体" w:eastAsia="方正小标宋简体" w:cs="Times New Roman"/>
          <w:b w:val="0"/>
          <w:bCs/>
          <w:sz w:val="36"/>
          <w:szCs w:val="36"/>
          <w:lang w:val="en-US" w:eastAsia="zh-CN"/>
        </w:rPr>
        <w:t>服务内容及要求</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b/>
          <w:bCs/>
          <w:sz w:val="24"/>
          <w:szCs w:val="24"/>
        </w:rPr>
      </w:pPr>
      <w:r>
        <w:rPr>
          <w:rFonts w:hint="eastAsia" w:ascii="宋体" w:hAnsi="宋体" w:eastAsia="宋体"/>
          <w:b/>
          <w:bCs/>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（一）项目背景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napToGrid w:val="0"/>
          <w:kern w:val="0"/>
          <w:sz w:val="32"/>
          <w:szCs w:val="32"/>
          <w:highlight w:val="none"/>
          <w:lang w:val="en-US" w:eastAsia="zh-CN"/>
        </w:rPr>
      </w:pPr>
      <w:r>
        <w:rPr>
          <w:rFonts w:hint="eastAsia" w:ascii="仿宋_GB2312" w:hAnsi="Times New Roman" w:eastAsia="仿宋_GB2312" w:cs="Times New Roman"/>
          <w:snapToGrid w:val="0"/>
          <w:kern w:val="0"/>
          <w:sz w:val="32"/>
          <w:szCs w:val="32"/>
          <w:highlight w:val="none"/>
          <w:lang w:val="en-US" w:eastAsia="zh-CN"/>
        </w:rPr>
        <w:t>1.</w:t>
      </w:r>
      <w:r>
        <w:rPr>
          <w:rFonts w:hint="eastAsia" w:ascii="仿宋_GB2312" w:hAnsi="Times New Roman" w:eastAsia="仿宋_GB2312" w:cs="Times New Roman"/>
          <w:b/>
          <w:bCs/>
          <w:snapToGrid w:val="0"/>
          <w:kern w:val="0"/>
          <w:sz w:val="32"/>
          <w:szCs w:val="32"/>
          <w:highlight w:val="none"/>
          <w:lang w:val="en-US" w:eastAsia="zh-CN"/>
        </w:rPr>
        <w:t>福建省数字水安视频监视系统（一期）运维服务项目</w:t>
      </w:r>
      <w:r>
        <w:rPr>
          <w:rFonts w:hint="eastAsia" w:ascii="仿宋_GB2312" w:hAnsi="Times New Roman" w:eastAsia="仿宋_GB2312" w:cs="Times New Roman"/>
          <w:snapToGrid w:val="0"/>
          <w:kern w:val="0"/>
          <w:sz w:val="32"/>
          <w:szCs w:val="32"/>
          <w:highlight w:val="none"/>
          <w:lang w:val="en-US" w:eastAsia="zh-CN"/>
        </w:rPr>
        <w:t>在重要水库水闸、河流重要断面及汇流口、水利重点在建工程、水土保持实施区、水文国家报汛站、灾情易发区、无人岛等重要区域部署视频监视点，目前可</w:t>
      </w:r>
      <w:r>
        <w:rPr>
          <w:rFonts w:hint="default" w:ascii="仿宋_GB2312" w:hAnsi="Times New Roman" w:eastAsia="仿宋_GB2312" w:cs="Times New Roman"/>
          <w:snapToGrid w:val="0"/>
          <w:kern w:val="0"/>
          <w:sz w:val="32"/>
          <w:szCs w:val="32"/>
          <w:highlight w:val="none"/>
          <w:lang w:val="en-US" w:eastAsia="zh-CN"/>
        </w:rPr>
        <w:t>提供全省539个点位，1179个视频监控</w:t>
      </w:r>
      <w:r>
        <w:rPr>
          <w:rFonts w:hint="eastAsia" w:ascii="仿宋_GB2312" w:hAnsi="Times New Roman" w:eastAsia="仿宋_GB2312" w:cs="Times New Roman"/>
          <w:snapToGrid w:val="0"/>
          <w:kern w:val="0"/>
          <w:sz w:val="32"/>
          <w:szCs w:val="32"/>
          <w:highlight w:val="none"/>
          <w:lang w:val="en-US" w:eastAsia="zh-CN"/>
        </w:rPr>
        <w:t>，实现全省水资源、水生态、水环境、水安全、水工程的实时在线监视和智能分析，提升水利行业监管、安全生产、应急处置、指挥决策能力和水平。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Times New Roman" w:eastAsia="仿宋_GB2312" w:cs="Times New Roman"/>
          <w:snapToGrid w:val="0"/>
          <w:kern w:val="0"/>
          <w:sz w:val="32"/>
          <w:szCs w:val="32"/>
          <w:highlight w:val="none"/>
          <w:lang w:val="en-US" w:eastAsia="zh-CN"/>
        </w:rPr>
      </w:pPr>
      <w:r>
        <w:rPr>
          <w:rFonts w:hint="eastAsia" w:ascii="仿宋_GB2312" w:hAnsi="Times New Roman" w:eastAsia="仿宋_GB2312" w:cs="Times New Roman"/>
          <w:snapToGrid w:val="0"/>
          <w:kern w:val="0"/>
          <w:sz w:val="32"/>
          <w:szCs w:val="32"/>
          <w:highlight w:val="none"/>
          <w:lang w:val="en-US" w:eastAsia="zh-CN"/>
        </w:rPr>
        <w:t>2.</w:t>
      </w:r>
      <w:r>
        <w:rPr>
          <w:rFonts w:hint="eastAsia" w:ascii="仿宋_GB2312" w:hAnsi="Times New Roman" w:eastAsia="仿宋_GB2312" w:cs="Times New Roman"/>
          <w:b/>
          <w:bCs/>
          <w:snapToGrid w:val="0"/>
          <w:kern w:val="0"/>
          <w:sz w:val="32"/>
          <w:szCs w:val="32"/>
          <w:highlight w:val="none"/>
          <w:lang w:val="en-US" w:eastAsia="zh-CN"/>
        </w:rPr>
        <w:t>福建</w:t>
      </w:r>
      <w:r>
        <w:rPr>
          <w:rFonts w:hint="eastAsia" w:ascii="仿宋_GB2312" w:hAnsi="仿宋_GB2312" w:eastAsia="仿宋_GB2312" w:cs="仿宋_GB2312"/>
          <w:b/>
          <w:bCs/>
          <w:sz w:val="32"/>
          <w:szCs w:val="32"/>
          <w:lang w:val="en-US" w:eastAsia="zh-CN"/>
        </w:rPr>
        <w:t>省水资源管理系统运维服务项目</w:t>
      </w:r>
      <w:r>
        <w:rPr>
          <w:rFonts w:hint="eastAsia" w:ascii="仿宋_GB2312" w:hAnsi="仿宋_GB2312" w:eastAsia="仿宋_GB2312" w:cs="仿宋_GB2312"/>
          <w:sz w:val="32"/>
          <w:szCs w:val="32"/>
          <w:lang w:val="en-US" w:eastAsia="zh-CN"/>
        </w:rPr>
        <w:t>在全省运维的站点含266个水量站点及6个水质站点，水量站点分为渠道和管道两种类型，其中渠道站点204个、管道站点62个。</w:t>
      </w:r>
      <w:r>
        <w:rPr>
          <w:rFonts w:hint="eastAsia" w:ascii="仿宋_GB2312" w:hAnsi="Times New Roman" w:eastAsia="仿宋_GB2312" w:cs="Times New Roman"/>
          <w:snapToGrid w:val="0"/>
          <w:kern w:val="0"/>
          <w:sz w:val="32"/>
          <w:szCs w:val="32"/>
          <w:highlight w:val="none"/>
          <w:lang w:val="en-US" w:eastAsia="zh-CN"/>
        </w:rPr>
        <w:t>项目有效提升我省取用水的在线监测能力，基本建成比较完善的国家水资源监控系统，形成与实行最严格水资源管理制度基本适应的水资源监控能力，满足水资源定量管理和最严格水资源管理制度考核的信息化支撑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snapToGrid w:val="0"/>
          <w:kern w:val="0"/>
          <w:sz w:val="32"/>
          <w:szCs w:val="32"/>
          <w:highlight w:val="none"/>
          <w:lang w:val="en-US" w:eastAsia="zh-CN"/>
        </w:rPr>
      </w:pPr>
      <w:r>
        <w:rPr>
          <w:rFonts w:hint="eastAsia" w:ascii="仿宋_GB2312" w:hAnsi="Times New Roman" w:eastAsia="仿宋_GB2312" w:cs="Times New Roman"/>
          <w:snapToGrid w:val="0"/>
          <w:kern w:val="0"/>
          <w:sz w:val="32"/>
          <w:szCs w:val="32"/>
          <w:highlight w:val="none"/>
          <w:lang w:val="en-US" w:eastAsia="zh-CN"/>
        </w:rPr>
        <w:t>本项目为2025年度福建省数字水安视频监视系统（一期）运维服务项目（下称水安系统）和2023-2025年度省级水资源管理系统运维服务项目（2025年度）（下称水资源系统）提供监理服务和年度绩效评估。本监理服务应对水安管理系统和水资源管理系统合同包日常运维进行全过程监督</w:t>
      </w:r>
      <w:r>
        <w:rPr>
          <w:rFonts w:hint="eastAsia" w:ascii="仿宋_GB2312" w:hAnsi="仿宋_GB2312" w:eastAsia="仿宋_GB2312" w:cs="仿宋_GB2312"/>
          <w:snapToGrid w:val="0"/>
          <w:kern w:val="0"/>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确保系统的稳定运行和维护的规范性，并</w:t>
      </w:r>
      <w:r>
        <w:rPr>
          <w:rFonts w:hint="eastAsia" w:ascii="仿宋_GB2312" w:hAnsi="Times New Roman" w:eastAsia="仿宋_GB2312" w:cs="Times New Roman"/>
          <w:snapToGrid w:val="0"/>
          <w:kern w:val="0"/>
          <w:sz w:val="32"/>
          <w:szCs w:val="32"/>
          <w:highlight w:val="none"/>
          <w:lang w:val="en-US" w:eastAsia="zh-CN"/>
        </w:rPr>
        <w:t>配合业主方开展运维服务质量考核工作。</w:t>
      </w:r>
      <w:r>
        <w:rPr>
          <w:rFonts w:hint="eastAsia" w:ascii="仿宋_GB2312" w:hAnsi="仿宋_GB2312" w:eastAsia="仿宋_GB2312" w:cs="仿宋_GB2312"/>
          <w:sz w:val="32"/>
          <w:szCs w:val="32"/>
        </w:rPr>
        <w:t>监理对象</w:t>
      </w:r>
      <w:r>
        <w:rPr>
          <w:rFonts w:hint="eastAsia" w:ascii="仿宋_GB2312" w:hAnsi="仿宋_GB2312" w:eastAsia="仿宋_GB2312" w:cs="仿宋_GB2312"/>
          <w:sz w:val="32"/>
          <w:szCs w:val="32"/>
          <w:lang w:val="en-US" w:eastAsia="zh-CN"/>
        </w:rPr>
        <w:t>详见下表：</w:t>
      </w:r>
    </w:p>
    <w:tbl>
      <w:tblPr>
        <w:tblStyle w:val="7"/>
        <w:tblW w:w="0" w:type="auto"/>
        <w:jc w:val="center"/>
        <w:tblLayout w:type="fixed"/>
        <w:tblCellMar>
          <w:top w:w="0" w:type="dxa"/>
          <w:left w:w="108" w:type="dxa"/>
          <w:bottom w:w="0" w:type="dxa"/>
          <w:right w:w="108" w:type="dxa"/>
        </w:tblCellMar>
      </w:tblPr>
      <w:tblGrid>
        <w:gridCol w:w="1253"/>
        <w:gridCol w:w="2297"/>
        <w:gridCol w:w="2400"/>
        <w:gridCol w:w="2085"/>
      </w:tblGrid>
      <w:tr>
        <w:tblPrEx>
          <w:tblCellMar>
            <w:top w:w="0" w:type="dxa"/>
            <w:left w:w="108" w:type="dxa"/>
            <w:bottom w:w="0" w:type="dxa"/>
            <w:right w:w="108" w:type="dxa"/>
          </w:tblCellMar>
        </w:tblPrEx>
        <w:trPr>
          <w:trHeight w:val="732"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before="24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原合同包</w:t>
            </w:r>
          </w:p>
        </w:tc>
        <w:tc>
          <w:tcPr>
            <w:tcW w:w="4697" w:type="dxa"/>
            <w:gridSpan w:val="2"/>
            <w:tcBorders>
              <w:top w:val="single" w:color="auto" w:sz="4" w:space="0"/>
              <w:left w:val="single" w:color="auto" w:sz="4" w:space="0"/>
              <w:bottom w:val="single" w:color="auto" w:sz="4" w:space="0"/>
              <w:right w:val="single" w:color="auto" w:sz="4" w:space="0"/>
            </w:tcBorders>
            <w:noWrap w:val="0"/>
            <w:vAlign w:val="center"/>
          </w:tcPr>
          <w:p>
            <w:pPr>
              <w:spacing w:before="24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运维内容</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before="240"/>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lang w:val="en-US" w:eastAsia="zh-CN"/>
              </w:rPr>
              <w:t>监理</w:t>
            </w:r>
            <w:r>
              <w:rPr>
                <w:rFonts w:hint="eastAsia" w:ascii="黑体" w:hAnsi="黑体" w:eastAsia="黑体" w:cs="黑体"/>
                <w:b w:val="0"/>
                <w:bCs w:val="0"/>
                <w:color w:val="000000"/>
                <w:sz w:val="24"/>
                <w:szCs w:val="24"/>
              </w:rPr>
              <w:t>服务时间</w:t>
            </w:r>
          </w:p>
        </w:tc>
      </w:tr>
      <w:tr>
        <w:tblPrEx>
          <w:tblCellMar>
            <w:top w:w="0" w:type="dxa"/>
            <w:left w:w="108" w:type="dxa"/>
            <w:bottom w:w="0" w:type="dxa"/>
            <w:right w:w="108" w:type="dxa"/>
          </w:tblCellMar>
        </w:tblPrEx>
        <w:trPr>
          <w:trHeight w:val="993" w:hRule="atLeast"/>
          <w:jc w:val="center"/>
        </w:trPr>
        <w:tc>
          <w:tcPr>
            <w:tcW w:w="12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水安</w:t>
            </w:r>
          </w:p>
          <w:p>
            <w:pPr>
              <w:pStyle w:val="6"/>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系统</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前端点位维护服务</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水安系统539个点位运维监理</w:t>
            </w:r>
          </w:p>
        </w:tc>
        <w:tc>
          <w:tcPr>
            <w:tcW w:w="20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rPr>
            </w:pPr>
            <w:bookmarkStart w:id="0" w:name="OLE_LINK1"/>
            <w:r>
              <w:rPr>
                <w:rFonts w:hint="eastAsia" w:ascii="仿宋_GB2312" w:hAnsi="仿宋_GB2312" w:eastAsia="仿宋_GB2312" w:cs="仿宋_GB2312"/>
                <w:sz w:val="24"/>
                <w:szCs w:val="24"/>
                <w:lang w:val="en-US" w:eastAsia="zh-CN"/>
              </w:rPr>
              <w:t>2025年6月20日</w:t>
            </w:r>
            <w:bookmarkEnd w:id="0"/>
            <w:r>
              <w:rPr>
                <w:rFonts w:hint="eastAsia" w:ascii="仿宋_GB2312" w:hAnsi="仿宋_GB2312" w:eastAsia="仿宋_GB2312" w:cs="仿宋_GB2312"/>
                <w:sz w:val="24"/>
                <w:szCs w:val="24"/>
                <w:lang w:val="en-US" w:eastAsia="zh-CN"/>
              </w:rPr>
              <w:t>至2026年7月4日</w:t>
            </w:r>
          </w:p>
        </w:tc>
      </w:tr>
      <w:tr>
        <w:tblPrEx>
          <w:tblCellMar>
            <w:top w:w="0" w:type="dxa"/>
            <w:left w:w="108" w:type="dxa"/>
            <w:bottom w:w="0" w:type="dxa"/>
            <w:right w:w="108" w:type="dxa"/>
          </w:tblCellMar>
        </w:tblPrEx>
        <w:trPr>
          <w:trHeight w:val="867" w:hRule="atLeast"/>
          <w:jc w:val="center"/>
        </w:trPr>
        <w:tc>
          <w:tcPr>
            <w:tcW w:w="12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b w:val="0"/>
                <w:bCs w:val="0"/>
                <w:sz w:val="24"/>
                <w:szCs w:val="24"/>
              </w:rPr>
            </w:pPr>
          </w:p>
        </w:tc>
        <w:tc>
          <w:tcPr>
            <w:tcW w:w="2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中心端平台软硬件运维服务</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中心端系统软硬件运维服务监理</w:t>
            </w:r>
          </w:p>
        </w:tc>
        <w:tc>
          <w:tcPr>
            <w:tcW w:w="20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015" w:hRule="atLeast"/>
          <w:jc w:val="center"/>
        </w:trPr>
        <w:tc>
          <w:tcPr>
            <w:tcW w:w="125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水资源</w:t>
            </w:r>
          </w:p>
          <w:p>
            <w:pPr>
              <w:pStyle w:val="6"/>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系统</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前端点位维护服务</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水资源系统272个省级点位运维监理</w:t>
            </w:r>
          </w:p>
        </w:tc>
        <w:tc>
          <w:tcPr>
            <w:tcW w:w="20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2025年7月5日至2026年7月4日</w:t>
            </w:r>
          </w:p>
        </w:tc>
      </w:tr>
      <w:tr>
        <w:tblPrEx>
          <w:tblCellMar>
            <w:top w:w="0" w:type="dxa"/>
            <w:left w:w="108" w:type="dxa"/>
            <w:bottom w:w="0" w:type="dxa"/>
            <w:right w:w="108" w:type="dxa"/>
          </w:tblCellMar>
        </w:tblPrEx>
        <w:trPr>
          <w:trHeight w:val="901" w:hRule="atLeast"/>
          <w:jc w:val="center"/>
        </w:trPr>
        <w:tc>
          <w:tcPr>
            <w:tcW w:w="125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 w:hAnsi="仿宋" w:eastAsia="仿宋" w:cs="仿宋"/>
                <w:sz w:val="24"/>
                <w:szCs w:val="24"/>
                <w:lang w:val="en-US" w:eastAsia="zh-CN"/>
              </w:rPr>
            </w:pPr>
          </w:p>
        </w:tc>
        <w:tc>
          <w:tcPr>
            <w:tcW w:w="2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中心端平台软硬件运维服务</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中心端系统软硬件运维服务监理</w:t>
            </w:r>
          </w:p>
        </w:tc>
        <w:tc>
          <w:tcPr>
            <w:tcW w:w="208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240" w:lineRule="exact"/>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监理</w:t>
      </w:r>
      <w:r>
        <w:rPr>
          <w:rFonts w:hint="eastAsia" w:ascii="黑体" w:hAnsi="黑体" w:eastAsia="黑体" w:cs="黑体"/>
          <w:b w:val="0"/>
          <w:bCs w:val="0"/>
          <w:sz w:val="32"/>
          <w:szCs w:val="32"/>
        </w:rPr>
        <w:t>服务内容及要求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highlight w:val="none"/>
        </w:rPr>
        <w:t>照</w:t>
      </w:r>
      <w:r>
        <w:rPr>
          <w:rFonts w:hint="eastAsia" w:ascii="仿宋_GB2312" w:hAnsi="仿宋_GB2312" w:eastAsia="仿宋_GB2312" w:cs="仿宋_GB2312"/>
          <w:sz w:val="32"/>
          <w:szCs w:val="32"/>
          <w:highlight w:val="none"/>
          <w:lang w:eastAsia="zh-CN"/>
        </w:rPr>
        <w:t>国家标准、</w:t>
      </w:r>
      <w:r>
        <w:rPr>
          <w:rFonts w:hint="eastAsia" w:ascii="仿宋_GB2312" w:hAnsi="仿宋_GB2312" w:eastAsia="仿宋_GB2312" w:cs="仿宋_GB2312"/>
          <w:sz w:val="32"/>
          <w:szCs w:val="32"/>
          <w:highlight w:val="none"/>
        </w:rPr>
        <w:t>福建省</w:t>
      </w:r>
      <w:r>
        <w:rPr>
          <w:rFonts w:hint="eastAsia" w:ascii="仿宋_GB2312" w:hAnsi="仿宋_GB2312" w:eastAsia="仿宋_GB2312" w:cs="仿宋_GB2312"/>
          <w:sz w:val="32"/>
          <w:szCs w:val="32"/>
          <w:highlight w:val="none"/>
          <w:lang w:eastAsia="zh-CN"/>
        </w:rPr>
        <w:t>水安</w:t>
      </w:r>
      <w:r>
        <w:rPr>
          <w:rFonts w:hint="eastAsia" w:ascii="仿宋_GB2312" w:hAnsi="仿宋_GB2312" w:eastAsia="仿宋_GB2312" w:cs="仿宋_GB2312"/>
          <w:sz w:val="32"/>
          <w:szCs w:val="32"/>
          <w:highlight w:val="none"/>
        </w:rPr>
        <w:t>管理系统</w:t>
      </w:r>
      <w:r>
        <w:rPr>
          <w:rFonts w:hint="eastAsia" w:ascii="仿宋_GB2312" w:hAnsi="仿宋_GB2312" w:eastAsia="仿宋_GB2312" w:cs="仿宋_GB2312"/>
          <w:sz w:val="32"/>
          <w:szCs w:val="32"/>
          <w:highlight w:val="none"/>
          <w:lang w:val="en-US" w:eastAsia="zh-CN"/>
        </w:rPr>
        <w:t>和水资源管理系统招投标文件和</w:t>
      </w:r>
      <w:r>
        <w:rPr>
          <w:rFonts w:hint="eastAsia" w:ascii="仿宋_GB2312" w:hAnsi="仿宋_GB2312" w:eastAsia="仿宋_GB2312" w:cs="仿宋_GB2312"/>
          <w:sz w:val="32"/>
          <w:szCs w:val="32"/>
          <w:highlight w:val="none"/>
        </w:rPr>
        <w:t>服务合同等相关要求，对运维单位的合同履行情况及服务质量进行监理。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sz w:val="32"/>
          <w:szCs w:val="32"/>
          <w:lang w:val="en-US" w:eastAsia="zh-CN"/>
        </w:rPr>
        <w:t>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投标人应梳理运维合同工作内容，规范省级水安管理系统和水资源管理系统运维工作，监督运维服务质量，监督范围包括但不限于巡查、维护、保养、检修、故障处理、应急处置等。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1.审核运维工作方案，从制度、人员、工具等要素提出改进措施，</w:t>
      </w:r>
      <w:r>
        <w:rPr>
          <w:rFonts w:hint="eastAsia" w:ascii="仿宋_GB2312" w:hAnsi="仿宋_GB2312" w:eastAsia="仿宋_GB2312" w:cs="仿宋_GB2312"/>
          <w:color w:val="auto"/>
          <w:sz w:val="32"/>
          <w:szCs w:val="32"/>
          <w:highlight w:val="none"/>
          <w:lang w:val="en-US" w:eastAsia="zh-CN"/>
        </w:rPr>
        <w:t>制定</w:t>
      </w:r>
      <w:r>
        <w:rPr>
          <w:rFonts w:hint="eastAsia" w:ascii="仿宋_GB2312" w:hAnsi="仿宋_GB2312" w:eastAsia="仿宋_GB2312" w:cs="仿宋_GB2312"/>
          <w:color w:val="auto"/>
          <w:sz w:val="32"/>
          <w:szCs w:val="32"/>
          <w:highlight w:val="none"/>
          <w:u w:val="none"/>
          <w:lang w:val="en-US" w:eastAsia="zh-CN"/>
        </w:rPr>
        <w:t>完善</w:t>
      </w:r>
      <w:r>
        <w:rPr>
          <w:rFonts w:hint="eastAsia" w:ascii="仿宋_GB2312" w:hAnsi="仿宋_GB2312" w:eastAsia="仿宋_GB2312" w:cs="仿宋_GB2312"/>
          <w:color w:val="auto"/>
          <w:sz w:val="32"/>
          <w:szCs w:val="32"/>
          <w:highlight w:val="none"/>
          <w:lang w:val="en-US" w:eastAsia="zh-CN"/>
        </w:rPr>
        <w:t>监督检查标准，明确响应要求，优化运维服务体系，提升运维服务管理水平。</w:t>
      </w:r>
      <w:r>
        <w:rPr>
          <w:rFonts w:hint="eastAsia" w:ascii="仿宋_GB2312" w:hAnsi="仿宋_GB2312" w:eastAsia="仿宋_GB2312" w:cs="仿宋_GB2312"/>
          <w:sz w:val="32"/>
          <w:szCs w:val="32"/>
          <w:lang w:val="en-US" w:eastAsia="zh-CN"/>
        </w:rPr>
        <w:t>组织协调水安管理系统和水资源管理系统的运维单位开展日常运维服务工作，每季度对运维单位进行考核评分并交给业主确认。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2.配合业主组织召开项目季度、半年度、年度验收会，整理会议记录，落实会议决议。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3.对水安管理系统和水资源管理系统的运维单位在运维期间出现的问题的整改情况进行监督和复查；提供重大故障处置现场监管服务，记录处置过程，核实处置结果，保障故障处置效果。</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4.全年须完成水安系统539个点位，水资源系统272个点位全覆盖现场检查（各</w:t>
      </w:r>
      <w:r>
        <w:rPr>
          <w:rFonts w:hint="eastAsia" w:ascii="仿宋_GB2312" w:hAnsi="仿宋_GB2312" w:eastAsia="仿宋_GB2312" w:cs="仿宋_GB2312"/>
          <w:sz w:val="32"/>
          <w:szCs w:val="32"/>
          <w:highlight w:val="none"/>
          <w:lang w:val="en-US" w:eastAsia="zh-CN"/>
        </w:rPr>
        <w:t>地市与站点抽查数量每季度均摊，每季度完成不低于25%），包含该点位所有摄像头及所属设备设施，复核项目资产清单，按水资源前端运维合同要求，对点位数据质量进行评判考核，并形成报告提交业主。</w:t>
      </w:r>
      <w:r>
        <w:rPr>
          <w:rFonts w:hint="eastAsia" w:ascii="仿宋_GB2312" w:hAnsi="仿宋_GB2312" w:eastAsia="仿宋_GB2312" w:cs="仿宋_GB2312"/>
          <w:b/>
          <w:bCs/>
          <w:sz w:val="32"/>
          <w:szCs w:val="32"/>
          <w:highlight w:val="none"/>
          <w:lang w:val="en-US" w:eastAsia="zh-CN"/>
        </w:rPr>
        <w:t>投标供应商应提供书面承诺函。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派遣不少于10名监理团队人员按业主要求对省级运维站点进行现场抽查，年度抽查站点数量为两个管理系统的全部站点。现场抽查须按业主要求拍照留痕和前端运维监管采集模块截图佐证。经业主通知或重大故障，于24小时内赶赴现场进行相应站点监督检查。</w:t>
      </w:r>
      <w:r>
        <w:rPr>
          <w:rFonts w:hint="eastAsia" w:ascii="仿宋_GB2312" w:hAnsi="仿宋_GB2312" w:eastAsia="仿宋_GB2312" w:cs="仿宋_GB2312"/>
          <w:b/>
          <w:bCs/>
          <w:sz w:val="32"/>
          <w:szCs w:val="32"/>
          <w:highlight w:val="none"/>
          <w:lang w:val="en-US" w:eastAsia="zh-CN"/>
        </w:rPr>
        <w:t>投标供应商应提供书面承诺函。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6.配合业主开展季度、半年度、年度运维服务质量考核和验收工作，</w:t>
      </w:r>
      <w:r>
        <w:rPr>
          <w:rFonts w:hint="eastAsia" w:ascii="仿宋_GB2312" w:hAnsi="仿宋_GB2312" w:eastAsia="仿宋_GB2312" w:cs="仿宋_GB2312"/>
          <w:sz w:val="32"/>
          <w:szCs w:val="32"/>
          <w:highlight w:val="none"/>
          <w:lang w:val="en-US" w:eastAsia="zh-CN"/>
        </w:rPr>
        <w:t>审核水安管理系统和水资源管理系统的运维单位提交的运维报告及其他相关文件，规范文档格式。</w:t>
      </w:r>
      <w:r>
        <w:rPr>
          <w:rFonts w:hint="eastAsia" w:ascii="仿宋_GB2312" w:hAnsi="仿宋_GB2312" w:eastAsia="仿宋_GB2312" w:cs="仿宋_GB2312"/>
          <w:sz w:val="32"/>
          <w:szCs w:val="32"/>
          <w:lang w:val="en-US" w:eastAsia="zh-CN"/>
        </w:rPr>
        <w:t>审核运维服务费用结算，提交季度运维服务质量报告、年度绩效评估报告等。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7.年度监理工作到期后，应将所有的监理材料汇总，分时分类</w:t>
      </w:r>
      <w:r>
        <w:rPr>
          <w:rFonts w:hint="eastAsia" w:ascii="仿宋_GB2312" w:hAnsi="仿宋_GB2312" w:eastAsia="仿宋_GB2312" w:cs="仿宋_GB2312"/>
          <w:sz w:val="32"/>
          <w:szCs w:val="32"/>
          <w:highlight w:val="none"/>
        </w:rPr>
        <w:t>规范化</w:t>
      </w:r>
      <w:r>
        <w:rPr>
          <w:rFonts w:hint="eastAsia" w:ascii="仿宋_GB2312" w:hAnsi="仿宋_GB2312" w:eastAsia="仿宋_GB2312" w:cs="仿宋_GB2312"/>
          <w:sz w:val="32"/>
          <w:szCs w:val="32"/>
          <w:highlight w:val="none"/>
          <w:lang w:eastAsia="zh-CN"/>
        </w:rPr>
        <w:t>整理，确认项目资产清单，并</w:t>
      </w:r>
      <w:r>
        <w:rPr>
          <w:rFonts w:hint="eastAsia" w:ascii="仿宋_GB2312" w:hAnsi="仿宋_GB2312" w:eastAsia="仿宋_GB2312" w:cs="仿宋_GB2312"/>
          <w:sz w:val="32"/>
          <w:szCs w:val="32"/>
          <w:highlight w:val="none"/>
          <w:lang w:val="en-US" w:eastAsia="zh-CN"/>
        </w:rPr>
        <w:t>提交监理工作总结。</w:t>
      </w:r>
      <w:r>
        <w:rPr>
          <w:rFonts w:hint="eastAsia" w:ascii="仿宋_GB2312" w:hAnsi="仿宋_GB2312" w:eastAsia="仿宋_GB2312" w:cs="仿宋_GB2312"/>
          <w:b/>
          <w:bCs/>
          <w:sz w:val="32"/>
          <w:szCs w:val="32"/>
          <w:lang w:val="en-US" w:eastAsia="zh-CN"/>
        </w:rPr>
        <w:t>投标供应商应提供书面承诺函。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8.提供技术</w:t>
      </w:r>
      <w:r>
        <w:rPr>
          <w:rFonts w:hint="eastAsia" w:ascii="仿宋_GB2312" w:hAnsi="仿宋_GB2312" w:eastAsia="仿宋_GB2312" w:cs="仿宋_GB2312"/>
          <w:sz w:val="32"/>
          <w:szCs w:val="32"/>
          <w:lang w:val="en-US" w:eastAsia="zh-CN"/>
        </w:rPr>
        <w:t>支持，包括但不限于技术咨询、技术培训等，</w:t>
      </w:r>
      <w:r>
        <w:rPr>
          <w:rFonts w:hint="eastAsia" w:ascii="仿宋_GB2312" w:hAnsi="仿宋_GB2312" w:eastAsia="仿宋_GB2312" w:cs="仿宋_GB2312"/>
          <w:sz w:val="32"/>
          <w:szCs w:val="32"/>
        </w:rPr>
        <w:t>以提高</w:t>
      </w:r>
      <w:r>
        <w:rPr>
          <w:rFonts w:hint="eastAsia" w:ascii="仿宋_GB2312" w:hAnsi="仿宋_GB2312" w:eastAsia="仿宋_GB2312" w:cs="仿宋_GB2312"/>
          <w:sz w:val="32"/>
          <w:szCs w:val="32"/>
          <w:lang w:eastAsia="zh-CN"/>
        </w:rPr>
        <w:t>运维</w:t>
      </w:r>
      <w:r>
        <w:rPr>
          <w:rFonts w:hint="eastAsia" w:ascii="仿宋_GB2312" w:hAnsi="仿宋_GB2312" w:eastAsia="仿宋_GB2312" w:cs="仿宋_GB2312"/>
          <w:sz w:val="32"/>
          <w:szCs w:val="32"/>
        </w:rPr>
        <w:t>管理效率及运维人员的技术水平和工作能力。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9.跟踪前端故障情况，对故障站点开单并限时督促完成整改，做好全过程留痕。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10.跟踪系统优化进度及完成情况，开单并限时督促完成整改，做好全过程留痕。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11.汇总两个系统每个站点的档案信息，包括系统资产清单、配件使用情况详单。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1.具体工作要求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监理服务遵照“守法、诚信、公正、科学”的准则执业，维护采购方与服务商的合法权益。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监理过程应</w:t>
      </w:r>
      <w:r>
        <w:rPr>
          <w:rFonts w:hint="eastAsia" w:ascii="仿宋_GB2312" w:hAnsi="仿宋_GB2312" w:eastAsia="仿宋_GB2312" w:cs="仿宋_GB2312"/>
          <w:sz w:val="32"/>
          <w:szCs w:val="32"/>
        </w:rPr>
        <w:t>遵守安全操作规程、使用符合安全标准的设备和工具等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（3）对中心端进行现场服务维护监理，包括人员出勤情况监控、人员变更情况记录、重点时期保障工作、项目档案管理(故障配件更换、到报率等记录)。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（4）对中心端软件平台运维及数据维护监理，包括检查水安管理系统和水资源管理系统各功能模块日常巡检维护情况，确保系统稳定运行。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（5）对中心端软件平台优化，确保现有平台软件升级至最新版本并可按业主要求进行页面定制优化，对优化流程提供建议并落实优化升级的成果检验。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（6）对中心端系统软硬件维护做好书面记录，跟踪维护单位实时进展情况及维护保障效果。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（7）对前端进行监理服务，包括人员与车辆变更情况记录、重点时期保障情况工作、项目档案管理(日常运维、设备更换等记录)，跟踪故障处理流程并记录故障发生与解决情况。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（8）固定资产复核：复核固定资产台账，清查前端所有点位、传输网络软硬件设备及其他物资资产。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（9）整改质量核查：对改建、拆装、移机进行全过程跟踪，并形成书面记录材料。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（10）日常监理巡检：派遣不少于10名监理团队人员按业主要求对</w:t>
      </w:r>
      <w:r>
        <w:rPr>
          <w:rFonts w:hint="eastAsia" w:ascii="仿宋_GB2312" w:hAnsi="仿宋_GB2312" w:eastAsia="仿宋_GB2312" w:cs="仿宋_GB2312"/>
          <w:color w:val="auto"/>
          <w:sz w:val="32"/>
          <w:szCs w:val="32"/>
          <w:lang w:val="en-US" w:eastAsia="zh-CN"/>
        </w:rPr>
        <w:t>省级运维站点进行现场</w:t>
      </w:r>
      <w:r>
        <w:rPr>
          <w:rFonts w:hint="eastAsia" w:ascii="仿宋_GB2312" w:hAnsi="仿宋_GB2312" w:eastAsia="仿宋_GB2312" w:cs="仿宋_GB2312"/>
          <w:strike w:val="0"/>
          <w:dstrike w:val="0"/>
          <w:color w:val="auto"/>
          <w:sz w:val="32"/>
          <w:szCs w:val="32"/>
          <w:lang w:val="en-US" w:eastAsia="zh-CN"/>
        </w:rPr>
        <w:t>巡</w:t>
      </w:r>
      <w:r>
        <w:rPr>
          <w:rFonts w:hint="eastAsia" w:ascii="仿宋_GB2312" w:hAnsi="仿宋_GB2312" w:eastAsia="仿宋_GB2312" w:cs="仿宋_GB2312"/>
          <w:color w:val="auto"/>
          <w:sz w:val="32"/>
          <w:szCs w:val="32"/>
          <w:lang w:val="en-US" w:eastAsia="zh-CN"/>
        </w:rPr>
        <w:t>查，年</w:t>
      </w:r>
      <w:r>
        <w:rPr>
          <w:rFonts w:hint="eastAsia" w:ascii="仿宋_GB2312" w:hAnsi="仿宋_GB2312" w:eastAsia="仿宋_GB2312" w:cs="仿宋_GB2312"/>
          <w:sz w:val="32"/>
          <w:szCs w:val="32"/>
          <w:lang w:val="en-US" w:eastAsia="zh-CN"/>
        </w:rPr>
        <w:t>度抽查覆盖两个管理系统的全部站点。现场抽查须通过业主提供的APP软件拍照留痕。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11）配合业主开展季度、半年度、年度运维服务质量考核和验收工作，审核水安管理系统和水资源管理系统的运维单位提交的运维报告及其他相关文件，规范文档格式。审核运维服务费用结算，提交季度运维服务质量报告及年度绩效评估报告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2.监理团队人员要求：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投标人应成立包含总监理工程师、总监理工程师代表、专业监理工程师、安全员、监理员在内不少于10人的服务团队，按照《建设工程监理规范》（GB50319-2013）开展监理工作。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yellow"/>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投标人须具备住房和城乡建设主管部门颁发的工程监理综合资质或通信工程监理乙级（或以上资质）</w:t>
      </w:r>
      <w:r>
        <w:rPr>
          <w:rFonts w:hint="eastAsia" w:ascii="仿宋_GB2312" w:hAnsi="仿宋_GB2312" w:eastAsia="仿宋_GB2312" w:cs="仿宋_GB2312"/>
          <w:b/>
          <w:bCs/>
          <w:color w:val="auto"/>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投标人应成立包含总监理工程师、</w:t>
      </w:r>
      <w:r>
        <w:rPr>
          <w:rFonts w:hint="eastAsia" w:ascii="仿宋_GB2312" w:hAnsi="仿宋_GB2312" w:eastAsia="仿宋_GB2312" w:cs="仿宋_GB2312"/>
          <w:sz w:val="32"/>
          <w:szCs w:val="32"/>
          <w:highlight w:val="none"/>
          <w:shd w:val="clear" w:color="auto" w:fill="auto"/>
          <w:lang w:val="en-US" w:eastAsia="zh-CN"/>
        </w:rPr>
        <w:t>总监理工程师代表、专业监理工程师、安全员、监</w:t>
      </w:r>
      <w:r>
        <w:rPr>
          <w:rFonts w:hint="eastAsia" w:ascii="仿宋_GB2312" w:hAnsi="仿宋_GB2312" w:eastAsia="仿宋_GB2312" w:cs="仿宋_GB2312"/>
          <w:sz w:val="32"/>
          <w:szCs w:val="32"/>
          <w:highlight w:val="none"/>
          <w:u w:val="none"/>
          <w:shd w:val="clear" w:color="auto" w:fill="auto"/>
          <w:lang w:val="en-US" w:eastAsia="zh-CN"/>
        </w:rPr>
        <w:t>理</w:t>
      </w:r>
      <w:r>
        <w:rPr>
          <w:rFonts w:hint="eastAsia" w:ascii="仿宋_GB2312" w:hAnsi="仿宋_GB2312" w:eastAsia="仿宋_GB2312" w:cs="仿宋_GB2312"/>
          <w:sz w:val="32"/>
          <w:szCs w:val="32"/>
          <w:highlight w:val="none"/>
          <w:shd w:val="clear" w:color="auto" w:fill="auto"/>
          <w:lang w:val="en-US" w:eastAsia="zh-CN"/>
        </w:rPr>
        <w:t>员在内不少于10人的服务团队：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总监理工程师 1人: 信息类相关专业本科以上学历，持有住建部颁发的注册监理工程师（专业：通信工程）及计算机技术与软件专业技术资格证书（信息系统项目管理师）证书，同时具备工业和信息化部考核合格的安全生产B证。。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总监理工程师代表 1人: 本科以上学历，通信工程或信息类工程中级以上职称。持有住建部注册监理工程师（专业：通信工程）及计算机技术与软件专业技术资格证书（信息系统监理师）证书。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专业监理工程师 2人: 持有住建部注册监理工程师（专业：通信工程），同时具备计算机技术与软件专业技术资格证书（信息系统监理师）证书或IT服务工程师（ITSS）证书。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lang w:val="en-US" w:eastAsia="zh-CN"/>
        </w:rPr>
        <w:t>监理员 5人: 持有计算机技术与软件专业技术资格证书（信息系统监理师）证书或工信部门颁发的信息系统运维管理工程师（高级）证书。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lang w:val="en-US" w:eastAsia="zh-CN"/>
        </w:rPr>
        <w:t>安全员1人：具备工业和信息化部考核合格的安全生产C证。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①投标人需提供符合以上要求的人员证书复印件以及投标人为符合以上要求的人员缴纳的在报价文件提交截止时间前六个月中任意一个月的社保记录（不含报价文件提交截止时间的当月）复印件并加盖公章或提供符合以上要求的承诺函（承诺函格式自拟）并加盖公章，否则视为无效响应。</w:t>
      </w:r>
      <w:r>
        <w:rPr>
          <w:rFonts w:hint="eastAsia" w:ascii="仿宋_GB2312" w:hAnsi="仿宋_GB2312" w:eastAsia="仿宋_GB2312" w:cs="仿宋_GB2312"/>
          <w:sz w:val="32"/>
          <w:szCs w:val="32"/>
          <w:lang w:val="en-US" w:eastAsia="zh-CN"/>
        </w:rPr>
        <w:t>②投标人在成交后3个工作日内需提供符合以上要求的人员证书原件确认核查，否则采购人有权不予以签订合同。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3.设备、设施要求：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投标人在监理工作过程应遵守安全操作规程，配备满足项目工作需要的相关设备、设施，使用符合安全标准的设备和工具等。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4.服务响应保障要求: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投标人具备满足全省机动调配响应能力，保障可同时安排5组人员赶赴不同现场，接到业主通知后，24小时内到达指定点位，进行监督检查。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全年须完成水安系统539个点位，水资源系统272个点位全覆盖现场检查（各地市与站点抽查数量每季度均摊，每季度完成不低于25%）,</w:t>
      </w:r>
      <w:bookmarkStart w:id="1" w:name="OLE_LINK2"/>
      <w:r>
        <w:rPr>
          <w:rFonts w:hint="eastAsia" w:ascii="仿宋_GB2312" w:hAnsi="仿宋_GB2312" w:eastAsia="仿宋_GB2312" w:cs="仿宋_GB2312"/>
          <w:b/>
          <w:bCs/>
          <w:sz w:val="32"/>
          <w:szCs w:val="32"/>
          <w:highlight w:val="none"/>
          <w:lang w:val="en-US" w:eastAsia="zh-CN"/>
        </w:rPr>
        <w:t>每少一个点位扣款300元</w:t>
      </w:r>
      <w:r>
        <w:rPr>
          <w:rFonts w:hint="eastAsia" w:ascii="仿宋_GB2312" w:hAnsi="仿宋_GB2312" w:eastAsia="仿宋_GB2312" w:cs="仿宋_GB2312"/>
          <w:sz w:val="32"/>
          <w:szCs w:val="32"/>
          <w:highlight w:val="none"/>
          <w:lang w:val="en-US" w:eastAsia="zh-CN"/>
        </w:rPr>
        <w:t>。</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人及其工作人员(无论今后是否离职)保证所对所获取的各类项目资料进行保密，签订保密协议，未经采购人允许不得将所获取的、以及监理服务期间所产生的项目信息资料对外泄露。中标人有义务对所聘用的工作人员进行保密教育，并承担其相关行为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1.合同签订生效后，</w:t>
      </w:r>
      <w:bookmarkStart w:id="2" w:name="OLE_LINK8"/>
      <w:r>
        <w:rPr>
          <w:rFonts w:hint="eastAsia" w:ascii="仿宋_GB2312" w:hAnsi="仿宋_GB2312" w:eastAsia="仿宋_GB2312" w:cs="仿宋_GB2312"/>
          <w:sz w:val="32"/>
          <w:szCs w:val="32"/>
          <w:lang w:val="en-US" w:eastAsia="zh-CN"/>
        </w:rPr>
        <w:t>采购人</w:t>
      </w:r>
      <w:bookmarkEnd w:id="2"/>
      <w:r>
        <w:rPr>
          <w:rFonts w:hint="eastAsia" w:ascii="仿宋_GB2312" w:hAnsi="仿宋_GB2312" w:eastAsia="仿宋_GB2312" w:cs="仿宋_GB2312"/>
          <w:sz w:val="32"/>
          <w:szCs w:val="32"/>
          <w:lang w:val="en-US" w:eastAsia="zh-CN"/>
        </w:rPr>
        <w:t>向中标人支付30%的合同款。</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2.合同服务期履行达半年，监理服务通过采购人组织的服务评价（详见附件）后，采购人按服务评价得分结果向中标人支付40%的合同款。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3.合同服务期履行完成，监理服务通过</w:t>
      </w:r>
      <w:bookmarkStart w:id="3" w:name="OLE_LINK5"/>
      <w:r>
        <w:rPr>
          <w:rFonts w:hint="eastAsia" w:ascii="仿宋_GB2312" w:hAnsi="仿宋_GB2312" w:eastAsia="仿宋_GB2312" w:cs="仿宋_GB2312"/>
          <w:sz w:val="32"/>
          <w:szCs w:val="32"/>
          <w:lang w:val="en-US" w:eastAsia="zh-CN"/>
        </w:rPr>
        <w:t>采购人组织的服务评价（详见附件）</w:t>
      </w:r>
      <w:bookmarkEnd w:id="3"/>
      <w:r>
        <w:rPr>
          <w:rFonts w:hint="eastAsia" w:ascii="仿宋_GB2312" w:hAnsi="仿宋_GB2312" w:eastAsia="仿宋_GB2312" w:cs="仿宋_GB2312"/>
          <w:sz w:val="32"/>
          <w:szCs w:val="32"/>
          <w:lang w:val="en-US" w:eastAsia="zh-CN"/>
        </w:rPr>
        <w:t>后，</w:t>
      </w:r>
      <w:bookmarkStart w:id="4" w:name="OLE_LINK6"/>
      <w:r>
        <w:rPr>
          <w:rFonts w:hint="eastAsia" w:ascii="仿宋_GB2312" w:hAnsi="仿宋_GB2312" w:eastAsia="仿宋_GB2312" w:cs="仿宋_GB2312"/>
          <w:sz w:val="32"/>
          <w:szCs w:val="32"/>
          <w:lang w:val="en-US" w:eastAsia="zh-CN"/>
        </w:rPr>
        <w:t>采购人按服务评价得分结果向中标人支付</w:t>
      </w:r>
      <w:bookmarkEnd w:id="4"/>
      <w:r>
        <w:rPr>
          <w:rFonts w:hint="eastAsia" w:ascii="仿宋_GB2312" w:hAnsi="仿宋_GB2312" w:eastAsia="仿宋_GB2312" w:cs="仿宋_GB2312"/>
          <w:sz w:val="32"/>
          <w:szCs w:val="32"/>
          <w:lang w:val="en-US" w:eastAsia="zh-CN"/>
        </w:rPr>
        <w:t>30%的合同款。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三、报价与最高限价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本项目最高限价为</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lang w:val="en-US" w:eastAsia="zh-CN"/>
        </w:rPr>
        <w:t>万元。投标人所报总价应包含本监理项目所涉及的所有费用（包含现场抽查、差旅费、工具采购费、资料费、验收费、税费等）。</w:t>
      </w: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监理服务评价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spacing w:val="0"/>
          <w:sz w:val="32"/>
          <w:szCs w:val="32"/>
          <w:highlight w:val="none"/>
          <w:shd w:val="clear" w:color="auto" w:fill="FFFFFF"/>
        </w:rPr>
      </w:pPr>
      <w:r>
        <w:rPr>
          <w:rFonts w:hint="eastAsia" w:ascii="仿宋_GB2312" w:hAnsi="仿宋_GB2312" w:eastAsia="仿宋_GB2312" w:cs="仿宋_GB2312"/>
          <w:sz w:val="32"/>
          <w:szCs w:val="32"/>
          <w:highlight w:val="none"/>
          <w:lang w:val="en-US" w:eastAsia="zh-CN"/>
        </w:rPr>
        <w:t>考核办法满分为100分，由采购人结合工作实际，给予工作服务考核。该分数将作为合同款支付的依据。考核分数90-100分，支付100%合同款；考核分数80-89分，支付85%合同款；考核分数低于70-79分，支付70%合同款；考核分数低于70分的视为验收不合格，中标人赔付采购人30%合同款的违约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黑体" w:hAnsi="黑体" w:eastAsia="黑体" w:cs="黑体"/>
          <w:sz w:val="32"/>
          <w:szCs w:val="32"/>
          <w:highlight w:val="none"/>
        </w:rPr>
      </w:pPr>
      <w:r>
        <w:rPr>
          <w:rFonts w:hint="eastAsia" w:ascii="黑体" w:hAnsi="黑体" w:eastAsia="黑体" w:cs="黑体"/>
          <w:i w:val="0"/>
          <w:iCs w:val="0"/>
          <w:caps w:val="0"/>
          <w:spacing w:val="0"/>
          <w:sz w:val="32"/>
          <w:szCs w:val="32"/>
          <w:highlight w:val="none"/>
          <w:shd w:val="clear" w:color="auto" w:fill="FFFFFF"/>
          <w:lang w:eastAsia="zh-CN"/>
        </w:rPr>
        <w:t>监理</w:t>
      </w:r>
      <w:r>
        <w:rPr>
          <w:rFonts w:hint="eastAsia" w:ascii="黑体" w:hAnsi="黑体" w:eastAsia="黑体" w:cs="黑体"/>
          <w:i w:val="0"/>
          <w:iCs w:val="0"/>
          <w:caps w:val="0"/>
          <w:spacing w:val="0"/>
          <w:sz w:val="32"/>
          <w:szCs w:val="32"/>
          <w:highlight w:val="none"/>
          <w:shd w:val="clear" w:color="auto" w:fill="FFFFFF"/>
        </w:rPr>
        <w:t>工作考核表</w:t>
      </w:r>
    </w:p>
    <w:tbl>
      <w:tblPr>
        <w:tblStyle w:val="7"/>
        <w:tblW w:w="1063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703"/>
        <w:gridCol w:w="1198"/>
        <w:gridCol w:w="650"/>
        <w:gridCol w:w="2536"/>
        <w:gridCol w:w="3266"/>
        <w:gridCol w:w="808"/>
        <w:gridCol w:w="147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指标名称</w:t>
            </w:r>
          </w:p>
        </w:tc>
        <w:tc>
          <w:tcPr>
            <w:tcW w:w="61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考核内容及标准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w:t>
            </w:r>
          </w:p>
        </w:tc>
        <w:tc>
          <w:tcPr>
            <w:tcW w:w="1395"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664"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人员考核</w:t>
            </w:r>
          </w:p>
        </w:tc>
        <w:tc>
          <w:tcPr>
            <w:tcW w:w="614"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团队</w:t>
            </w:r>
            <w:r>
              <w:rPr>
                <w:rFonts w:hint="eastAsia" w:ascii="宋体" w:hAnsi="宋体" w:eastAsia="宋体" w:cs="宋体"/>
                <w:sz w:val="24"/>
                <w:szCs w:val="24"/>
                <w:highlight w:val="none"/>
              </w:rPr>
              <w:t>稳定性</w:t>
            </w:r>
            <w:r>
              <w:rPr>
                <w:rFonts w:hint="eastAsia" w:ascii="宋体" w:hAnsi="宋体" w:eastAsia="宋体" w:cs="宋体"/>
                <w:sz w:val="24"/>
                <w:szCs w:val="24"/>
                <w:highlight w:val="none"/>
                <w:lang w:val="en-US" w:eastAsia="zh-CN"/>
              </w:rPr>
              <w:t>保障不力</w:t>
            </w:r>
            <w:r>
              <w:rPr>
                <w:rFonts w:hint="eastAsia" w:ascii="宋体" w:hAnsi="宋体" w:eastAsia="宋体" w:cs="宋体"/>
                <w:sz w:val="24"/>
                <w:szCs w:val="24"/>
                <w:highlight w:val="none"/>
              </w:rPr>
              <w:t>，未提前5个工作日书面</w:t>
            </w:r>
            <w:r>
              <w:rPr>
                <w:rFonts w:hint="eastAsia" w:ascii="宋体" w:hAnsi="宋体" w:eastAsia="宋体" w:cs="宋体"/>
                <w:sz w:val="24"/>
                <w:szCs w:val="24"/>
                <w:highlight w:val="none"/>
                <w:lang w:eastAsia="zh-CN"/>
              </w:rPr>
              <w:t>申请</w:t>
            </w:r>
            <w:r>
              <w:rPr>
                <w:rFonts w:hint="eastAsia" w:ascii="宋体" w:hAnsi="宋体" w:eastAsia="宋体" w:cs="宋体"/>
                <w:sz w:val="24"/>
                <w:szCs w:val="24"/>
                <w:highlight w:val="none"/>
              </w:rPr>
              <w:t>业主人员变更情况的扣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分；服务期内人员变动大于2</w:t>
            </w:r>
            <w:r>
              <w:rPr>
                <w:rFonts w:hint="eastAsia" w:ascii="宋体" w:hAnsi="宋体" w:eastAsia="宋体" w:cs="宋体"/>
                <w:sz w:val="24"/>
                <w:szCs w:val="24"/>
                <w:highlight w:val="none"/>
                <w:lang w:val="en-US" w:eastAsia="zh-CN"/>
              </w:rPr>
              <w:t>人次</w:t>
            </w:r>
            <w:r>
              <w:rPr>
                <w:rFonts w:hint="eastAsia" w:ascii="宋体" w:hAnsi="宋体" w:eastAsia="宋体" w:cs="宋体"/>
                <w:sz w:val="24"/>
                <w:szCs w:val="24"/>
                <w:highlight w:val="none"/>
              </w:rPr>
              <w:t>的扣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分。（满分5分）</w:t>
            </w:r>
          </w:p>
        </w:tc>
        <w:tc>
          <w:tcPr>
            <w:tcW w:w="763" w:type="dxa"/>
            <w:tcBorders>
              <w:top w:val="single" w:color="000000" w:sz="6" w:space="0"/>
              <w:left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restart"/>
            <w:tcBorders>
              <w:top w:val="single" w:color="000000" w:sz="6" w:space="0"/>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宋体" w:hAnsi="宋体" w:eastAsia="宋体" w:cs="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运维服务过程中</w:t>
            </w:r>
            <w:r>
              <w:rPr>
                <w:rFonts w:hint="eastAsia" w:ascii="宋体" w:hAnsi="宋体" w:eastAsia="宋体" w:cs="宋体"/>
                <w:sz w:val="24"/>
                <w:szCs w:val="24"/>
                <w:highlight w:val="none"/>
                <w:lang w:eastAsia="zh-CN"/>
              </w:rPr>
              <w:t>相关监理</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eastAsia="zh-CN"/>
              </w:rPr>
              <w:t>到位</w:t>
            </w:r>
            <w:r>
              <w:rPr>
                <w:rFonts w:hint="eastAsia" w:ascii="宋体" w:hAnsi="宋体" w:eastAsia="宋体" w:cs="宋体"/>
                <w:sz w:val="24"/>
                <w:szCs w:val="24"/>
                <w:highlight w:val="none"/>
              </w:rPr>
              <w:t>情况，缺席一</w:t>
            </w:r>
            <w:r>
              <w:rPr>
                <w:rFonts w:hint="eastAsia" w:ascii="宋体" w:hAnsi="宋体" w:eastAsia="宋体" w:cs="宋体"/>
                <w:sz w:val="24"/>
                <w:szCs w:val="24"/>
                <w:highlight w:val="none"/>
                <w:lang w:eastAsia="zh-CN"/>
              </w:rPr>
              <w:t>人天</w:t>
            </w:r>
            <w:r>
              <w:rPr>
                <w:rFonts w:hint="eastAsia" w:ascii="宋体" w:hAnsi="宋体" w:eastAsia="宋体" w:cs="宋体"/>
                <w:sz w:val="24"/>
                <w:szCs w:val="24"/>
                <w:highlight w:val="none"/>
              </w:rPr>
              <w:t>扣2分，扣完为止。（满分10分）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甲方对服务人员工作情况和工作满意度打分，</w:t>
            </w:r>
            <w:r>
              <w:rPr>
                <w:rFonts w:hint="eastAsia" w:ascii="宋体" w:hAnsi="宋体" w:eastAsia="宋体" w:cs="宋体"/>
                <w:sz w:val="24"/>
                <w:szCs w:val="24"/>
                <w:highlight w:val="none"/>
                <w:lang w:eastAsia="zh-CN"/>
              </w:rPr>
              <w:t>采购人及厅相关处室、厅属单位</w:t>
            </w:r>
            <w:r>
              <w:rPr>
                <w:rFonts w:hint="eastAsia" w:ascii="宋体" w:hAnsi="宋体" w:eastAsia="宋体" w:cs="宋体"/>
                <w:sz w:val="24"/>
                <w:szCs w:val="24"/>
                <w:highlight w:val="none"/>
              </w:rPr>
              <w:t>每投诉1次扣1分，扣完为止。(满分10分）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664" w:type="dxa"/>
            <w:vMerge w:val="restart"/>
            <w:tcBorders>
              <w:top w:val="single" w:color="000000" w:sz="6" w:space="0"/>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32" w:type="dxa"/>
            <w:vMerge w:val="restart"/>
            <w:tcBorders>
              <w:top w:val="single" w:color="000000" w:sz="6" w:space="0"/>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监理</w:t>
            </w:r>
            <w:r>
              <w:rPr>
                <w:rFonts w:hint="eastAsia" w:ascii="宋体" w:hAnsi="宋体" w:eastAsia="宋体" w:cs="宋体"/>
                <w:sz w:val="24"/>
                <w:szCs w:val="24"/>
                <w:highlight w:val="none"/>
              </w:rPr>
              <w:t>工作考核</w:t>
            </w:r>
          </w:p>
        </w:tc>
        <w:tc>
          <w:tcPr>
            <w:tcW w:w="614" w:type="dxa"/>
            <w:vMerge w:val="restart"/>
            <w:tcBorders>
              <w:top w:val="single" w:color="000000" w:sz="6" w:space="0"/>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5</w:t>
            </w:r>
          </w:p>
        </w:tc>
        <w:tc>
          <w:tcPr>
            <w:tcW w:w="5482" w:type="dxa"/>
            <w:gridSpan w:val="2"/>
            <w:tcBorders>
              <w:top w:val="single" w:color="000000" w:sz="6" w:space="0"/>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4.项目资产</w:t>
            </w:r>
            <w:r>
              <w:rPr>
                <w:rFonts w:hint="eastAsia" w:ascii="宋体" w:hAnsi="宋体" w:eastAsia="宋体" w:cs="宋体"/>
                <w:sz w:val="24"/>
                <w:szCs w:val="24"/>
                <w:highlight w:val="none"/>
                <w:lang w:eastAsia="zh-CN"/>
              </w:rPr>
              <w:t>监理</w:t>
            </w:r>
            <w:r>
              <w:rPr>
                <w:rFonts w:hint="eastAsia" w:ascii="宋体" w:hAnsi="宋体" w:eastAsia="宋体" w:cs="宋体"/>
                <w:sz w:val="24"/>
                <w:szCs w:val="24"/>
                <w:highlight w:val="none"/>
              </w:rPr>
              <w:t>情况评价。(满分10分）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5.运维期间出现问题的整改进行监督和复查</w:t>
            </w:r>
            <w:r>
              <w:rPr>
                <w:rFonts w:hint="eastAsia" w:ascii="宋体" w:hAnsi="宋体" w:eastAsia="宋体" w:cs="宋体"/>
                <w:sz w:val="24"/>
                <w:szCs w:val="24"/>
                <w:highlight w:val="none"/>
                <w:lang w:eastAsia="zh-CN"/>
              </w:rPr>
              <w:t>监理情况评价</w:t>
            </w:r>
            <w:r>
              <w:rPr>
                <w:rFonts w:hint="eastAsia" w:ascii="宋体" w:hAnsi="宋体" w:eastAsia="宋体" w:cs="宋体"/>
                <w:sz w:val="24"/>
                <w:szCs w:val="24"/>
                <w:highlight w:val="none"/>
              </w:rPr>
              <w:t>(满分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6.前端点位全覆盖现场检查</w:t>
            </w:r>
            <w:r>
              <w:rPr>
                <w:rFonts w:hint="eastAsia" w:ascii="宋体" w:hAnsi="宋体" w:eastAsia="宋体" w:cs="宋体"/>
                <w:sz w:val="24"/>
                <w:szCs w:val="24"/>
                <w:highlight w:val="none"/>
              </w:rPr>
              <w:t>情况评价。(满分</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7.响应时间</w:t>
            </w:r>
            <w:r>
              <w:rPr>
                <w:rFonts w:hint="eastAsia" w:ascii="宋体" w:hAnsi="宋体" w:eastAsia="宋体" w:cs="宋体"/>
                <w:sz w:val="24"/>
                <w:szCs w:val="24"/>
                <w:highlight w:val="none"/>
                <w:lang w:eastAsia="zh-CN"/>
              </w:rPr>
              <w:t>监理</w:t>
            </w:r>
            <w:r>
              <w:rPr>
                <w:rFonts w:hint="eastAsia" w:ascii="宋体" w:hAnsi="宋体" w:eastAsia="宋体" w:cs="宋体"/>
                <w:sz w:val="24"/>
                <w:szCs w:val="24"/>
                <w:highlight w:val="none"/>
              </w:rPr>
              <w:t>情况评价。(满分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8.运维工作</w:t>
            </w:r>
            <w:r>
              <w:rPr>
                <w:rFonts w:hint="eastAsia" w:ascii="宋体" w:hAnsi="宋体" w:eastAsia="宋体" w:cs="宋体"/>
                <w:sz w:val="24"/>
                <w:szCs w:val="24"/>
                <w:highlight w:val="none"/>
                <w:lang w:eastAsia="zh-CN"/>
              </w:rPr>
              <w:t>方案审核监理</w:t>
            </w:r>
            <w:r>
              <w:rPr>
                <w:rFonts w:hint="eastAsia" w:ascii="宋体" w:hAnsi="宋体" w:eastAsia="宋体" w:cs="宋体"/>
                <w:sz w:val="24"/>
                <w:szCs w:val="24"/>
                <w:highlight w:val="none"/>
              </w:rPr>
              <w:t>情况评价。(满分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9.配合业主召开项目验收会及落实会议决议监理情况评价。(满分3分）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10.提出项目相关网络配置及安全优化建议</w:t>
            </w:r>
            <w:r>
              <w:rPr>
                <w:rFonts w:hint="eastAsia" w:ascii="宋体" w:hAnsi="宋体" w:eastAsia="宋体" w:cs="宋体"/>
                <w:sz w:val="24"/>
                <w:szCs w:val="24"/>
                <w:highlight w:val="none"/>
                <w:lang w:eastAsia="zh-CN"/>
              </w:rPr>
              <w:t>监理</w:t>
            </w:r>
            <w:r>
              <w:rPr>
                <w:rFonts w:hint="eastAsia" w:ascii="宋体" w:hAnsi="宋体" w:eastAsia="宋体" w:cs="宋体"/>
                <w:sz w:val="24"/>
                <w:szCs w:val="24"/>
                <w:highlight w:val="none"/>
              </w:rPr>
              <w:t>情况评价。(满分</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11.审核运维服务报告及其他相关文件及规范文档格式</w:t>
            </w:r>
            <w:r>
              <w:rPr>
                <w:rFonts w:hint="eastAsia" w:ascii="宋体" w:hAnsi="宋体" w:eastAsia="宋体" w:cs="宋体"/>
                <w:sz w:val="24"/>
                <w:szCs w:val="24"/>
                <w:highlight w:val="none"/>
                <w:lang w:eastAsia="zh-CN"/>
              </w:rPr>
              <w:t>监理</w:t>
            </w:r>
            <w:r>
              <w:rPr>
                <w:rFonts w:hint="eastAsia" w:ascii="宋体" w:hAnsi="宋体" w:eastAsia="宋体" w:cs="宋体"/>
                <w:sz w:val="24"/>
                <w:szCs w:val="24"/>
                <w:highlight w:val="none"/>
              </w:rPr>
              <w:t>情况评价。(满分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12.审核运维服务费用结算</w:t>
            </w:r>
            <w:r>
              <w:rPr>
                <w:rFonts w:hint="eastAsia" w:ascii="宋体" w:hAnsi="宋体" w:eastAsia="宋体" w:cs="宋体"/>
                <w:sz w:val="24"/>
                <w:szCs w:val="24"/>
                <w:highlight w:val="none"/>
                <w:lang w:eastAsia="zh-CN"/>
              </w:rPr>
              <w:t>监理</w:t>
            </w:r>
            <w:r>
              <w:rPr>
                <w:rFonts w:hint="eastAsia" w:ascii="宋体" w:hAnsi="宋体" w:eastAsia="宋体" w:cs="宋体"/>
                <w:sz w:val="24"/>
                <w:szCs w:val="24"/>
                <w:highlight w:val="none"/>
              </w:rPr>
              <w:t>情况评价。(满分</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13.</w:t>
            </w:r>
            <w:r>
              <w:rPr>
                <w:rFonts w:hint="eastAsia" w:ascii="宋体" w:hAnsi="宋体" w:eastAsia="宋体" w:cs="宋体"/>
                <w:sz w:val="24"/>
                <w:szCs w:val="24"/>
                <w:highlight w:val="none"/>
                <w:lang w:val="en-US" w:eastAsia="zh-CN"/>
              </w:rPr>
              <w:t>提供</w:t>
            </w:r>
            <w:r>
              <w:rPr>
                <w:rFonts w:hint="eastAsia" w:ascii="宋体" w:hAnsi="宋体" w:eastAsia="宋体" w:cs="宋体"/>
                <w:kern w:val="2"/>
                <w:sz w:val="24"/>
                <w:szCs w:val="24"/>
                <w:highlight w:val="none"/>
                <w:lang w:val="en-US" w:eastAsia="zh-CN" w:bidi="ar-SA"/>
              </w:rPr>
              <w:t>技术支持，包括但不限于技术咨询、技术服务等监理情况评价。(满分1分）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1132"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614"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各种</w:t>
            </w:r>
            <w:r>
              <w:rPr>
                <w:rFonts w:hint="eastAsia" w:ascii="宋体" w:hAnsi="宋体" w:eastAsia="宋体" w:cs="宋体"/>
                <w:sz w:val="24"/>
                <w:szCs w:val="24"/>
                <w:highlight w:val="none"/>
                <w:lang w:val="en-US" w:eastAsia="zh-CN"/>
              </w:rPr>
              <w:t>监理成果文档</w:t>
            </w:r>
            <w:r>
              <w:rPr>
                <w:rFonts w:hint="eastAsia" w:ascii="宋体" w:hAnsi="宋体" w:eastAsia="宋体" w:cs="宋体"/>
                <w:sz w:val="24"/>
                <w:szCs w:val="24"/>
                <w:highlight w:val="none"/>
                <w:lang w:eastAsia="zh-CN"/>
              </w:rPr>
              <w:t>质量、</w:t>
            </w:r>
            <w:r>
              <w:rPr>
                <w:rFonts w:hint="eastAsia" w:ascii="宋体" w:hAnsi="宋体" w:eastAsia="宋体" w:cs="宋体"/>
                <w:sz w:val="24"/>
                <w:szCs w:val="24"/>
                <w:highlight w:val="none"/>
              </w:rPr>
              <w:t>归档整理</w:t>
            </w:r>
            <w:r>
              <w:rPr>
                <w:rFonts w:hint="eastAsia" w:ascii="宋体" w:hAnsi="宋体" w:eastAsia="宋体" w:cs="宋体"/>
                <w:sz w:val="24"/>
                <w:szCs w:val="24"/>
                <w:highlight w:val="none"/>
                <w:lang w:eastAsia="zh-CN"/>
              </w:rPr>
              <w:t>情况、</w:t>
            </w:r>
            <w:r>
              <w:rPr>
                <w:rFonts w:hint="eastAsia" w:ascii="宋体" w:hAnsi="宋体" w:eastAsia="宋体" w:cs="宋体"/>
                <w:sz w:val="24"/>
                <w:szCs w:val="24"/>
                <w:highlight w:val="none"/>
              </w:rPr>
              <w:t>按时提交情况评价。（共</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sz w:val="24"/>
                <w:szCs w:val="24"/>
                <w:highlight w:val="none"/>
              </w:rPr>
            </w:pPr>
          </w:p>
        </w:tc>
        <w:tc>
          <w:tcPr>
            <w:tcW w:w="1132" w:type="dxa"/>
            <w:vMerge w:val="continue"/>
            <w:tcBorders>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sz w:val="24"/>
                <w:szCs w:val="24"/>
                <w:highlight w:val="none"/>
              </w:rPr>
            </w:pPr>
          </w:p>
        </w:tc>
        <w:tc>
          <w:tcPr>
            <w:tcW w:w="614" w:type="dxa"/>
            <w:vMerge w:val="continue"/>
            <w:tcBorders>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sz w:val="24"/>
                <w:szCs w:val="24"/>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15.运维服务期间监理情况评价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61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5482"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default" w:ascii="宋体" w:hAnsi="宋体" w:eastAsia="宋体" w:cs="宋体"/>
                <w:sz w:val="24"/>
                <w:szCs w:val="24"/>
                <w:highlight w:val="none"/>
                <w:lang w:val="en-US" w:eastAsia="zh-CN"/>
              </w:rPr>
            </w:pPr>
          </w:p>
        </w:tc>
        <w:tc>
          <w:tcPr>
            <w:tcW w:w="1395" w:type="dxa"/>
            <w:vMerge w:val="continue"/>
            <w:tcBorders>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10050" w:type="dxa"/>
            <w:gridSpan w:val="7"/>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前端现场检查每少一个点位扣款300元。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10050" w:type="dxa"/>
            <w:gridSpan w:val="7"/>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双方项目管理人员意见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732" w:hRule="atLeast"/>
          <w:jc w:val="center"/>
        </w:trPr>
        <w:tc>
          <w:tcPr>
            <w:tcW w:w="4806" w:type="dxa"/>
            <w:gridSpan w:val="4"/>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c>
          <w:tcPr>
            <w:tcW w:w="5244"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bl>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F5527"/>
    <w:rsid w:val="0F52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360" w:lineRule="auto"/>
      <w:ind w:firstLine="420" w:firstLineChars="200"/>
    </w:pPr>
    <w:rPr>
      <w:rFonts w:hint="default" w:ascii="Calibri" w:hAnsi="Calibri" w:eastAsia="宋体"/>
      <w:kern w:val="2"/>
      <w:sz w:val="24"/>
      <w:szCs w:val="24"/>
    </w:rPr>
  </w:style>
  <w:style w:type="paragraph" w:styleId="3">
    <w:name w:val="Body Text Indent"/>
    <w:basedOn w:val="1"/>
    <w:unhideWhenUsed/>
    <w:qFormat/>
    <w:uiPriority w:val="99"/>
    <w:pPr>
      <w:spacing w:after="120"/>
      <w:ind w:left="420" w:leftChars="200"/>
    </w:pPr>
    <w:rPr>
      <w:rFonts w:hint="eastAsia" w:ascii="Times New Roman" w:hAnsi="Times New Roman" w:eastAsia="Times New Roman"/>
      <w:kern w:val="0"/>
      <w:sz w:val="2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2025-06-06T01:27:25Z</dcterms:created>
  <dc:creator>Administrator</dc:creator>
  <cp:lastModifiedBy>Administrator</cp:lastModifiedBy>
  <dcterms:modified xsi:type="dcterms:W3CDTF">2025-06-06T01:31:14Z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8ABC1BDABE3447E6994B865883329727</vt:lpwstr>
  </property>
</Properties>
</file>