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bookmarkStart w:id="2" w:name="_GoBack"/>
      <w:bookmarkEnd w:id="2"/>
      <w:bookmarkStart w:id="0" w:name="OLE_LINK1"/>
      <w:bookmarkStart w:id="1" w:name="OLE_LINK2"/>
    </w:p>
    <w:p>
      <w:pPr>
        <w:widowControl/>
        <w:spacing w:line="240" w:lineRule="auto"/>
        <w:ind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技术服务要求</w:t>
      </w:r>
    </w:p>
    <w:p>
      <w:pPr>
        <w:numPr>
          <w:ilvl w:val="0"/>
          <w:numId w:val="0"/>
        </w:numPr>
        <w:bidi w:val="0"/>
        <w:spacing w:line="480" w:lineRule="auto"/>
        <w:ind w:leftChars="200"/>
        <w:jc w:val="center"/>
        <w:rPr>
          <w:rFonts w:hint="eastAsia"/>
          <w:b/>
          <w:bCs/>
          <w:sz w:val="40"/>
          <w:szCs w:val="44"/>
          <w:lang w:val="en-US" w:eastAsia="zh-CN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满足</w:t>
      </w:r>
      <w:r>
        <w:rPr>
          <w:rFonts w:hint="eastAsia" w:ascii="仿宋_GB2312" w:hAnsi="仿宋_GB2312" w:eastAsia="仿宋_GB2312" w:cs="仿宋_GB2312"/>
          <w:sz w:val="32"/>
          <w:szCs w:val="32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中心机房基础设施及各业务系统安全平稳运行，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服务商需提供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、二线技术支持服务、厅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政务信息网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办公终端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台式机186台、笔记本48台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维修服务、操作系统延保服务、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备品配件采购、</w:t>
      </w:r>
      <w:r>
        <w:rPr>
          <w:rFonts w:hint="eastAsia" w:ascii="仿宋_GB2312" w:hAnsi="仿宋_GB2312" w:eastAsia="仿宋_GB2312" w:cs="仿宋_GB2312"/>
          <w:sz w:val="32"/>
          <w:szCs w:val="32"/>
        </w:rPr>
        <w:t>通用办公软件场地授权延保服务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7*24小时中心机房监控支撑保障服务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。具体要求如下：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政务信息网办公终端一线运维服务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提供1名工程师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在我</w:t>
      </w:r>
      <w:r>
        <w:rPr>
          <w:rFonts w:hint="eastAsia" w:ascii="仿宋_GB2312" w:hAnsi="仿宋_GB2312" w:eastAsia="仿宋_GB2312" w:cs="仿宋_GB2312"/>
          <w:sz w:val="32"/>
          <w:szCs w:val="32"/>
        </w:rPr>
        <w:t>厅提供5</w:t>
      </w:r>
      <w:r>
        <w:rPr>
          <w:rFonts w:ascii="仿宋_GB2312" w:hAnsi="仿宋_GB2312" w:eastAsia="仿宋_GB2312" w:cs="仿宋_GB2312"/>
          <w:sz w:val="32"/>
          <w:szCs w:val="32"/>
        </w:rPr>
        <w:t>*8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一线</w:t>
      </w:r>
      <w:r>
        <w:rPr>
          <w:rFonts w:hint="eastAsia" w:ascii="仿宋_GB2312" w:hAnsi="仿宋_GB2312" w:eastAsia="仿宋_GB2312" w:cs="仿宋_GB2312"/>
          <w:sz w:val="32"/>
          <w:szCs w:val="32"/>
        </w:rPr>
        <w:t>运维服务，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（一）云应用平台巡检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厅部署在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政务云的云应用平台虚拟服务器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日常</w:t>
      </w:r>
      <w:r>
        <w:rPr>
          <w:rFonts w:hint="eastAsia" w:ascii="仿宋_GB2312" w:hAnsi="仿宋_GB2312" w:eastAsia="仿宋_GB2312" w:cs="仿宋_GB2312"/>
          <w:sz w:val="32"/>
          <w:szCs w:val="32"/>
        </w:rPr>
        <w:t>巡检。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服务器操作系统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云应用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状态检查；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.对检查出的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故障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申报并做好记录，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（二）厅机房内相关系统维护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厅机房内的云打印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系统、</w:t>
      </w:r>
      <w:r>
        <w:rPr>
          <w:rFonts w:hint="eastAsia" w:ascii="仿宋_GB2312" w:hAnsi="仿宋_GB2312" w:eastAsia="仿宋_GB2312" w:cs="仿宋_GB2312"/>
          <w:sz w:val="32"/>
          <w:szCs w:val="32"/>
        </w:rPr>
        <w:t>桌管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及系统平台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日常</w:t>
      </w:r>
      <w:r>
        <w:rPr>
          <w:rFonts w:hint="eastAsia" w:ascii="仿宋_GB2312" w:hAnsi="仿宋_GB2312" w:eastAsia="仿宋_GB2312" w:cs="仿宋_GB2312"/>
          <w:sz w:val="32"/>
          <w:szCs w:val="32"/>
        </w:rPr>
        <w:t>巡检。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服务器操作系统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及系统平台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状态检查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处理简单故障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2.对检查出的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故障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申报并做好记录，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及时协调二线支持</w:t>
      </w:r>
      <w:r>
        <w:rPr>
          <w:rFonts w:hint="eastAsia" w:ascii="仿宋_GB2312" w:hAnsi="仿宋_GB2312" w:eastAsia="仿宋_GB2312" w:cs="仿宋_GB2312"/>
          <w:sz w:val="32"/>
          <w:szCs w:val="32"/>
        </w:rPr>
        <w:t>处置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较难故障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对系统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安全策略、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系统数据进行维护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政务信息网办公终端连接外设使用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桌管系统日常使用问题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进行解答和处理。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（三）厅政务信息网办公终端日常维护与故障处理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机关和信息中心政务信息网台式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办公终端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笔记本电脑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日常维护与故障处理；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对政务信息网办公终端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进行解答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做好处置记录。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（四）提供月服务报告编制服务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（五）完成交办的其他相关工作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（六）一线运维人员要求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全日制专科及以上学历，计算机相关专业，1年以上相关工作经验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具备计算机硬件（PC、笔记本）及外围设备（打印机、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家用</w:t>
      </w:r>
      <w:r>
        <w:rPr>
          <w:rFonts w:hint="eastAsia" w:ascii="仿宋_GB2312" w:hAnsi="仿宋_GB2312" w:eastAsia="仿宋_GB2312" w:cs="仿宋_GB2312"/>
          <w:sz w:val="32"/>
          <w:szCs w:val="32"/>
        </w:rPr>
        <w:t>路由器、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扫描仪、</w:t>
      </w:r>
      <w:r>
        <w:rPr>
          <w:rFonts w:hint="eastAsia" w:ascii="仿宋_GB2312" w:hAnsi="仿宋_GB2312" w:eastAsia="仿宋_GB2312" w:cs="仿宋_GB2312"/>
          <w:sz w:val="32"/>
          <w:szCs w:val="32"/>
        </w:rPr>
        <w:t>切屏器）的安装调试及故障维护能力；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主流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操作系统（linux、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Windows、</w:t>
      </w:r>
      <w:r>
        <w:rPr>
          <w:rFonts w:hint="eastAsia" w:ascii="仿宋_GB2312" w:hAnsi="仿宋_GB2312" w:eastAsia="仿宋_GB2312" w:cs="仿宋_GB2312"/>
          <w:sz w:val="32"/>
          <w:szCs w:val="32"/>
        </w:rPr>
        <w:t>麒麟、UOS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）及常用软件（办公软件、杀毒软件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）的安装、配置和维护的能力；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具有良好的沟通和表达能力，具备良好的职业道德和责任心。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5.人员进场前需提供本人无犯罪证明，并与业主单位签署保密协议。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、政务信息网</w:t>
      </w:r>
      <w:r>
        <w:rPr>
          <w:rFonts w:hint="eastAsia" w:ascii="黑体" w:hAnsi="黑体" w:eastAsia="黑体" w:cs="黑体"/>
          <w:sz w:val="32"/>
          <w:szCs w:val="32"/>
        </w:rPr>
        <w:t>办公终端二线技术支持服务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提供7*24小时应急响应支撑，15分钟电话响应，1小时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内到达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厅政务信息网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办公终端移机服务；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云打印机系统运维服务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服务器系统维护和升级、系统漏洞修复、数据备份、故障处理；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桌管平台系统运维服务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主要包含</w:t>
      </w:r>
      <w:r>
        <w:rPr>
          <w:rFonts w:hint="eastAsia" w:ascii="仿宋_GB2312" w:hAnsi="仿宋_GB2312" w:eastAsia="仿宋_GB2312" w:cs="仿宋_GB2312"/>
          <w:sz w:val="32"/>
          <w:szCs w:val="32"/>
        </w:rPr>
        <w:t>桌管平台维护和升级、系统漏洞修复、数据备份、故障处理；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外设与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政务信息网办公终端</w:t>
      </w:r>
      <w:r>
        <w:rPr>
          <w:rFonts w:hint="eastAsia" w:ascii="仿宋_GB2312" w:hAnsi="仿宋_GB2312" w:eastAsia="仿宋_GB2312" w:cs="仿宋_GB2312"/>
          <w:sz w:val="32"/>
          <w:szCs w:val="32"/>
        </w:rPr>
        <w:t>操作系统适配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等疑难杂症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配合正版化、保密、网络安全等检查服务；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政务信息网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办公终端办公组合套件更新维护；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按需提供重要时期应急值守。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政务信息网</w:t>
      </w:r>
      <w:r>
        <w:rPr>
          <w:rFonts w:hint="eastAsia" w:ascii="黑体" w:hAnsi="黑体" w:eastAsia="黑体" w:cs="黑体"/>
          <w:sz w:val="32"/>
          <w:szCs w:val="32"/>
        </w:rPr>
        <w:t>办公终端维修及备件服务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机关和信息中心政务信息网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办公终端提供免费维修服务，并承担维修过程中的所有硬件替换及服务费用；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在我厅设置备件库，采购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内存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8G DDR4 2666MHZ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个、显卡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R5 235 1G VCA+HDHI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2个、固态硬盘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2.5寸 SATA 512G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2个、机械硬盘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2.5寸 SATA 1TB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个、显示器电源适配器3个、台式机电源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160W台式机电源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个，当办公终端出现以上部件故障，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并使用情况较紧急，经业主同意后，可由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一线运维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工程师从备件库中提取部件进行替换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并及时做好登记和补充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四、操作系统延保服务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政务信息网现有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办公终端234套授权；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提供为期1年的技术支持与软件升级。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五、通用办公软件场地授权及升级延保服务</w:t>
      </w:r>
    </w:p>
    <w:p>
      <w:p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在我厅现使用的</w:t>
      </w:r>
      <w:r>
        <w:rPr>
          <w:rFonts w:hint="eastAsia" w:ascii="仿宋_GB2312" w:hAnsi="仿宋_GB2312" w:eastAsia="仿宋_GB2312" w:cs="仿宋_GB2312"/>
          <w:sz w:val="32"/>
          <w:szCs w:val="32"/>
        </w:rPr>
        <w:t>金山WPS Office2019 专业版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办公软件基础上提供场地授权及延保服务。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包含厅机关及信息中心通用办公计算机终端场地授权；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提供1年的安装及技术支持服务、升级更新支持、应急响应、制造商原厂场地授权证明材料；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提供全天候电话技术支持服务，指导排除软件使用过程中的技术问题，满足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我厅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六、中心机房监控支撑保障服务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机房基础环境及配套设施监控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1.机房出入管控：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①人员出入管控：外来人员进入机房，需由我厅相关处室或中心相关科室人员带领，并填写《机房进出登记表》，详细记录出入时间、事由、个人信息后方可放行。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②系统、设备操作管控：外来人员对机房内信息系统、设备进行操作或增减，需持有经审批的《机房设备操作单》，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技术支撑保障人员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负责对外来施工人员实施过程进行陪同与安全监督。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③设备搬离管控：外来人员将设备搬离机房，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技术支撑保障人员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需留存经盖章的出门条，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报告机房主管科室后，详细核对出门条中设备品牌、型号、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SN码等信息，方可放行。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2.机房基础环境监控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①机房视频监控：通过机房视频监控系统，全天查看机房、UPS室、发电机房、配电房、主要楼层通道等安全状况，及时报告并记录异常情况，并配合完成处置。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②机房场地监控：通过机房场地监控系统，全天查看机房、UPS室、发电机房、配电房等温湿度、漏水、市电、空开等是否存在异常报警，及时报告并记录异常情况，并配合完成处置。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③消防控制系统监控：全天定时查看机房消防安全，消控系统是否存在告警，观察机房内消防设施状态，及时报告并记录异常情况，并配合完成处置。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3.机房配套设施监控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①精密空调监控：通过现场查看、视频监控、场地监控系统等查看方式，全天定时监控机房、UPS室精密空调运行状态，及时报告并记录异常情况，并配合完成处置。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②UPS设备监控：通过现场查看、视频监控、场地监控系统等查看方式，全天定时监控UPS主机、电池、电流参数等运行状态，及时报告并记录异常情况，并配合完成处置。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③应急备用电源监控：通过现场查看、视频监控、场地监控系统等查看方式，全天定时监控UPS主机、电池、柴油发电机、电流参数、低压配电房等运行状态，及时报告并记录异常情况，并配合完成处置。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（二）机房设备运行状态监控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1.服务器、存储等监控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全天定时现场查看服务器、存储等设备外观及指示灯告警状态，登录查看虚化平台状态，及时报告并记录异常情况，并配合完成处置。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2.局域网络监控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全天定时现场查看厅互联网用户区、水利专网区、水利部政务外网区、政务信息网区、无线网络以及中心建设、运维的信息系统首页连通性和稳定性，及时报告并记录异常情况，并配合完成处置。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3.网络安全监控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天定时现场查看我厅各主要出口防火墙、态势感知系统、杀毒软件系统运行状态，是否存在重大安全告警，及时报告并记录异常情况，并配合完成处置；全天定时查看厅门户网站首页及各主要模块展示、运行状态，及时报告并记录异常情况，并配合通知相关单位完成处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（三）配合开展汛期防汛系统、数据监控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1.厅防汛系统主要模块监控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在汛期应急响应、重要时期等关键节点，按照省水工程调度指挥中心值班室实际需求，配合开展我厅主要防汛系统重要模块运行情况、数据更新情况的加密巡查。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2.防汛数据到报监控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在汛期应急响应、重要时期等关键节点，按照省水工程调度指挥中心值班室实际需求，通过综合业务平台-水利运维平台配合开展水雨情、卫星云图、雷达图等防汛数据到报情况的加密巡查。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3.闽政通部门服务监控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在汛期应急响应、重要时期等关键节点，按照省水工程调度指挥中心值班室实际需求，配合开展闽政通部门服务-水利厅模块运行状态和数据展示情况的加密巡查。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（四）其他要求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1.监控巡查工作要求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控人员需全天7*24小时现场监控，实时接听值守电话，按监控频次要求定时对本技术要求中各项内容开展监控巡查，并在交接班时做好各监控场地的现场巡检，做好相关监控巡检记录，及时配合处置相关故障告警。同时，定期更新值班所需各系统、各单位联系人、联系电话清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2.监控频次要求</w:t>
      </w:r>
    </w:p>
    <w:tbl>
      <w:tblPr>
        <w:tblStyle w:val="10"/>
        <w:tblW w:w="91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284"/>
        <w:gridCol w:w="5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1" w:type="dxa"/>
            <w:gridSpan w:val="2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时段</w:t>
            </w:r>
          </w:p>
        </w:tc>
        <w:tc>
          <w:tcPr>
            <w:tcW w:w="50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巡查频次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非汛期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8:00-23:59</w:t>
            </w:r>
          </w:p>
        </w:tc>
        <w:tc>
          <w:tcPr>
            <w:tcW w:w="50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2小时一次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0:00-7:59</w:t>
            </w:r>
          </w:p>
        </w:tc>
        <w:tc>
          <w:tcPr>
            <w:tcW w:w="50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3:00-5:00一次；7：00-8:00一次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汛期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普通时段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8:00-23:59</w:t>
            </w:r>
          </w:p>
        </w:tc>
        <w:tc>
          <w:tcPr>
            <w:tcW w:w="504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1小时一次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0:00-7:59</w:t>
            </w:r>
          </w:p>
        </w:tc>
        <w:tc>
          <w:tcPr>
            <w:tcW w:w="504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3:00-5:00一次；6：30-7：00一次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三、四级响应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8:00-23:59</w:t>
            </w:r>
          </w:p>
        </w:tc>
        <w:tc>
          <w:tcPr>
            <w:tcW w:w="504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1小时一次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0:00-7:59</w:t>
            </w:r>
          </w:p>
        </w:tc>
        <w:tc>
          <w:tcPr>
            <w:tcW w:w="5045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2小时一次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7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一、二级响应</w:t>
            </w:r>
          </w:p>
        </w:tc>
        <w:tc>
          <w:tcPr>
            <w:tcW w:w="228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全天0:00-23:59</w:t>
            </w:r>
          </w:p>
        </w:tc>
        <w:tc>
          <w:tcPr>
            <w:tcW w:w="504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1小时一次（并根据业主要求加密巡查）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3.人员配备要求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控团队人员配置不少于3名，水利、计算机、信息技术、软件、电工电子类相关专业，中专及中专以上学历，能准确判断相关故障或异常点，具有一定现场处置能力、较好的沟通与计算机使用能力。人员上岗前由采购人进行统一培训，获得采购人认可后方可进场。人员进场前需提供本人无犯罪证明，并与业主单位签署保密协议。</w:t>
      </w:r>
    </w:p>
    <w:bookmarkEnd w:id="0"/>
    <w:bookmarkEnd w:id="1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七、服务期限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合同签订之日起至2025年12月11日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八、考核要求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本服务考核表针对服务提供商一年考核一次，考核分值 为100分。由采购人结合工作实际，给予年度评定技术服务  考核。该分数将作为合同支付的依据。考核分数90-100分， 支付100%合同款；考核分数80-89分，支付80%合同款；考 核分数70-79分，支付60%合同款；考核分数低于70分的视 为验收不合格，成交人赔付甲方30%合同款的违约金。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t>服务工作考核表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28" w:lineRule="exact"/>
        <w:ind w:firstLine="0" w:firstLineChars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tbl>
      <w:tblPr>
        <w:tblStyle w:val="14"/>
        <w:tblW w:w="835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1287"/>
        <w:gridCol w:w="1002"/>
        <w:gridCol w:w="1085"/>
        <w:gridCol w:w="3581"/>
        <w:gridCol w:w="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8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4" w:line="217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序号</w:t>
            </w:r>
          </w:p>
        </w:tc>
        <w:tc>
          <w:tcPr>
            <w:tcW w:w="1287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3" w:line="218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指标</w:t>
            </w:r>
          </w:p>
        </w:tc>
        <w:tc>
          <w:tcPr>
            <w:tcW w:w="10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7"/>
                <w:kern w:val="0"/>
                <w:sz w:val="28"/>
                <w:szCs w:val="28"/>
                <w:lang w:val="en-US" w:eastAsia="en-US" w:bidi="ar-SA"/>
              </w:rPr>
              <w:t>分值</w:t>
            </w:r>
          </w:p>
        </w:tc>
        <w:tc>
          <w:tcPr>
            <w:tcW w:w="4666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1" w:line="219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考核内容及标准</w:t>
            </w:r>
          </w:p>
        </w:tc>
        <w:tc>
          <w:tcPr>
            <w:tcW w:w="59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63" w:line="218" w:lineRule="auto"/>
              <w:ind w:left="0" w:leftChars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325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287" w:type="dxa"/>
            <w:vMerge w:val="restart"/>
            <w:tcBorders>
              <w:bottom w:val="nil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人员考核</w:t>
            </w:r>
          </w:p>
        </w:tc>
        <w:tc>
          <w:tcPr>
            <w:tcW w:w="100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4666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3" w:line="234" w:lineRule="auto"/>
              <w:ind w:left="0" w:leftChars="0" w:right="105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日常对监控人员进行电话查岗，未接值守电话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一次扣1分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无故迟到、早退，每次扣2分；无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"/>
                <w:kern w:val="0"/>
                <w:sz w:val="28"/>
                <w:szCs w:val="28"/>
                <w:lang w:val="en-US" w:eastAsia="en-US" w:bidi="ar-SA"/>
              </w:rPr>
              <w:t>故人员脱岗，每次扣5分，扣完为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止。</w:t>
            </w:r>
          </w:p>
        </w:tc>
        <w:tc>
          <w:tcPr>
            <w:tcW w:w="5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805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4666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3" w:line="236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现场工作人员必须遵守甲方的各项管理规章制度，出现违反规章制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度的事件，每次扣2分，扣完为止。</w:t>
            </w:r>
          </w:p>
        </w:tc>
        <w:tc>
          <w:tcPr>
            <w:tcW w:w="5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805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287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4666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5" w:line="240" w:lineRule="auto"/>
              <w:ind w:left="0" w:leftChars="0" w:right="25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>甲方对乙方服务人员工作情况和工作满意度打分，收到一次投诉扣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8"/>
                <w:kern w:val="0"/>
                <w:sz w:val="28"/>
                <w:szCs w:val="28"/>
                <w:lang w:val="en-US" w:eastAsia="en-US" w:bidi="ar-SA"/>
              </w:rPr>
              <w:t>1分，扣完为止。</w:t>
            </w:r>
          </w:p>
        </w:tc>
        <w:tc>
          <w:tcPr>
            <w:tcW w:w="5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805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25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2</w:t>
            </w:r>
          </w:p>
        </w:tc>
        <w:tc>
          <w:tcPr>
            <w:tcW w:w="1287" w:type="dxa"/>
            <w:vMerge w:val="restart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  <w:t>工作考核</w:t>
            </w:r>
          </w:p>
        </w:tc>
        <w:tc>
          <w:tcPr>
            <w:tcW w:w="1002" w:type="dxa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4666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88" w:line="245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4"/>
                <w:kern w:val="0"/>
                <w:sz w:val="28"/>
                <w:szCs w:val="28"/>
                <w:lang w:val="en-US" w:eastAsia="en-US" w:bidi="ar-SA"/>
              </w:rPr>
              <w:t>7*24小时应急响应支撑，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未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按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  <w:t>合同及比选文件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标准执行，发现一次扣1分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  <w:t>；对故障处理懈怠，未能积极有效解决问题的，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en-US" w:bidi="ar-SA"/>
              </w:rPr>
              <w:t>发现一次扣1分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6"/>
                <w:kern w:val="0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扣完为止。</w:t>
            </w:r>
          </w:p>
        </w:tc>
        <w:tc>
          <w:tcPr>
            <w:tcW w:w="5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805" w:type="dxa"/>
            <w:vMerge w:val="continue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87" w:type="dxa"/>
            <w:vMerge w:val="continue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4666" w:type="dxa"/>
            <w:gridSpan w:val="2"/>
            <w:shd w:val="clear" w:color="auto" w:fill="auto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0" w:line="237" w:lineRule="auto"/>
              <w:ind w:left="0" w:leftChars="0" w:right="93" w:righ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每月10日之前提交上月的《月服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>务报告》,未能按时提交的，每延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迟一次扣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2.5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分。</w:t>
            </w:r>
          </w:p>
        </w:tc>
        <w:tc>
          <w:tcPr>
            <w:tcW w:w="5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805" w:type="dxa"/>
            <w:vMerge w:val="continue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87" w:type="dxa"/>
            <w:vMerge w:val="continue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0" w:leftChars="0" w:firstLine="0" w:firstLineChars="0"/>
              <w:jc w:val="center"/>
              <w:textAlignment w:val="baseline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4666" w:type="dxa"/>
            <w:gridSpan w:val="2"/>
            <w:shd w:val="clear" w:color="auto" w:fill="auto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41" w:lineRule="auto"/>
              <w:ind w:left="113" w:leftChars="0" w:right="25" w:rightChars="0" w:hanging="7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未按监控频次要求开展巡查工作的，发现一次扣1分，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扣完为止。</w:t>
            </w:r>
          </w:p>
        </w:tc>
        <w:tc>
          <w:tcPr>
            <w:tcW w:w="5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805" w:type="dxa"/>
            <w:vMerge w:val="continue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3" w:lineRule="auto"/>
              <w:ind w:left="325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87" w:type="dxa"/>
            <w:vMerge w:val="continue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6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4"/>
                <w:kern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91" w:line="184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8"/>
                <w:kern w:val="0"/>
                <w:sz w:val="28"/>
                <w:szCs w:val="28"/>
                <w:lang w:val="en-US" w:eastAsia="en-US" w:bidi="ar-SA"/>
              </w:rPr>
              <w:t>10</w:t>
            </w:r>
          </w:p>
        </w:tc>
        <w:tc>
          <w:tcPr>
            <w:tcW w:w="4666" w:type="dxa"/>
            <w:gridSpan w:val="2"/>
            <w:shd w:val="clear" w:color="auto" w:fill="auto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"/>
                <w:kern w:val="0"/>
                <w:sz w:val="28"/>
                <w:szCs w:val="28"/>
                <w:lang w:val="en-US" w:eastAsia="en-US" w:bidi="ar-SA"/>
              </w:rPr>
              <w:t>甲方根据乙方服务工作记录表的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  <w:t>及时性、完整性情况进行检查，每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发现一次漏记扣1分，扣完为止。</w:t>
            </w:r>
          </w:p>
        </w:tc>
        <w:tc>
          <w:tcPr>
            <w:tcW w:w="598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05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6" w:line="181" w:lineRule="auto"/>
              <w:ind w:left="0" w:leftChars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6955" w:type="dxa"/>
            <w:gridSpan w:val="4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6" w:line="181" w:lineRule="auto"/>
              <w:ind w:left="0" w:leftChars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zh-CN" w:bidi="ar-SA"/>
              </w:rPr>
              <w:t>100</w:t>
            </w:r>
          </w:p>
        </w:tc>
        <w:tc>
          <w:tcPr>
            <w:tcW w:w="59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46" w:line="181" w:lineRule="auto"/>
              <w:ind w:left="184" w:left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358" w:type="dxa"/>
            <w:gridSpan w:val="6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双方项目管理人员意见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4179" w:type="dxa"/>
            <w:gridSpan w:val="4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甲方</w:t>
            </w:r>
          </w:p>
        </w:tc>
        <w:tc>
          <w:tcPr>
            <w:tcW w:w="4179" w:type="dxa"/>
            <w:gridSpan w:val="2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1"/>
                <w:kern w:val="0"/>
                <w:sz w:val="28"/>
                <w:szCs w:val="28"/>
                <w:lang w:val="en-US" w:eastAsia="en-US" w:bidi="ar-SA"/>
              </w:rPr>
              <w:t>乙方</w:t>
            </w: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52925B0-CB35-41C3-AFE4-2AC3A60B455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63B7A6-1C3F-44D7-8048-0B65D240FE8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6E1720D-007E-49B9-A398-FB09C463DBC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F29B38E-1721-4926-8E95-4CDD6CEEED1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C6C75FB-7FC9-4B1E-A2DD-541E39145E9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4NjdjODY5NWIxNWU1OTk4NTViMTA4NjQ5NmE0NmEifQ=="/>
  </w:docVars>
  <w:rsids>
    <w:rsidRoot w:val="62B12925"/>
    <w:rsid w:val="03B677F7"/>
    <w:rsid w:val="083241E3"/>
    <w:rsid w:val="0B6F4D1B"/>
    <w:rsid w:val="0D467A5D"/>
    <w:rsid w:val="16F84430"/>
    <w:rsid w:val="18C52A4A"/>
    <w:rsid w:val="18E60F33"/>
    <w:rsid w:val="1D444568"/>
    <w:rsid w:val="1F46255F"/>
    <w:rsid w:val="21F05D11"/>
    <w:rsid w:val="29FD45DD"/>
    <w:rsid w:val="2E996ED8"/>
    <w:rsid w:val="2F4919BB"/>
    <w:rsid w:val="31472FDA"/>
    <w:rsid w:val="31FA610D"/>
    <w:rsid w:val="337D0287"/>
    <w:rsid w:val="3A0B70A5"/>
    <w:rsid w:val="3B7B70EA"/>
    <w:rsid w:val="3CAB1C76"/>
    <w:rsid w:val="3F9B42EE"/>
    <w:rsid w:val="4236566E"/>
    <w:rsid w:val="439137DD"/>
    <w:rsid w:val="462918F9"/>
    <w:rsid w:val="47F155E6"/>
    <w:rsid w:val="4FA72771"/>
    <w:rsid w:val="51662706"/>
    <w:rsid w:val="52523C15"/>
    <w:rsid w:val="55DD601F"/>
    <w:rsid w:val="578641A4"/>
    <w:rsid w:val="5C347EE9"/>
    <w:rsid w:val="5CF74D38"/>
    <w:rsid w:val="5FE94ADE"/>
    <w:rsid w:val="6113661C"/>
    <w:rsid w:val="62B12925"/>
    <w:rsid w:val="66E443C7"/>
    <w:rsid w:val="69D87C9F"/>
    <w:rsid w:val="6CF15CA7"/>
    <w:rsid w:val="71250C37"/>
    <w:rsid w:val="7246308E"/>
    <w:rsid w:val="725B37C6"/>
    <w:rsid w:val="742835D1"/>
    <w:rsid w:val="76FB4D6A"/>
    <w:rsid w:val="77D33D39"/>
    <w:rsid w:val="7DC6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360" w:lineRule="auto"/>
      <w:jc w:val="left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ind w:firstLine="0" w:firstLineChars="0"/>
      <w:outlineLvl w:val="2"/>
    </w:pPr>
    <w:rPr>
      <w:rFonts w:ascii="宋体" w:hAnsi="宋体" w:eastAsia="宋体" w:cs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宋体" w:hAnsi="宋体" w:eastAsia="宋体" w:cs="Times New Roman"/>
      <w:kern w:val="0"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="Times New Roman" w:hAnsi="Times New Roman" w:eastAsia="宋体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435</Words>
  <Characters>477</Characters>
  <Lines>0</Lines>
  <Paragraphs>0</Paragraphs>
  <TotalTime>6</TotalTime>
  <ScaleCrop>false</ScaleCrop>
  <LinksUpToDate>false</LinksUpToDate>
  <CharactersWithSpaces>482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2023-10-26T05:36:00Z</dcterms:created>
  <dc:creator>l</dc:creator>
  <cp:lastModifiedBy>user</cp:lastModifiedBy>
  <cp:lastPrinted>2025-04-24T08:03:00Z</cp:lastPrinted>
  <dcterms:modified xsi:type="dcterms:W3CDTF">2025-04-24T08:18:34Z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CD12275F43204FC8857CC9E5915A4C8C_13</vt:lpwstr>
  </property>
  <property fmtid="{D5CDD505-2E9C-101B-9397-08002B2CF9AE}" pid="4" name="KSOTemplateDocerSaveRecord">
    <vt:lpwstr>eyJoZGlkIjoiNjg1YjA0YzE0NjQ3NTEyZTgyYWZlNmZkOWVhMTAwOTkiLCJ1c2VySWQiOiI0MzE5NDM1NDQifQ==</vt:lpwstr>
  </property>
</Properties>
</file>