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cs="仿宋"/>
          <w:b/>
          <w:bCs/>
          <w:szCs w:val="36"/>
        </w:rPr>
      </w:pPr>
      <w:r>
        <w:rPr>
          <w:rFonts w:hint="eastAsia" w:ascii="仿宋" w:hAnsi="仿宋" w:cs="仿宋"/>
          <w:b/>
          <w:bCs/>
          <w:szCs w:val="36"/>
        </w:rPr>
        <w:t>福建省水利厅软件源代码及供应链安全检测服务要求</w:t>
      </w:r>
    </w:p>
    <w:p>
      <w:pPr>
        <w:pStyle w:val="4"/>
        <w:rPr>
          <w:rFonts w:ascii="仿宋" w:hAnsi="仿宋" w:eastAsia="仿宋" w:cs="仿宋"/>
          <w:szCs w:val="36"/>
        </w:rPr>
      </w:pPr>
      <w:r>
        <w:rPr>
          <w:rFonts w:hint="eastAsia" w:ascii="仿宋" w:hAnsi="仿宋" w:eastAsia="仿宋" w:cs="仿宋"/>
          <w:szCs w:val="36"/>
        </w:rPr>
        <w:t>服务内容</w:t>
      </w:r>
    </w:p>
    <w:p>
      <w:pPr>
        <w:ind w:firstLine="560" w:firstLineChars="200"/>
        <w:rPr>
          <w:rFonts w:ascii="仿宋" w:hAnsi="仿宋" w:cs="仿宋"/>
          <w:szCs w:val="28"/>
        </w:rPr>
      </w:pPr>
      <w:r>
        <w:rPr>
          <w:rFonts w:hint="eastAsia" w:ascii="仿宋" w:hAnsi="仿宋" w:cs="仿宋"/>
          <w:szCs w:val="28"/>
        </w:rPr>
        <w:t>建设支撑福建省水利厅对当前存量业务系统及待上线业务系统进行软件源代码及供应链安全风险检测的服务体系，健全软件源代码及供应链的安全风险评估机制，建立软件供应链安全检查措施，引导规范软件开发安全流程，持续提升存量业务系统的安全健壮性，保障福建省水利厅业务系统的安全稳定运行。</w:t>
      </w:r>
    </w:p>
    <w:p>
      <w:pPr>
        <w:ind w:firstLine="560" w:firstLineChars="200"/>
      </w:pPr>
      <w:r>
        <w:rPr>
          <w:rFonts w:hint="eastAsia" w:ascii="仿宋" w:hAnsi="仿宋" w:cs="仿宋"/>
          <w:szCs w:val="28"/>
        </w:rPr>
        <w:t>具体服务内容如下：</w:t>
      </w:r>
    </w:p>
    <w:tbl>
      <w:tblPr>
        <w:tblStyle w:val="7"/>
        <w:tblW w:w="499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273"/>
        <w:gridCol w:w="3928"/>
        <w:gridCol w:w="1121"/>
        <w:gridCol w:w="720"/>
        <w:gridCol w:w="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413" w:type="pct"/>
            <w:tcBorders>
              <w:tl2br w:val="nil"/>
              <w:tr2bl w:val="nil"/>
            </w:tcBorders>
            <w:shd w:val="clear" w:color="auto" w:fill="BEBEBE" w:themeFill="background1" w:themeFillShade="BF"/>
            <w:noWrap/>
            <w:vAlign w:val="center"/>
          </w:tcPr>
          <w:p>
            <w:pPr>
              <w:widowControl/>
              <w:jc w:val="center"/>
              <w:textAlignment w:val="center"/>
              <w:rPr>
                <w:rFonts w:ascii="仿宋" w:hAnsi="仿宋" w:cs="仿宋"/>
                <w:b/>
                <w:bCs/>
                <w:color w:val="000000"/>
                <w:sz w:val="21"/>
                <w:szCs w:val="21"/>
              </w:rPr>
            </w:pPr>
            <w:r>
              <w:rPr>
                <w:rFonts w:hint="eastAsia" w:ascii="仿宋" w:hAnsi="仿宋" w:cs="仿宋"/>
                <w:b/>
                <w:bCs/>
                <w:color w:val="000000"/>
                <w:kern w:val="0"/>
                <w:sz w:val="21"/>
                <w:szCs w:val="21"/>
                <w:lang w:bidi="ar"/>
              </w:rPr>
              <w:t>序号</w:t>
            </w:r>
          </w:p>
        </w:tc>
        <w:tc>
          <w:tcPr>
            <w:tcW w:w="748" w:type="pct"/>
            <w:tcBorders>
              <w:tl2br w:val="nil"/>
              <w:tr2bl w:val="nil"/>
            </w:tcBorders>
            <w:shd w:val="clear" w:color="auto" w:fill="BEBEBE" w:themeFill="background1" w:themeFillShade="BF"/>
            <w:noWrap/>
            <w:vAlign w:val="center"/>
          </w:tcPr>
          <w:p>
            <w:pPr>
              <w:widowControl/>
              <w:jc w:val="center"/>
              <w:textAlignment w:val="center"/>
              <w:rPr>
                <w:rFonts w:ascii="仿宋" w:hAnsi="仿宋" w:cs="仿宋"/>
                <w:b/>
                <w:bCs/>
                <w:color w:val="000000"/>
                <w:kern w:val="0"/>
                <w:sz w:val="21"/>
                <w:szCs w:val="21"/>
                <w:lang w:bidi="ar"/>
              </w:rPr>
            </w:pPr>
            <w:r>
              <w:rPr>
                <w:rFonts w:hint="eastAsia" w:ascii="仿宋" w:hAnsi="仿宋" w:cs="仿宋"/>
                <w:b/>
                <w:bCs/>
                <w:color w:val="000000"/>
                <w:kern w:val="0"/>
                <w:sz w:val="21"/>
                <w:szCs w:val="21"/>
                <w:lang w:bidi="ar"/>
              </w:rPr>
              <w:t>服务名称</w:t>
            </w:r>
          </w:p>
        </w:tc>
        <w:tc>
          <w:tcPr>
            <w:tcW w:w="2308" w:type="pct"/>
            <w:tcBorders>
              <w:tl2br w:val="nil"/>
              <w:tr2bl w:val="nil"/>
            </w:tcBorders>
            <w:shd w:val="clear" w:color="auto" w:fill="BEBEBE" w:themeFill="background1" w:themeFillShade="BF"/>
            <w:noWrap/>
            <w:vAlign w:val="center"/>
          </w:tcPr>
          <w:p>
            <w:pPr>
              <w:widowControl/>
              <w:jc w:val="center"/>
              <w:textAlignment w:val="center"/>
              <w:rPr>
                <w:rFonts w:ascii="仿宋" w:hAnsi="仿宋" w:cs="仿宋"/>
                <w:b/>
                <w:bCs/>
                <w:color w:val="000000"/>
                <w:sz w:val="21"/>
                <w:szCs w:val="21"/>
              </w:rPr>
            </w:pPr>
            <w:r>
              <w:rPr>
                <w:rFonts w:hint="eastAsia" w:ascii="仿宋" w:hAnsi="仿宋" w:cs="仿宋"/>
                <w:b/>
                <w:bCs/>
                <w:color w:val="000000"/>
                <w:kern w:val="0"/>
                <w:sz w:val="21"/>
                <w:szCs w:val="21"/>
                <w:lang w:bidi="ar"/>
              </w:rPr>
              <w:t>服务内容</w:t>
            </w:r>
          </w:p>
        </w:tc>
        <w:tc>
          <w:tcPr>
            <w:tcW w:w="659" w:type="pct"/>
            <w:tcBorders>
              <w:tl2br w:val="nil"/>
              <w:tr2bl w:val="nil"/>
            </w:tcBorders>
            <w:shd w:val="clear" w:color="auto" w:fill="BEBEBE" w:themeFill="background1" w:themeFillShade="BF"/>
            <w:noWrap/>
            <w:vAlign w:val="center"/>
          </w:tcPr>
          <w:p>
            <w:pPr>
              <w:widowControl/>
              <w:jc w:val="center"/>
              <w:textAlignment w:val="center"/>
              <w:rPr>
                <w:rFonts w:ascii="仿宋" w:hAnsi="仿宋" w:cs="仿宋"/>
                <w:b/>
                <w:bCs/>
                <w:color w:val="000000"/>
                <w:kern w:val="0"/>
                <w:sz w:val="21"/>
                <w:szCs w:val="21"/>
                <w:lang w:bidi="ar"/>
              </w:rPr>
            </w:pPr>
            <w:r>
              <w:rPr>
                <w:rFonts w:hint="eastAsia" w:ascii="仿宋" w:hAnsi="仿宋" w:cs="仿宋"/>
                <w:b/>
                <w:bCs/>
                <w:color w:val="000000"/>
                <w:kern w:val="0"/>
                <w:sz w:val="21"/>
                <w:szCs w:val="21"/>
                <w:lang w:bidi="ar"/>
              </w:rPr>
              <w:t>服务成果</w:t>
            </w:r>
          </w:p>
        </w:tc>
        <w:tc>
          <w:tcPr>
            <w:tcW w:w="423" w:type="pct"/>
            <w:tcBorders>
              <w:tl2br w:val="nil"/>
              <w:tr2bl w:val="nil"/>
            </w:tcBorders>
            <w:shd w:val="clear" w:color="auto" w:fill="BEBEBE" w:themeFill="background1" w:themeFillShade="BF"/>
            <w:noWrap/>
            <w:vAlign w:val="center"/>
          </w:tcPr>
          <w:p>
            <w:pPr>
              <w:widowControl/>
              <w:jc w:val="center"/>
              <w:textAlignment w:val="center"/>
              <w:rPr>
                <w:rFonts w:ascii="仿宋" w:hAnsi="仿宋" w:cs="仿宋"/>
                <w:b/>
                <w:bCs/>
                <w:color w:val="000000"/>
                <w:sz w:val="21"/>
                <w:szCs w:val="21"/>
              </w:rPr>
            </w:pPr>
            <w:r>
              <w:rPr>
                <w:rFonts w:hint="eastAsia" w:ascii="仿宋" w:hAnsi="仿宋" w:cs="仿宋"/>
                <w:b/>
                <w:bCs/>
                <w:color w:val="000000"/>
                <w:kern w:val="0"/>
                <w:sz w:val="21"/>
                <w:szCs w:val="21"/>
                <w:lang w:bidi="ar"/>
              </w:rPr>
              <w:t>服务对象</w:t>
            </w:r>
          </w:p>
        </w:tc>
        <w:tc>
          <w:tcPr>
            <w:tcW w:w="446" w:type="pct"/>
            <w:tcBorders>
              <w:tl2br w:val="nil"/>
              <w:tr2bl w:val="nil"/>
            </w:tcBorders>
            <w:shd w:val="clear" w:color="auto" w:fill="BEBEBE" w:themeFill="background1" w:themeFillShade="BF"/>
            <w:noWrap/>
            <w:vAlign w:val="center"/>
          </w:tcPr>
          <w:p>
            <w:pPr>
              <w:widowControl/>
              <w:jc w:val="center"/>
              <w:textAlignment w:val="center"/>
              <w:rPr>
                <w:rFonts w:ascii="仿宋" w:hAnsi="仿宋" w:cs="仿宋"/>
                <w:b/>
                <w:bCs/>
                <w:color w:val="000000"/>
                <w:sz w:val="21"/>
                <w:szCs w:val="21"/>
              </w:rPr>
            </w:pPr>
            <w:r>
              <w:rPr>
                <w:rFonts w:hint="eastAsia" w:ascii="仿宋" w:hAnsi="仿宋" w:cs="仿宋"/>
                <w:b/>
                <w:bCs/>
                <w:color w:val="000000"/>
                <w:kern w:val="0"/>
                <w:sz w:val="21"/>
                <w:szCs w:val="21"/>
                <w:lang w:bidi="ar"/>
              </w:rPr>
              <w:t>服务频率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0" w:hRule="atLeast"/>
          <w:jc w:val="center"/>
        </w:trPr>
        <w:tc>
          <w:tcPr>
            <w:tcW w:w="413" w:type="pct"/>
            <w:tcBorders>
              <w:tl2br w:val="nil"/>
              <w:tr2bl w:val="nil"/>
            </w:tcBorders>
            <w:shd w:val="clear" w:color="auto" w:fill="auto"/>
            <w:noWrap/>
            <w:vAlign w:val="center"/>
          </w:tcPr>
          <w:p>
            <w:pPr>
              <w:widowControl/>
              <w:jc w:val="center"/>
              <w:textAlignment w:val="center"/>
              <w:rPr>
                <w:rFonts w:ascii="仿宋" w:hAnsi="仿宋" w:cs="仿宋"/>
                <w:b/>
                <w:bCs/>
                <w:color w:val="000000"/>
                <w:sz w:val="21"/>
                <w:szCs w:val="21"/>
              </w:rPr>
            </w:pPr>
            <w:r>
              <w:rPr>
                <w:rFonts w:hint="eastAsia" w:ascii="仿宋" w:hAnsi="仿宋" w:cs="仿宋"/>
                <w:b/>
                <w:bCs/>
                <w:color w:val="000000"/>
                <w:kern w:val="0"/>
                <w:sz w:val="21"/>
                <w:szCs w:val="21"/>
                <w:lang w:bidi="ar"/>
              </w:rPr>
              <w:t>1</w:t>
            </w:r>
          </w:p>
        </w:tc>
        <w:tc>
          <w:tcPr>
            <w:tcW w:w="748" w:type="pct"/>
            <w:tcBorders>
              <w:tl2br w:val="nil"/>
              <w:tr2bl w:val="nil"/>
            </w:tcBorders>
            <w:shd w:val="clear" w:color="auto" w:fill="auto"/>
            <w:noWrap/>
            <w:vAlign w:val="center"/>
          </w:tcPr>
          <w:p>
            <w:pPr>
              <w:widowControl/>
              <w:jc w:val="left"/>
              <w:textAlignment w:val="center"/>
              <w:rPr>
                <w:rFonts w:ascii="仿宋" w:hAnsi="仿宋" w:cs="仿宋"/>
                <w:color w:val="000000"/>
                <w:kern w:val="0"/>
                <w:sz w:val="21"/>
                <w:szCs w:val="21"/>
                <w:lang w:bidi="ar"/>
              </w:rPr>
            </w:pPr>
            <w:r>
              <w:rPr>
                <w:rFonts w:hint="eastAsia" w:ascii="仿宋" w:hAnsi="仿宋" w:cs="仿宋"/>
                <w:color w:val="000000"/>
                <w:kern w:val="0"/>
                <w:sz w:val="21"/>
                <w:szCs w:val="21"/>
                <w:lang w:bidi="ar"/>
              </w:rPr>
              <w:t>已建系统软件供应链安全检测服务</w:t>
            </w:r>
          </w:p>
        </w:tc>
        <w:tc>
          <w:tcPr>
            <w:tcW w:w="2308" w:type="pct"/>
            <w:tcBorders>
              <w:tl2br w:val="nil"/>
              <w:tr2bl w:val="nil"/>
            </w:tcBorders>
            <w:shd w:val="clear" w:color="auto" w:fill="auto"/>
            <w:vAlign w:val="center"/>
          </w:tcPr>
          <w:p>
            <w:pPr>
              <w:ind w:firstLine="420" w:firstLineChars="200"/>
              <w:rPr>
                <w:rFonts w:ascii="仿宋" w:hAnsi="仿宋" w:cs="仿宋"/>
                <w:sz w:val="21"/>
                <w:szCs w:val="21"/>
              </w:rPr>
            </w:pPr>
            <w:r>
              <w:rPr>
                <w:rFonts w:hint="eastAsia" w:ascii="仿宋" w:hAnsi="仿宋" w:cs="仿宋"/>
                <w:sz w:val="21"/>
                <w:szCs w:val="21"/>
              </w:rPr>
              <w:t>通过在水利专网部署的代码安全检测系统，定期对水利厅业务系统进行安全风险监测。利用代码安全检测系统的软件成分分析套件和静态应用安全测试套件对业务系统的组件安全和编码风险进行全面分析。同时，结合安全服务专家的专业知识和经验，对分析结果进行二次审核，确保真实、准确地识别出业务系统中存在的安全风险，并协助指导相关部门采取有效的整改措施。</w:t>
            </w:r>
          </w:p>
        </w:tc>
        <w:tc>
          <w:tcPr>
            <w:tcW w:w="659" w:type="pct"/>
            <w:tcBorders>
              <w:tl2br w:val="nil"/>
              <w:tr2bl w:val="nil"/>
            </w:tcBorders>
            <w:shd w:val="clear" w:color="auto" w:fill="auto"/>
            <w:noWrap/>
            <w:vAlign w:val="center"/>
          </w:tcPr>
          <w:p>
            <w:pPr>
              <w:widowControl/>
              <w:jc w:val="left"/>
              <w:textAlignment w:val="center"/>
              <w:rPr>
                <w:rFonts w:ascii="仿宋" w:hAnsi="仿宋" w:cs="仿宋"/>
                <w:color w:val="000000"/>
                <w:kern w:val="0"/>
                <w:sz w:val="21"/>
                <w:szCs w:val="21"/>
                <w:lang w:bidi="ar"/>
              </w:rPr>
            </w:pPr>
            <w:r>
              <w:rPr>
                <w:rFonts w:hint="eastAsia" w:ascii="仿宋" w:hAnsi="仿宋" w:cs="仿宋"/>
                <w:color w:val="000000"/>
                <w:kern w:val="0"/>
                <w:sz w:val="21"/>
                <w:szCs w:val="21"/>
                <w:lang w:bidi="ar"/>
              </w:rPr>
              <w:t>《业务系统软件成分分析报告》</w:t>
            </w:r>
          </w:p>
          <w:p>
            <w:pPr>
              <w:widowControl/>
              <w:jc w:val="left"/>
              <w:textAlignment w:val="center"/>
              <w:rPr>
                <w:rFonts w:ascii="仿宋" w:hAnsi="仿宋" w:cs="仿宋"/>
                <w:color w:val="000000"/>
                <w:kern w:val="0"/>
                <w:sz w:val="21"/>
                <w:szCs w:val="21"/>
                <w:lang w:bidi="ar"/>
              </w:rPr>
            </w:pPr>
            <w:r>
              <w:rPr>
                <w:rFonts w:hint="eastAsia" w:ascii="仿宋" w:hAnsi="仿宋" w:cs="仿宋"/>
                <w:color w:val="000000"/>
                <w:kern w:val="0"/>
                <w:sz w:val="21"/>
                <w:szCs w:val="21"/>
                <w:lang w:bidi="ar"/>
              </w:rPr>
              <w:t>《业务系统源码安全检测报告》</w:t>
            </w:r>
          </w:p>
        </w:tc>
        <w:tc>
          <w:tcPr>
            <w:tcW w:w="423" w:type="pct"/>
            <w:tcBorders>
              <w:tl2br w:val="nil"/>
              <w:tr2bl w:val="nil"/>
            </w:tcBorders>
            <w:shd w:val="clear" w:color="auto" w:fill="auto"/>
            <w:noWrap/>
            <w:vAlign w:val="center"/>
          </w:tcPr>
          <w:p>
            <w:pPr>
              <w:widowControl/>
              <w:jc w:val="left"/>
              <w:textAlignment w:val="center"/>
              <w:rPr>
                <w:rFonts w:ascii="仿宋" w:hAnsi="仿宋" w:cs="仿宋"/>
                <w:color w:val="000000"/>
                <w:sz w:val="21"/>
                <w:szCs w:val="21"/>
              </w:rPr>
            </w:pPr>
            <w:r>
              <w:rPr>
                <w:rFonts w:hint="eastAsia" w:ascii="仿宋" w:hAnsi="仿宋" w:cs="仿宋"/>
                <w:color w:val="000000"/>
                <w:kern w:val="0"/>
                <w:sz w:val="21"/>
                <w:szCs w:val="21"/>
                <w:lang w:bidi="ar"/>
              </w:rPr>
              <w:t>15个业务系统</w:t>
            </w:r>
          </w:p>
        </w:tc>
        <w:tc>
          <w:tcPr>
            <w:tcW w:w="446" w:type="pct"/>
            <w:tcBorders>
              <w:tl2br w:val="nil"/>
              <w:tr2bl w:val="nil"/>
            </w:tcBorders>
            <w:shd w:val="clear" w:color="auto" w:fill="auto"/>
            <w:noWrap/>
            <w:vAlign w:val="center"/>
          </w:tcPr>
          <w:p>
            <w:pPr>
              <w:widowControl/>
              <w:jc w:val="left"/>
              <w:textAlignment w:val="center"/>
              <w:rPr>
                <w:rFonts w:ascii="仿宋" w:hAnsi="仿宋" w:cs="仿宋"/>
                <w:color w:val="000000"/>
                <w:sz w:val="21"/>
                <w:szCs w:val="21"/>
              </w:rPr>
            </w:pPr>
            <w:r>
              <w:rPr>
                <w:rFonts w:hint="eastAsia" w:ascii="仿宋" w:hAnsi="仿宋" w:cs="仿宋"/>
                <w:color w:val="000000"/>
                <w:kern w:val="0"/>
                <w:sz w:val="21"/>
                <w:szCs w:val="21"/>
                <w:lang w:bidi="ar"/>
              </w:rPr>
              <w:t>4次/年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0" w:hRule="atLeast"/>
          <w:jc w:val="center"/>
        </w:trPr>
        <w:tc>
          <w:tcPr>
            <w:tcW w:w="413" w:type="pct"/>
            <w:tcBorders>
              <w:tl2br w:val="nil"/>
              <w:tr2bl w:val="nil"/>
            </w:tcBorders>
            <w:shd w:val="clear" w:color="auto" w:fill="auto"/>
            <w:noWrap/>
            <w:vAlign w:val="center"/>
          </w:tcPr>
          <w:p>
            <w:pPr>
              <w:widowControl/>
              <w:jc w:val="center"/>
              <w:textAlignment w:val="center"/>
              <w:rPr>
                <w:rFonts w:ascii="仿宋" w:hAnsi="仿宋" w:cs="仿宋"/>
                <w:b/>
                <w:bCs/>
                <w:color w:val="000000"/>
                <w:kern w:val="0"/>
                <w:sz w:val="21"/>
                <w:szCs w:val="21"/>
                <w:lang w:bidi="ar"/>
              </w:rPr>
            </w:pPr>
            <w:r>
              <w:rPr>
                <w:rFonts w:hint="eastAsia" w:ascii="仿宋" w:hAnsi="仿宋" w:cs="仿宋"/>
                <w:b/>
                <w:bCs/>
                <w:color w:val="000000"/>
                <w:kern w:val="0"/>
                <w:sz w:val="21"/>
                <w:szCs w:val="21"/>
                <w:lang w:bidi="ar"/>
              </w:rPr>
              <w:t>2</w:t>
            </w:r>
          </w:p>
        </w:tc>
        <w:tc>
          <w:tcPr>
            <w:tcW w:w="748" w:type="pct"/>
            <w:tcBorders>
              <w:tl2br w:val="nil"/>
              <w:tr2bl w:val="nil"/>
            </w:tcBorders>
            <w:shd w:val="clear" w:color="auto" w:fill="auto"/>
            <w:noWrap/>
            <w:vAlign w:val="center"/>
          </w:tcPr>
          <w:p>
            <w:pPr>
              <w:widowControl/>
              <w:jc w:val="left"/>
              <w:textAlignment w:val="center"/>
              <w:rPr>
                <w:rFonts w:ascii="仿宋" w:hAnsi="仿宋" w:cs="仿宋"/>
                <w:color w:val="000000"/>
                <w:kern w:val="0"/>
                <w:sz w:val="21"/>
                <w:szCs w:val="21"/>
                <w:lang w:bidi="ar"/>
              </w:rPr>
            </w:pPr>
            <w:r>
              <w:rPr>
                <w:rFonts w:hint="eastAsia" w:ascii="仿宋" w:hAnsi="仿宋" w:cs="仿宋"/>
                <w:color w:val="000000"/>
                <w:kern w:val="0"/>
                <w:sz w:val="21"/>
                <w:szCs w:val="21"/>
                <w:lang w:bidi="ar"/>
              </w:rPr>
              <w:t>在建系统上线前扫描</w:t>
            </w:r>
          </w:p>
        </w:tc>
        <w:tc>
          <w:tcPr>
            <w:tcW w:w="2308" w:type="pct"/>
            <w:tcBorders>
              <w:tl2br w:val="nil"/>
              <w:tr2bl w:val="nil"/>
            </w:tcBorders>
            <w:shd w:val="clear" w:color="auto" w:fill="auto"/>
            <w:vAlign w:val="center"/>
          </w:tcPr>
          <w:p>
            <w:pPr>
              <w:ind w:firstLine="420" w:firstLineChars="200"/>
              <w:rPr>
                <w:rFonts w:ascii="仿宋" w:hAnsi="仿宋" w:cs="仿宋"/>
                <w:sz w:val="21"/>
                <w:szCs w:val="21"/>
              </w:rPr>
            </w:pPr>
            <w:r>
              <w:rPr>
                <w:rFonts w:hint="eastAsia" w:ascii="仿宋" w:hAnsi="仿宋" w:cs="仿宋"/>
                <w:sz w:val="21"/>
                <w:szCs w:val="21"/>
              </w:rPr>
              <w:t>通过在水利专网部署的代码安全检测系统，对水利厅在建系统上线前进行安全风险监测，对在建系统的组件安全和编码风险进行全面分析，同时，结合安全服务专家的专业知识和经验，对分析结果进行二次审核，确保真实、准确地识别出在建系统中存在的安全风险，并协助指导相关部门采取有效的整改措施。</w:t>
            </w:r>
          </w:p>
        </w:tc>
        <w:tc>
          <w:tcPr>
            <w:tcW w:w="659" w:type="pct"/>
            <w:tcBorders>
              <w:tl2br w:val="nil"/>
              <w:tr2bl w:val="nil"/>
            </w:tcBorders>
            <w:shd w:val="clear" w:color="auto" w:fill="auto"/>
            <w:noWrap/>
            <w:vAlign w:val="center"/>
          </w:tcPr>
          <w:p>
            <w:pPr>
              <w:widowControl/>
              <w:jc w:val="left"/>
              <w:textAlignment w:val="center"/>
              <w:rPr>
                <w:rFonts w:ascii="仿宋" w:hAnsi="仿宋" w:cs="仿宋"/>
                <w:color w:val="000000"/>
                <w:kern w:val="0"/>
                <w:sz w:val="21"/>
                <w:szCs w:val="21"/>
                <w:lang w:bidi="ar"/>
              </w:rPr>
            </w:pPr>
            <w:r>
              <w:rPr>
                <w:rFonts w:hint="eastAsia" w:ascii="仿宋" w:hAnsi="仿宋" w:cs="仿宋"/>
                <w:color w:val="000000"/>
                <w:kern w:val="0"/>
                <w:sz w:val="21"/>
                <w:szCs w:val="21"/>
                <w:lang w:bidi="ar"/>
              </w:rPr>
              <w:t>《业务系统软件成分分析报告》</w:t>
            </w:r>
          </w:p>
          <w:p>
            <w:pPr>
              <w:widowControl/>
              <w:jc w:val="left"/>
              <w:textAlignment w:val="center"/>
              <w:rPr>
                <w:rFonts w:ascii="仿宋" w:hAnsi="仿宋" w:cs="仿宋"/>
                <w:color w:val="000000"/>
                <w:kern w:val="0"/>
                <w:sz w:val="21"/>
                <w:szCs w:val="21"/>
                <w:lang w:bidi="ar"/>
              </w:rPr>
            </w:pPr>
            <w:r>
              <w:rPr>
                <w:rFonts w:hint="eastAsia" w:ascii="仿宋" w:hAnsi="仿宋" w:cs="仿宋"/>
                <w:color w:val="000000"/>
                <w:kern w:val="0"/>
                <w:sz w:val="21"/>
                <w:szCs w:val="21"/>
                <w:lang w:bidi="ar"/>
              </w:rPr>
              <w:t>《业务系统源码安全检测报告》</w:t>
            </w:r>
          </w:p>
        </w:tc>
        <w:tc>
          <w:tcPr>
            <w:tcW w:w="423" w:type="pct"/>
            <w:tcBorders>
              <w:tl2br w:val="nil"/>
              <w:tr2bl w:val="nil"/>
            </w:tcBorders>
            <w:shd w:val="clear" w:color="auto" w:fill="auto"/>
            <w:noWrap/>
            <w:vAlign w:val="center"/>
          </w:tcPr>
          <w:p>
            <w:pPr>
              <w:widowControl/>
              <w:jc w:val="left"/>
              <w:textAlignment w:val="center"/>
              <w:rPr>
                <w:rFonts w:ascii="仿宋" w:hAnsi="仿宋" w:cs="仿宋"/>
                <w:color w:val="000000"/>
                <w:kern w:val="0"/>
                <w:sz w:val="21"/>
                <w:szCs w:val="21"/>
                <w:lang w:bidi="ar"/>
              </w:rPr>
            </w:pPr>
            <w:r>
              <w:rPr>
                <w:rFonts w:hint="eastAsia" w:ascii="仿宋" w:hAnsi="仿宋" w:cs="仿宋"/>
                <w:color w:val="000000"/>
                <w:kern w:val="0"/>
                <w:sz w:val="21"/>
                <w:szCs w:val="21"/>
                <w:lang w:bidi="ar"/>
              </w:rPr>
              <w:t>在建业务系统</w:t>
            </w:r>
          </w:p>
        </w:tc>
        <w:tc>
          <w:tcPr>
            <w:tcW w:w="446" w:type="pct"/>
            <w:tcBorders>
              <w:tl2br w:val="nil"/>
              <w:tr2bl w:val="nil"/>
            </w:tcBorders>
            <w:shd w:val="clear" w:color="auto" w:fill="auto"/>
            <w:noWrap/>
            <w:vAlign w:val="center"/>
          </w:tcPr>
          <w:p>
            <w:pPr>
              <w:widowControl/>
              <w:jc w:val="left"/>
              <w:textAlignment w:val="center"/>
              <w:rPr>
                <w:rFonts w:ascii="仿宋" w:hAnsi="仿宋" w:cs="仿宋"/>
                <w:color w:val="000000"/>
                <w:kern w:val="0"/>
                <w:sz w:val="21"/>
                <w:szCs w:val="21"/>
                <w:lang w:bidi="ar"/>
              </w:rPr>
            </w:pPr>
            <w:r>
              <w:rPr>
                <w:rFonts w:hint="eastAsia" w:ascii="仿宋" w:hAnsi="仿宋" w:cs="仿宋"/>
                <w:color w:val="000000"/>
                <w:kern w:val="0"/>
                <w:sz w:val="21"/>
                <w:szCs w:val="21"/>
                <w:lang w:bidi="ar"/>
              </w:rPr>
              <w:t>按需（不超过3次/1年）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0" w:hRule="atLeast"/>
          <w:jc w:val="center"/>
        </w:trPr>
        <w:tc>
          <w:tcPr>
            <w:tcW w:w="413" w:type="pct"/>
            <w:tcBorders>
              <w:tl2br w:val="nil"/>
              <w:tr2bl w:val="nil"/>
            </w:tcBorders>
            <w:shd w:val="clear" w:color="auto" w:fill="auto"/>
            <w:noWrap/>
            <w:vAlign w:val="center"/>
          </w:tcPr>
          <w:p>
            <w:pPr>
              <w:widowControl/>
              <w:jc w:val="center"/>
              <w:textAlignment w:val="center"/>
              <w:rPr>
                <w:rFonts w:ascii="仿宋" w:hAnsi="仿宋" w:cs="仿宋"/>
                <w:b/>
                <w:bCs/>
                <w:color w:val="000000"/>
                <w:kern w:val="0"/>
                <w:sz w:val="21"/>
                <w:szCs w:val="21"/>
                <w:lang w:bidi="ar"/>
              </w:rPr>
            </w:pPr>
            <w:r>
              <w:rPr>
                <w:rFonts w:hint="eastAsia" w:ascii="仿宋" w:hAnsi="仿宋" w:cs="仿宋"/>
                <w:b/>
                <w:bCs/>
                <w:color w:val="000000"/>
                <w:kern w:val="0"/>
                <w:sz w:val="21"/>
                <w:szCs w:val="21"/>
                <w:lang w:bidi="ar"/>
              </w:rPr>
              <w:t>3</w:t>
            </w:r>
          </w:p>
        </w:tc>
        <w:tc>
          <w:tcPr>
            <w:tcW w:w="748" w:type="pct"/>
            <w:tcBorders>
              <w:tl2br w:val="nil"/>
              <w:tr2bl w:val="nil"/>
            </w:tcBorders>
            <w:shd w:val="clear" w:color="auto" w:fill="auto"/>
            <w:noWrap/>
            <w:vAlign w:val="center"/>
          </w:tcPr>
          <w:p>
            <w:pPr>
              <w:widowControl/>
              <w:jc w:val="left"/>
              <w:textAlignment w:val="center"/>
              <w:rPr>
                <w:rFonts w:ascii="仿宋" w:hAnsi="仿宋" w:cs="仿宋"/>
                <w:color w:val="000000"/>
                <w:kern w:val="0"/>
                <w:sz w:val="21"/>
                <w:szCs w:val="21"/>
                <w:lang w:bidi="ar"/>
              </w:rPr>
            </w:pPr>
            <w:r>
              <w:rPr>
                <w:rFonts w:hint="eastAsia" w:ascii="仿宋" w:hAnsi="仿宋" w:cs="仿宋"/>
                <w:color w:val="000000"/>
                <w:kern w:val="0"/>
                <w:sz w:val="21"/>
                <w:szCs w:val="21"/>
                <w:lang w:bidi="ar"/>
              </w:rPr>
              <w:t>网安检查等特殊时期扫描</w:t>
            </w:r>
            <w:r>
              <w:rPr>
                <w:rFonts w:hint="eastAsia" w:ascii="宋体" w:hAnsi="宋体" w:cs="宋体"/>
                <w:color w:val="000000"/>
                <w:kern w:val="0"/>
                <w:sz w:val="21"/>
                <w:szCs w:val="21"/>
                <w:lang w:bidi="ar"/>
              </w:rPr>
              <w:t>对所有业务系统进行扫描</w:t>
            </w:r>
          </w:p>
        </w:tc>
        <w:tc>
          <w:tcPr>
            <w:tcW w:w="2308" w:type="pct"/>
            <w:tcBorders>
              <w:tl2br w:val="nil"/>
              <w:tr2bl w:val="nil"/>
            </w:tcBorders>
            <w:shd w:val="clear" w:color="auto" w:fill="auto"/>
            <w:vAlign w:val="center"/>
          </w:tcPr>
          <w:p>
            <w:pPr>
              <w:ind w:firstLine="420" w:firstLineChars="200"/>
              <w:rPr>
                <w:rFonts w:ascii="仿宋" w:hAnsi="仿宋" w:cs="仿宋"/>
                <w:sz w:val="21"/>
                <w:szCs w:val="21"/>
              </w:rPr>
            </w:pPr>
            <w:r>
              <w:rPr>
                <w:rFonts w:hint="eastAsia" w:ascii="仿宋" w:hAnsi="仿宋" w:cs="仿宋"/>
                <w:color w:val="000000"/>
                <w:kern w:val="0"/>
                <w:sz w:val="21"/>
                <w:szCs w:val="21"/>
                <w:lang w:bidi="ar"/>
              </w:rPr>
              <w:t>网安检查等特殊时期，</w:t>
            </w:r>
            <w:r>
              <w:rPr>
                <w:rFonts w:hint="eastAsia" w:ascii="仿宋" w:hAnsi="仿宋" w:cs="仿宋"/>
                <w:sz w:val="21"/>
                <w:szCs w:val="21"/>
              </w:rPr>
              <w:t>通过在水利专网部署的代码安全检测系统，对水利厅所有业务系统进行安全风险监测，对业务系统的组件安全和编码风险进行全面分析，同时，结合安全服务专家的专业知识和经验，对分析结果进行二次审核，确保真实、准确地识别出业务系统中存在的安全风险，并协助指导相关部门采取有效的整改措施。</w:t>
            </w:r>
          </w:p>
        </w:tc>
        <w:tc>
          <w:tcPr>
            <w:tcW w:w="659" w:type="pct"/>
            <w:tcBorders>
              <w:tl2br w:val="nil"/>
              <w:tr2bl w:val="nil"/>
            </w:tcBorders>
            <w:shd w:val="clear" w:color="auto" w:fill="auto"/>
            <w:noWrap/>
            <w:vAlign w:val="center"/>
          </w:tcPr>
          <w:p>
            <w:pPr>
              <w:widowControl/>
              <w:jc w:val="left"/>
              <w:textAlignment w:val="center"/>
              <w:rPr>
                <w:rFonts w:ascii="仿宋" w:hAnsi="仿宋" w:cs="仿宋"/>
                <w:color w:val="000000"/>
                <w:kern w:val="0"/>
                <w:sz w:val="21"/>
                <w:szCs w:val="21"/>
                <w:lang w:bidi="ar"/>
              </w:rPr>
            </w:pPr>
            <w:r>
              <w:rPr>
                <w:rFonts w:hint="eastAsia" w:ascii="仿宋" w:hAnsi="仿宋" w:cs="仿宋"/>
                <w:color w:val="000000"/>
                <w:kern w:val="0"/>
                <w:sz w:val="21"/>
                <w:szCs w:val="21"/>
                <w:lang w:bidi="ar"/>
              </w:rPr>
              <w:t>《业务系统软件成分分析报告》</w:t>
            </w:r>
          </w:p>
          <w:p>
            <w:pPr>
              <w:widowControl/>
              <w:jc w:val="left"/>
              <w:textAlignment w:val="center"/>
              <w:rPr>
                <w:rFonts w:ascii="仿宋" w:hAnsi="仿宋" w:cs="仿宋"/>
                <w:color w:val="000000"/>
                <w:kern w:val="0"/>
                <w:sz w:val="21"/>
                <w:szCs w:val="21"/>
                <w:lang w:bidi="ar"/>
              </w:rPr>
            </w:pPr>
            <w:r>
              <w:rPr>
                <w:rFonts w:hint="eastAsia" w:ascii="仿宋" w:hAnsi="仿宋" w:cs="仿宋"/>
                <w:color w:val="000000"/>
                <w:kern w:val="0"/>
                <w:sz w:val="21"/>
                <w:szCs w:val="21"/>
                <w:lang w:bidi="ar"/>
              </w:rPr>
              <w:t>《业务系统源码安全检测报告》</w:t>
            </w:r>
          </w:p>
        </w:tc>
        <w:tc>
          <w:tcPr>
            <w:tcW w:w="423" w:type="pct"/>
            <w:tcBorders>
              <w:tl2br w:val="nil"/>
              <w:tr2bl w:val="nil"/>
            </w:tcBorders>
            <w:shd w:val="clear" w:color="auto" w:fill="auto"/>
            <w:noWrap/>
            <w:vAlign w:val="center"/>
          </w:tcPr>
          <w:p>
            <w:pPr>
              <w:widowControl/>
              <w:jc w:val="left"/>
              <w:textAlignment w:val="center"/>
              <w:rPr>
                <w:rFonts w:ascii="仿宋" w:hAnsi="仿宋" w:cs="仿宋"/>
                <w:color w:val="000000"/>
                <w:kern w:val="0"/>
                <w:sz w:val="21"/>
                <w:szCs w:val="21"/>
                <w:lang w:bidi="ar"/>
              </w:rPr>
            </w:pPr>
            <w:r>
              <w:rPr>
                <w:rFonts w:hint="eastAsia" w:ascii="仿宋" w:hAnsi="仿宋" w:cs="仿宋"/>
                <w:color w:val="000000"/>
                <w:kern w:val="0"/>
                <w:sz w:val="21"/>
                <w:szCs w:val="21"/>
                <w:lang w:bidi="ar"/>
              </w:rPr>
              <w:t>15个业务系统</w:t>
            </w:r>
          </w:p>
        </w:tc>
        <w:tc>
          <w:tcPr>
            <w:tcW w:w="446" w:type="pct"/>
            <w:tcBorders>
              <w:tl2br w:val="nil"/>
              <w:tr2bl w:val="nil"/>
            </w:tcBorders>
            <w:shd w:val="clear" w:color="auto" w:fill="auto"/>
            <w:noWrap/>
            <w:vAlign w:val="center"/>
          </w:tcPr>
          <w:p>
            <w:pPr>
              <w:widowControl/>
              <w:jc w:val="left"/>
              <w:textAlignment w:val="center"/>
              <w:rPr>
                <w:rFonts w:ascii="仿宋" w:hAnsi="仿宋" w:cs="仿宋"/>
                <w:color w:val="000000"/>
                <w:kern w:val="0"/>
                <w:sz w:val="21"/>
                <w:szCs w:val="21"/>
                <w:lang w:bidi="ar"/>
              </w:rPr>
            </w:pPr>
            <w:r>
              <w:rPr>
                <w:rFonts w:hint="eastAsia" w:ascii="仿宋" w:hAnsi="仿宋" w:cs="仿宋"/>
                <w:color w:val="000000"/>
                <w:kern w:val="0"/>
                <w:sz w:val="21"/>
                <w:szCs w:val="21"/>
                <w:lang w:bidi="ar"/>
              </w:rPr>
              <w:t>按需（不超过2次/1年）</w:t>
            </w:r>
          </w:p>
        </w:tc>
      </w:tr>
    </w:tbl>
    <w:p>
      <w:pPr>
        <w:pStyle w:val="4"/>
        <w:rPr>
          <w:rFonts w:ascii="仿宋" w:hAnsi="仿宋" w:eastAsia="仿宋" w:cs="仿宋"/>
          <w:szCs w:val="36"/>
        </w:rPr>
      </w:pPr>
      <w:r>
        <w:rPr>
          <w:rFonts w:hint="eastAsia" w:ascii="仿宋" w:hAnsi="仿宋" w:eastAsia="仿宋" w:cs="仿宋"/>
          <w:szCs w:val="36"/>
        </w:rPr>
        <w:t>服务工具要求</w:t>
      </w:r>
    </w:p>
    <w:p>
      <w:pPr>
        <w:numPr>
          <w:ilvl w:val="0"/>
          <w:numId w:val="2"/>
        </w:numPr>
        <w:ind w:firstLine="560" w:firstLineChars="200"/>
        <w:rPr>
          <w:b/>
          <w:bCs/>
        </w:rPr>
      </w:pPr>
      <w:r>
        <w:rPr>
          <w:rFonts w:hint="eastAsia"/>
        </w:rPr>
        <w:t>所使用的服务工具须为供应商自主研发的与代码安全或WEB漏洞挖掘或软件成分分析相关的系统。</w:t>
      </w:r>
      <w:r>
        <w:rPr>
          <w:rFonts w:hint="eastAsia"/>
          <w:b/>
          <w:bCs/>
        </w:rPr>
        <w:t>（需提供相关系统的计算机软件著作权登记证书）</w:t>
      </w:r>
    </w:p>
    <w:p>
      <w:pPr>
        <w:numPr>
          <w:ilvl w:val="0"/>
          <w:numId w:val="2"/>
        </w:numPr>
        <w:ind w:firstLine="560" w:firstLineChars="200"/>
        <w:rPr>
          <w:rFonts w:ascii="仿宋" w:hAnsi="仿宋" w:cs="仿宋"/>
        </w:rPr>
      </w:pPr>
      <w:r>
        <w:rPr>
          <w:rFonts w:hint="eastAsia" w:ascii="仿宋" w:hAnsi="仿宋" w:cs="仿宋"/>
        </w:rPr>
        <w:t>所使用服务工具支持C/C++、C#、Java、Python、PHP、Swift、Go、Rust、Objective-C、Node.js、Kotlin、SQL（Oracle 、SQL Server、MySQL、HiveQL等类型）、Ruby、Scala、XML、JSP、Javascript等主流编程语言开发的软件源代码的缺陷检测。</w:t>
      </w:r>
    </w:p>
    <w:p>
      <w:pPr>
        <w:numPr>
          <w:ilvl w:val="0"/>
          <w:numId w:val="2"/>
        </w:numPr>
        <w:ind w:firstLine="560" w:firstLineChars="200"/>
        <w:rPr>
          <w:rFonts w:ascii="仿宋" w:hAnsi="仿宋" w:cs="仿宋"/>
        </w:rPr>
      </w:pPr>
      <w:r>
        <w:rPr>
          <w:rFonts w:hint="eastAsia" w:ascii="仿宋" w:hAnsi="仿宋" w:cs="仿宋"/>
        </w:rPr>
        <w:t>所使用服务工具支持代码注入、跨站脚本、输入验证、危险函数、代码质量、API误用、密码管理、异常处理等常见安全缺陷问题的检测。并且支持自定义污点规则能力，可以根据实际开发环境导入规则。支持代码规范审计，覆盖</w:t>
      </w:r>
      <w:r>
        <w:rPr>
          <w:rFonts w:ascii="仿宋" w:hAnsi="仿宋" w:cs="仿宋"/>
        </w:rPr>
        <w:t>GJB-5369-2005</w:t>
      </w:r>
      <w:r>
        <w:rPr>
          <w:rFonts w:hint="eastAsia" w:ascii="仿宋" w:hAnsi="仿宋" w:cs="仿宋"/>
        </w:rPr>
        <w:t>、</w:t>
      </w:r>
      <w:r>
        <w:rPr>
          <w:rFonts w:ascii="仿宋" w:hAnsi="仿宋" w:cs="仿宋"/>
        </w:rPr>
        <w:t>GB/T-34943-2017</w:t>
      </w:r>
      <w:r>
        <w:rPr>
          <w:rFonts w:hint="eastAsia" w:ascii="仿宋" w:hAnsi="仿宋" w:cs="仿宋"/>
        </w:rPr>
        <w:t>、</w:t>
      </w:r>
      <w:r>
        <w:rPr>
          <w:rFonts w:ascii="仿宋" w:hAnsi="仿宋" w:cs="仿宋"/>
        </w:rPr>
        <w:t>GJB-8114-2013</w:t>
      </w:r>
      <w:r>
        <w:rPr>
          <w:rFonts w:hint="eastAsia" w:ascii="仿宋" w:hAnsi="仿宋" w:cs="仿宋"/>
        </w:rPr>
        <w:t>编码规范。</w:t>
      </w:r>
    </w:p>
    <w:p>
      <w:pPr>
        <w:numPr>
          <w:ilvl w:val="0"/>
          <w:numId w:val="2"/>
        </w:numPr>
        <w:ind w:firstLine="560" w:firstLineChars="200"/>
        <w:rPr>
          <w:rFonts w:ascii="仿宋" w:hAnsi="仿宋" w:cs="仿宋"/>
        </w:rPr>
      </w:pPr>
      <w:r>
        <w:rPr>
          <w:rFonts w:hint="eastAsia" w:ascii="仿宋" w:hAnsi="仿宋" w:cs="仿宋"/>
        </w:rPr>
        <w:t>所使用服务工具支持OWASP、CERT、CVE漏洞库中严重等级较高的安全漏洞的检测，支持国际、国内相关安全编码标准的检测。</w:t>
      </w:r>
    </w:p>
    <w:p>
      <w:pPr>
        <w:numPr>
          <w:ilvl w:val="0"/>
          <w:numId w:val="2"/>
        </w:numPr>
        <w:ind w:firstLine="560" w:firstLineChars="200"/>
        <w:rPr>
          <w:rFonts w:ascii="仿宋" w:hAnsi="仿宋" w:cs="仿宋"/>
        </w:rPr>
      </w:pPr>
      <w:r>
        <w:rPr>
          <w:rFonts w:hint="eastAsia" w:ascii="仿宋" w:hAnsi="仿宋" w:cs="仿宋"/>
        </w:rPr>
        <w:t xml:space="preserve">所使用服务工具支持提供缺陷知识库在线查看功能，能够根据缺陷类型、关键词、威胁等级等条件进行全局搜索，分语言和类型显示该缺陷的等级、详细信息、修复建议和参考信息内容。 </w:t>
      </w:r>
    </w:p>
    <w:p>
      <w:pPr>
        <w:numPr>
          <w:ilvl w:val="0"/>
          <w:numId w:val="2"/>
        </w:numPr>
        <w:ind w:firstLine="560" w:firstLineChars="200"/>
        <w:rPr>
          <w:rFonts w:ascii="仿宋" w:hAnsi="仿宋" w:cs="仿宋"/>
          <w:b/>
          <w:bCs/>
        </w:rPr>
      </w:pPr>
      <w:r>
        <w:rPr>
          <w:rFonts w:hint="eastAsia" w:ascii="仿宋" w:hAnsi="仿宋" w:cs="仿宋"/>
        </w:rPr>
        <w:t>所使用的服务工具可支持生成软件系统的物料清单，包含组件名称、版本、所属语言、作用域、风险等级、漏洞分布、修复建议、许可ID等信息。</w:t>
      </w:r>
      <w:r>
        <w:rPr>
          <w:rFonts w:hint="eastAsia" w:ascii="仿宋" w:hAnsi="仿宋" w:cs="仿宋"/>
          <w:b/>
          <w:bCs/>
        </w:rPr>
        <w:t>（需提供服务工具功能截图）</w:t>
      </w:r>
    </w:p>
    <w:p>
      <w:pPr>
        <w:numPr>
          <w:ilvl w:val="0"/>
          <w:numId w:val="2"/>
        </w:numPr>
        <w:ind w:firstLine="560" w:firstLineChars="200"/>
        <w:rPr>
          <w:rFonts w:ascii="仿宋" w:hAnsi="仿宋" w:cs="仿宋"/>
        </w:rPr>
      </w:pPr>
      <w:r>
        <w:rPr>
          <w:rFonts w:hint="eastAsia" w:ascii="仿宋" w:hAnsi="仿宋" w:cs="仿宋"/>
        </w:rPr>
        <w:t>所使用的</w:t>
      </w:r>
      <w:r>
        <w:rPr>
          <w:rFonts w:hint="eastAsia" w:ascii="仿宋" w:hAnsi="仿宋" w:cs="仿宋"/>
          <w:szCs w:val="28"/>
        </w:rPr>
        <w:t>服务</w:t>
      </w:r>
      <w:r>
        <w:rPr>
          <w:rFonts w:hint="eastAsia" w:ascii="仿宋" w:hAnsi="仿宋" w:cs="仿宋"/>
        </w:rPr>
        <w:t>工具可支持对查看软件系统的相关组件详情信息，包括来源、依赖类型、依赖关系、组件引入结构、组件存在的漏洞名称，CNNVD编号，CVSS编号，危险等级，升级后状态等信息。</w:t>
      </w:r>
      <w:r>
        <w:rPr>
          <w:rFonts w:hint="eastAsia" w:ascii="仿宋" w:hAnsi="仿宋" w:cs="仿宋"/>
          <w:b/>
          <w:bCs/>
        </w:rPr>
        <w:t>（需提供服务工具功能截图）</w:t>
      </w:r>
    </w:p>
    <w:p>
      <w:pPr>
        <w:numPr>
          <w:ilvl w:val="0"/>
          <w:numId w:val="2"/>
        </w:numPr>
        <w:ind w:firstLine="560" w:firstLineChars="200"/>
      </w:pPr>
      <w:r>
        <w:rPr>
          <w:rFonts w:hint="eastAsia" w:ascii="仿宋" w:hAnsi="仿宋" w:cs="仿宋"/>
        </w:rPr>
        <w:t>所使用的服务工具可支持对代码的存在的漏洞进行检测，检测结果包含风险类型、风险代码位置、风险代码行号、风险等级、代码块等信息，能够查看与漏洞相关的污点源、摘要、详情、建议、提示、引用等信息。</w:t>
      </w:r>
      <w:r>
        <w:rPr>
          <w:rFonts w:hint="eastAsia" w:ascii="仿宋" w:hAnsi="仿宋" w:cs="仿宋"/>
          <w:b/>
          <w:bCs/>
        </w:rPr>
        <w:t>（需提供服务工具功能截图）</w:t>
      </w:r>
    </w:p>
    <w:p>
      <w:pPr>
        <w:numPr>
          <w:ilvl w:val="0"/>
          <w:numId w:val="2"/>
        </w:numPr>
        <w:ind w:firstLine="560" w:firstLineChars="200"/>
        <w:rPr>
          <w:rFonts w:ascii="仿宋" w:hAnsi="仿宋" w:cs="仿宋"/>
          <w:b/>
          <w:bCs/>
        </w:rPr>
      </w:pPr>
      <w:r>
        <w:rPr>
          <w:rFonts w:hint="eastAsia" w:ascii="仿宋" w:hAnsi="仿宋" w:cs="仿宋"/>
        </w:rPr>
        <w:t>服务采购单位有权要求供应商在签约合同前针对供应商提供的服务工具功能进行现场验证，如现场验证无法符合服务工具要求的，则中标资格无效。</w:t>
      </w:r>
    </w:p>
    <w:p>
      <w:pPr>
        <w:numPr>
          <w:ilvl w:val="0"/>
          <w:numId w:val="2"/>
        </w:numPr>
        <w:ind w:firstLine="560" w:firstLineChars="200"/>
        <w:rPr>
          <w:rFonts w:ascii="仿宋" w:hAnsi="仿宋" w:cs="仿宋"/>
          <w:b/>
          <w:bCs/>
        </w:rPr>
      </w:pPr>
      <w:r>
        <w:rPr>
          <w:rFonts w:hint="eastAsia" w:ascii="仿宋" w:hAnsi="仿宋" w:cs="仿宋"/>
        </w:rPr>
        <w:t>为保障软件系统的代码等敏感数据不泄露，供应商需书面承诺所提供的服务工具需本地部署在服务采购单位指定的网络环境中，直至服务期结束为止。</w:t>
      </w:r>
      <w:r>
        <w:rPr>
          <w:rFonts w:hint="eastAsia" w:ascii="仿宋" w:hAnsi="仿宋" w:cs="仿宋"/>
          <w:b/>
          <w:bCs/>
        </w:rPr>
        <w:t>（需提供书面承诺函）</w:t>
      </w:r>
    </w:p>
    <w:p>
      <w:pPr>
        <w:numPr>
          <w:ilvl w:val="0"/>
          <w:numId w:val="2"/>
        </w:numPr>
        <w:ind w:firstLine="560" w:firstLineChars="200"/>
        <w:rPr>
          <w:rFonts w:ascii="仿宋" w:hAnsi="仿宋" w:cs="仿宋"/>
          <w:b/>
          <w:bCs/>
        </w:rPr>
      </w:pPr>
      <w:r>
        <w:tab/>
      </w:r>
      <w:r>
        <w:rPr>
          <w:rFonts w:hint="eastAsia" w:ascii="仿宋" w:hAnsi="仿宋" w:cs="仿宋"/>
        </w:rPr>
        <w:t>服务期为合同签订后一年。</w:t>
      </w:r>
    </w:p>
    <w:p>
      <w:pPr>
        <w:pStyle w:val="4"/>
        <w:rPr>
          <w:rFonts w:ascii="仿宋" w:hAnsi="仿宋" w:eastAsia="仿宋" w:cs="仿宋"/>
          <w:szCs w:val="36"/>
        </w:rPr>
      </w:pPr>
      <w:r>
        <w:rPr>
          <w:rFonts w:hint="eastAsia" w:ascii="仿宋" w:hAnsi="仿宋" w:eastAsia="仿宋" w:cs="仿宋"/>
          <w:szCs w:val="36"/>
        </w:rPr>
        <w:t>人员要求</w:t>
      </w:r>
    </w:p>
    <w:p>
      <w:pPr>
        <w:numPr>
          <w:ilvl w:val="0"/>
          <w:numId w:val="3"/>
        </w:numPr>
        <w:ind w:firstLine="560" w:firstLineChars="200"/>
        <w:rPr>
          <w:rFonts w:ascii="仿宋" w:hAnsi="仿宋" w:cs="仿宋"/>
        </w:rPr>
      </w:pPr>
      <w:r>
        <w:rPr>
          <w:rFonts w:hint="eastAsia" w:ascii="仿宋" w:hAnsi="仿宋" w:cs="仿宋"/>
        </w:rPr>
        <w:t>供应商所提供的服务人员应具备专业的网络安全技术能力，需具备CISP及PMP相关的资质证书。</w:t>
      </w:r>
      <w:r>
        <w:rPr>
          <w:rFonts w:hint="eastAsia" w:ascii="仿宋" w:hAnsi="仿宋" w:cs="仿宋"/>
          <w:b/>
          <w:bCs/>
        </w:rPr>
        <w:t>（提供人员资质证书及近六个月任意一个月的社保缴纳证明材料）</w:t>
      </w:r>
    </w:p>
    <w:p>
      <w:pPr>
        <w:pStyle w:val="4"/>
        <w:rPr>
          <w:rFonts w:ascii="仿宋" w:hAnsi="仿宋" w:eastAsia="仿宋" w:cs="仿宋"/>
          <w:szCs w:val="28"/>
        </w:rPr>
      </w:pPr>
      <w:r>
        <w:rPr>
          <w:rFonts w:hint="eastAsia" w:ascii="仿宋" w:hAnsi="仿宋" w:eastAsia="仿宋" w:cs="仿宋"/>
          <w:szCs w:val="28"/>
        </w:rPr>
        <w:t>其他要求</w:t>
      </w:r>
    </w:p>
    <w:p>
      <w:pPr>
        <w:numPr>
          <w:ilvl w:val="0"/>
          <w:numId w:val="4"/>
        </w:numPr>
        <w:ind w:firstLine="560" w:firstLineChars="200"/>
      </w:pPr>
      <w:r>
        <w:rPr>
          <w:rFonts w:hint="eastAsia" w:ascii="仿宋" w:hAnsi="仿宋" w:cs="仿宋"/>
        </w:rPr>
        <w:t>为保障服务工具的稳定运行，供应商需提供每月1次的现场设备巡检服务。</w:t>
      </w:r>
    </w:p>
    <w:p>
      <w:pPr>
        <w:numPr>
          <w:ilvl w:val="0"/>
          <w:numId w:val="4"/>
        </w:numPr>
        <w:ind w:firstLine="560" w:firstLineChars="200"/>
      </w:pPr>
      <w:r>
        <w:rPr>
          <w:rFonts w:hint="eastAsia" w:ascii="仿宋" w:hAnsi="仿宋" w:cs="仿宋"/>
        </w:rPr>
        <w:t>为保障突发重大漏洞的安全支撑，供应商需承诺根据服务采购单位实际需求提供应急响应服务。</w:t>
      </w:r>
    </w:p>
    <w:p>
      <w:pPr>
        <w:pStyle w:val="4"/>
        <w:rPr>
          <w:rFonts w:ascii="仿宋" w:hAnsi="仿宋" w:eastAsia="仿宋" w:cs="仿宋"/>
          <w:szCs w:val="28"/>
        </w:rPr>
      </w:pPr>
      <w:r>
        <w:rPr>
          <w:rFonts w:hint="eastAsia" w:ascii="仿宋" w:hAnsi="仿宋" w:eastAsia="仿宋" w:cs="仿宋"/>
          <w:szCs w:val="28"/>
        </w:rPr>
        <w:t>保密要求</w:t>
      </w:r>
    </w:p>
    <w:p>
      <w:pPr>
        <w:numPr>
          <w:ilvl w:val="0"/>
          <w:numId w:val="5"/>
        </w:numPr>
        <w:ind w:firstLine="560" w:firstLineChars="200"/>
        <w:rPr>
          <w:rFonts w:ascii="仿宋" w:hAnsi="仿宋" w:cs="仿宋"/>
        </w:rPr>
      </w:pPr>
      <w:r>
        <w:rPr>
          <w:rFonts w:hint="eastAsia" w:ascii="仿宋" w:hAnsi="仿宋" w:cs="仿宋"/>
        </w:rPr>
        <w:t>供应商在提供服务期间，必须遵守国家保密相关的法律法规以及我单位保密相关的规章制度，与我单位签订保密协议，履行保密相关职责。</w:t>
      </w:r>
    </w:p>
    <w:p>
      <w:bookmarkStart w:id="0" w:name="_GoBack"/>
      <w:bookmarkEnd w:id="0"/>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黑体" w:hAnsi="黑体" w:eastAsia="黑体" w:cs="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08C86"/>
    <w:multiLevelType w:val="multilevel"/>
    <w:tmpl w:val="E0F08C86"/>
    <w:lvl w:ilvl="0" w:tentative="0">
      <w:start w:val="1"/>
      <w:numFmt w:val="decimal"/>
      <w:pStyle w:val="4"/>
      <w:lvlText w:val="%1."/>
      <w:lvlJc w:val="left"/>
      <w:pPr>
        <w:ind w:left="432" w:hanging="432"/>
      </w:pPr>
      <w:rPr>
        <w:rFonts w:hint="default"/>
        <w:sz w:val="24"/>
        <w:szCs w:val="24"/>
      </w:rPr>
    </w:lvl>
    <w:lvl w:ilvl="1" w:tentative="0">
      <w:start w:val="1"/>
      <w:numFmt w:val="decimal"/>
      <w:lvlText w:val="%1.%2."/>
      <w:lvlJc w:val="left"/>
      <w:pPr>
        <w:ind w:left="575" w:hanging="575"/>
      </w:pPr>
      <w:rPr>
        <w:rFonts w:hint="default"/>
        <w:sz w:val="24"/>
        <w:szCs w:val="24"/>
      </w:rPr>
    </w:lvl>
    <w:lvl w:ilvl="2" w:tentative="0">
      <w:start w:val="1"/>
      <w:numFmt w:val="decimal"/>
      <w:lvlText w:val="%1.%2.%3."/>
      <w:lvlJc w:val="left"/>
      <w:pPr>
        <w:ind w:left="720" w:hanging="720"/>
      </w:pPr>
      <w:rPr>
        <w:rFonts w:hint="default"/>
        <w:sz w:val="24"/>
        <w:szCs w:val="24"/>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F85196A8"/>
    <w:multiLevelType w:val="singleLevel"/>
    <w:tmpl w:val="F85196A8"/>
    <w:lvl w:ilvl="0" w:tentative="0">
      <w:start w:val="1"/>
      <w:numFmt w:val="decimal"/>
      <w:suff w:val="nothing"/>
      <w:lvlText w:val="%1、"/>
      <w:lvlJc w:val="left"/>
    </w:lvl>
  </w:abstractNum>
  <w:abstractNum w:abstractNumId="2">
    <w:nsid w:val="2674BD64"/>
    <w:multiLevelType w:val="singleLevel"/>
    <w:tmpl w:val="2674BD64"/>
    <w:lvl w:ilvl="0" w:tentative="0">
      <w:start w:val="1"/>
      <w:numFmt w:val="decimal"/>
      <w:suff w:val="nothing"/>
      <w:lvlText w:val="%1、"/>
      <w:lvlJc w:val="left"/>
      <w:rPr>
        <w:rFonts w:hint="default"/>
        <w:b w:val="0"/>
        <w:bCs w:val="0"/>
      </w:rPr>
    </w:lvl>
  </w:abstractNum>
  <w:abstractNum w:abstractNumId="3">
    <w:nsid w:val="61A18464"/>
    <w:multiLevelType w:val="singleLevel"/>
    <w:tmpl w:val="61A18464"/>
    <w:lvl w:ilvl="0" w:tentative="0">
      <w:start w:val="1"/>
      <w:numFmt w:val="decimal"/>
      <w:suff w:val="nothing"/>
      <w:lvlText w:val="%1、"/>
      <w:lvlJc w:val="left"/>
    </w:lvl>
  </w:abstractNum>
  <w:abstractNum w:abstractNumId="4">
    <w:nsid w:val="6A848C83"/>
    <w:multiLevelType w:val="singleLevel"/>
    <w:tmpl w:val="6A848C83"/>
    <w:lvl w:ilvl="0" w:tentative="0">
      <w:start w:val="1"/>
      <w:numFmt w:val="decimal"/>
      <w:suff w:val="nothing"/>
      <w:lvlText w:val="%1、"/>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158EE"/>
    <w:rsid w:val="3AD1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仿宋" w:asciiTheme="minorHAnsi" w:hAnsiTheme="minorHAnsi" w:cstheme="minorBidi"/>
      <w:kern w:val="2"/>
      <w:sz w:val="28"/>
      <w:szCs w:val="24"/>
      <w:lang w:val="en-US" w:eastAsia="zh-CN" w:bidi="ar-SA"/>
    </w:rPr>
  </w:style>
  <w:style w:type="paragraph" w:styleId="4">
    <w:name w:val="heading 1"/>
    <w:basedOn w:val="1"/>
    <w:next w:val="1"/>
    <w:qFormat/>
    <w:uiPriority w:val="0"/>
    <w:pPr>
      <w:keepNext/>
      <w:keepLines/>
      <w:numPr>
        <w:ilvl w:val="0"/>
        <w:numId w:val="1"/>
      </w:numPr>
      <w:spacing w:line="480" w:lineRule="auto"/>
      <w:ind w:left="431" w:hanging="431"/>
      <w:outlineLvl w:val="0"/>
    </w:pPr>
    <w:rPr>
      <w:rFonts w:eastAsia="黑体"/>
      <w:b/>
      <w:kern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hint="eastAsia" w:cs="Times New Roman"/>
      <w:szCs w:val="20"/>
    </w:rPr>
  </w:style>
  <w:style w:type="paragraph" w:styleId="3">
    <w:name w:val="Body Text 2"/>
    <w:basedOn w:val="1"/>
    <w:next w:val="2"/>
    <w:qFormat/>
    <w:uiPriority w:val="0"/>
    <w:pPr>
      <w:spacing w:after="120" w:line="480" w:lineRule="auto"/>
    </w:p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2023-11-28T00:58:00Z</dcterms:created>
  <dc:creator>幻</dc:creator>
  <cp:lastModifiedBy>幻</cp:lastModifiedBy>
  <dcterms:modified xsi:type="dcterms:W3CDTF">2023-11-28T00:58:51Z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