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rPr>
        <w:t>防汛服务指导组工作指南</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rPr>
        <w:t xml:space="preserve"> </w:t>
      </w:r>
    </w:p>
    <w:p>
      <w:pPr>
        <w:spacing w:line="560" w:lineRule="exact"/>
        <w:ind w:firstLine="640" w:firstLineChars="200"/>
        <w:rPr>
          <w:rFonts w:ascii="仿宋_GB2312" w:hAnsi="仿宋_GB2312" w:eastAsia="仿宋_GB2312" w:cs="仿宋_GB2312"/>
          <w:kern w:val="2"/>
          <w:szCs w:val="32"/>
        </w:rPr>
      </w:pPr>
      <w:r>
        <w:rPr>
          <w:rFonts w:hint="eastAsia" w:ascii="黑体" w:hAnsi="黑体" w:eastAsia="黑体" w:cs="黑体"/>
          <w:kern w:val="2"/>
          <w:szCs w:val="32"/>
          <w:lang w:val="en-US" w:eastAsia="zh-CN"/>
        </w:rPr>
        <w:t>一、总则</w:t>
      </w:r>
      <w:r>
        <w:rPr>
          <w:rFonts w:ascii="仿宋_GB2312" w:hAnsi="仿宋_GB2312" w:eastAsia="仿宋_GB2312" w:cs="仿宋_GB2312"/>
          <w:kern w:val="2"/>
          <w:szCs w:val="32"/>
          <w:lang w:val="en-US" w:eastAsia="zh-CN"/>
        </w:rPr>
        <w:t xml:space="preserve"> </w:t>
      </w:r>
    </w:p>
    <w:p>
      <w:pPr>
        <w:spacing w:line="560" w:lineRule="exact"/>
        <w:ind w:firstLine="640" w:firstLineChars="200"/>
        <w:rPr>
          <w:rFonts w:ascii="仿宋_GB2312" w:hAnsi="仿宋_GB2312" w:eastAsia="仿宋_GB2312" w:cs="仿宋_GB2312"/>
          <w:kern w:val="2"/>
          <w:szCs w:val="32"/>
        </w:rPr>
      </w:pPr>
      <w:r>
        <w:rPr>
          <w:rFonts w:ascii="仿宋_GB2312" w:hAnsi="仿宋_GB2312" w:eastAsia="仿宋_GB2312" w:cs="仿宋_GB2312"/>
          <w:kern w:val="2"/>
          <w:szCs w:val="32"/>
          <w:lang w:val="en-US" w:eastAsia="zh-CN"/>
        </w:rPr>
        <w:t>为贯彻落实《福建省人民政府防汛抗旱指挥部关于深入贯彻</w:t>
      </w:r>
      <w:r>
        <w:rPr>
          <w:rFonts w:hint="eastAsia" w:ascii="仿宋_GB2312" w:hAnsi="仿宋_GB2312" w:eastAsia="仿宋_GB2312" w:cs="仿宋_GB2312"/>
          <w:kern w:val="2"/>
          <w:szCs w:val="32"/>
          <w:lang w:val="en-US" w:eastAsia="zh-CN"/>
        </w:rPr>
        <w:t>落实习近平总书记重要指示精神全面做好防汛抢险救灾各项工作的通知》（闽汛防指明电〔2024〕</w:t>
      </w:r>
      <w:r>
        <w:rPr>
          <w:rFonts w:hint="eastAsia" w:ascii="仿宋_GB2312" w:hAnsi="仿宋_GB2312" w:cs="仿宋_GB2312"/>
          <w:kern w:val="2"/>
          <w:szCs w:val="32"/>
          <w:lang w:val="en-US" w:eastAsia="zh-CN"/>
        </w:rPr>
        <w:t>14</w:t>
      </w:r>
      <w:r>
        <w:rPr>
          <w:rFonts w:hint="eastAsia" w:ascii="仿宋_GB2312" w:hAnsi="仿宋_GB2312" w:eastAsia="仿宋_GB2312" w:cs="仿宋_GB2312"/>
          <w:kern w:val="2"/>
          <w:szCs w:val="32"/>
          <w:lang w:val="en-US" w:eastAsia="zh-CN"/>
        </w:rPr>
        <w:t>号）和《福建省人民政府防汛抗旱指挥部福建省减灾委员会关于认真贯彻落实习近平总书记重要指示精神毫不松懈做好当前防汛救灾各项工作的通知》（闽汛防指〔2024〕</w:t>
      </w:r>
      <w:r>
        <w:rPr>
          <w:rFonts w:hint="eastAsia" w:ascii="仿宋_GB2312" w:hAnsi="仿宋_GB2312" w:cs="仿宋_GB2312"/>
          <w:kern w:val="2"/>
          <w:szCs w:val="32"/>
          <w:lang w:val="en-US" w:eastAsia="zh-CN"/>
        </w:rPr>
        <w:t>7</w:t>
      </w:r>
      <w:r>
        <w:rPr>
          <w:rFonts w:hint="eastAsia" w:ascii="仿宋_GB2312" w:hAnsi="仿宋_GB2312" w:eastAsia="仿宋_GB2312" w:cs="仿宋_GB2312"/>
          <w:kern w:val="2"/>
          <w:szCs w:val="32"/>
          <w:lang w:val="en-US" w:eastAsia="zh-CN"/>
        </w:rPr>
        <w:t>号），扎实做好防汛准备工作，特制定本指南。</w:t>
      </w:r>
    </w:p>
    <w:p>
      <w:pPr>
        <w:spacing w:line="560" w:lineRule="exact"/>
        <w:ind w:firstLine="640" w:firstLineChars="200"/>
        <w:rPr>
          <w:rFonts w:ascii="仿宋_GB2312" w:hAnsi="仿宋_GB2312" w:eastAsia="仿宋_GB2312" w:cs="仿宋_GB2312"/>
          <w:kern w:val="2"/>
          <w:szCs w:val="32"/>
        </w:rPr>
      </w:pPr>
      <w:r>
        <w:rPr>
          <w:rFonts w:hint="eastAsia" w:ascii="黑体" w:hAnsi="黑体" w:eastAsia="黑体" w:cs="黑体"/>
          <w:kern w:val="2"/>
          <w:szCs w:val="32"/>
          <w:lang w:val="en-US" w:eastAsia="zh-CN"/>
        </w:rPr>
        <w:t>二、派出与返回时机</w:t>
      </w:r>
      <w:r>
        <w:rPr>
          <w:rFonts w:hint="eastAsia" w:ascii="仿宋_GB2312" w:hAnsi="仿宋_GB2312" w:eastAsia="仿宋_GB2312" w:cs="仿宋_GB2312"/>
          <w:kern w:val="2"/>
          <w:szCs w:val="32"/>
          <w:lang w:val="en-US" w:eastAsia="zh-CN"/>
        </w:rPr>
        <w:t xml:space="preserve"> </w:t>
      </w:r>
    </w:p>
    <w:p>
      <w:pPr>
        <w:spacing w:line="560" w:lineRule="exact"/>
        <w:ind w:firstLine="642" w:firstLineChars="200"/>
        <w:rPr>
          <w:rFonts w:ascii="仿宋_GB2312" w:hAnsi="仿宋_GB2312" w:eastAsia="仿宋_GB2312" w:cs="仿宋_GB2312"/>
          <w:kern w:val="2"/>
          <w:szCs w:val="32"/>
        </w:rPr>
      </w:pPr>
      <w:r>
        <w:rPr>
          <w:rFonts w:hint="eastAsia" w:ascii="楷体_GB2312" w:hAnsi="楷体_GB2312" w:eastAsia="楷体_GB2312" w:cs="楷体_GB2312"/>
          <w:b/>
          <w:bCs/>
          <w:kern w:val="2"/>
          <w:szCs w:val="32"/>
          <w:lang w:val="en-US" w:eastAsia="zh-CN"/>
        </w:rPr>
        <w:t>（一）指导组派出</w:t>
      </w:r>
      <w:r>
        <w:rPr>
          <w:rFonts w:ascii="仿宋_GB2312" w:hAnsi="仿宋_GB2312" w:eastAsia="仿宋_GB2312" w:cs="仿宋_GB2312"/>
          <w:kern w:val="2"/>
          <w:szCs w:val="32"/>
          <w:lang w:val="en-US" w:eastAsia="zh-CN"/>
        </w:rPr>
        <w:t xml:space="preserve">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省水利厅启动防汛Ⅲ级响应时，由监督处会同相关处室负责组织派出服务指导组。 </w:t>
      </w:r>
    </w:p>
    <w:p>
      <w:pPr>
        <w:spacing w:line="560" w:lineRule="exact"/>
        <w:ind w:firstLine="642" w:firstLineChars="200"/>
        <w:rPr>
          <w:rFonts w:ascii="仿宋_GB2312" w:hAnsi="仿宋_GB2312" w:eastAsia="仿宋_GB2312" w:cs="仿宋_GB2312"/>
          <w:kern w:val="2"/>
          <w:szCs w:val="32"/>
        </w:rPr>
      </w:pPr>
      <w:r>
        <w:rPr>
          <w:rFonts w:hint="eastAsia" w:ascii="楷体_GB2312" w:hAnsi="楷体_GB2312" w:eastAsia="楷体_GB2312" w:cs="楷体_GB2312"/>
          <w:b/>
          <w:bCs/>
          <w:kern w:val="2"/>
          <w:szCs w:val="32"/>
          <w:lang w:val="en-US" w:eastAsia="zh-CN"/>
        </w:rPr>
        <w:t>（二）指导组返回</w:t>
      </w:r>
      <w:r>
        <w:rPr>
          <w:rFonts w:hint="eastAsia" w:ascii="仿宋_GB2312" w:hAnsi="仿宋_GB2312" w:eastAsia="仿宋_GB2312" w:cs="仿宋_GB2312"/>
          <w:kern w:val="2"/>
          <w:szCs w:val="32"/>
          <w:lang w:val="en-US" w:eastAsia="zh-CN"/>
        </w:rPr>
        <w:t xml:space="preserve">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当省水利厅防汛应急响应降为Ⅳ级或终止时，各指导组可根据当地防汛情况自行安排返回。 </w:t>
      </w:r>
    </w:p>
    <w:p>
      <w:pPr>
        <w:spacing w:line="560" w:lineRule="exact"/>
        <w:ind w:firstLine="640" w:firstLineChars="200"/>
        <w:rPr>
          <w:rFonts w:hint="eastAsia" w:ascii="黑体" w:hAnsi="黑体" w:eastAsia="黑体" w:cs="黑体"/>
          <w:b w:val="0"/>
          <w:bCs w:val="0"/>
          <w:kern w:val="2"/>
          <w:szCs w:val="32"/>
        </w:rPr>
      </w:pPr>
      <w:r>
        <w:rPr>
          <w:rFonts w:hint="eastAsia" w:ascii="黑体" w:hAnsi="黑体" w:eastAsia="黑体" w:cs="黑体"/>
          <w:b w:val="0"/>
          <w:bCs w:val="0"/>
          <w:kern w:val="2"/>
          <w:szCs w:val="32"/>
          <w:lang w:val="en-US" w:eastAsia="zh-CN"/>
        </w:rPr>
        <w:t xml:space="preserve">三、服务指导内容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指导组到位后，需督导当地水利部门履行属地职责和责任，并服务指导做好以下两个方面的工作： </w:t>
      </w:r>
    </w:p>
    <w:p>
      <w:pPr>
        <w:spacing w:line="560" w:lineRule="exact"/>
        <w:ind w:firstLine="642" w:firstLineChars="200"/>
        <w:rPr>
          <w:rFonts w:hint="eastAsia" w:ascii="楷体_GB2312" w:hAnsi="楷体_GB2312" w:eastAsia="楷体_GB2312" w:cs="楷体_GB2312"/>
          <w:b/>
          <w:bCs/>
          <w:kern w:val="2"/>
          <w:szCs w:val="32"/>
        </w:rPr>
      </w:pPr>
      <w:r>
        <w:rPr>
          <w:rFonts w:hint="eastAsia" w:ascii="楷体_GB2312" w:hAnsi="楷体_GB2312" w:eastAsia="楷体_GB2312" w:cs="楷体_GB2312"/>
          <w:b/>
          <w:bCs/>
          <w:kern w:val="2"/>
          <w:szCs w:val="32"/>
          <w:lang w:val="en-US" w:eastAsia="zh-CN"/>
        </w:rPr>
        <w:t xml:space="preserve">（一）防汛责任落实情况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1.各级水利部门部署落实情况。</w:t>
      </w:r>
      <w:r>
        <w:rPr>
          <w:rFonts w:hint="eastAsia" w:ascii="仿宋_GB2312" w:hAnsi="仿宋_GB2312" w:eastAsia="仿宋_GB2312" w:cs="仿宋_GB2312"/>
          <w:kern w:val="2"/>
          <w:szCs w:val="32"/>
          <w:lang w:val="en-US" w:eastAsia="zh-CN"/>
        </w:rPr>
        <w:t xml:space="preserve">主要是督导检查各级水利部门对防汛工作的具体部署情况，包括是否及时传达上级指示精神、是否制定了详细的工作计划和应急预案等。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2.水工程责任落实情况。</w:t>
      </w:r>
      <w:r>
        <w:rPr>
          <w:rFonts w:hint="eastAsia" w:ascii="仿宋_GB2312" w:hAnsi="仿宋_GB2312" w:eastAsia="仿宋_GB2312" w:cs="仿宋_GB2312"/>
          <w:kern w:val="2"/>
          <w:szCs w:val="32"/>
          <w:lang w:val="en-US" w:eastAsia="zh-CN"/>
        </w:rPr>
        <w:t xml:space="preserve">重点是督导检查水库堤坝等水工程，以及在建工程防汛责任落实情况，如是否明确了责任人、是否制定了防汛值班制度等。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3.重点部位隐患排查</w:t>
      </w:r>
      <w:r>
        <w:rPr>
          <w:rFonts w:hint="eastAsia" w:ascii="仿宋_GB2312" w:hAnsi="仿宋_GB2312" w:cs="仿宋_GB2312"/>
          <w:b/>
          <w:bCs/>
          <w:kern w:val="2"/>
          <w:szCs w:val="32"/>
          <w:lang w:val="en-US" w:eastAsia="zh-CN"/>
        </w:rPr>
        <w:t>落</w:t>
      </w:r>
      <w:r>
        <w:rPr>
          <w:rFonts w:hint="eastAsia" w:ascii="仿宋_GB2312" w:hAnsi="仿宋_GB2312" w:eastAsia="仿宋_GB2312" w:cs="仿宋_GB2312"/>
          <w:b/>
          <w:bCs/>
          <w:kern w:val="2"/>
          <w:szCs w:val="32"/>
          <w:lang w:val="en-US" w:eastAsia="zh-CN"/>
        </w:rPr>
        <w:t>实情况。</w:t>
      </w:r>
      <w:r>
        <w:rPr>
          <w:rFonts w:hint="eastAsia" w:ascii="仿宋_GB2312" w:hAnsi="仿宋_GB2312" w:eastAsia="仿宋_GB2312" w:cs="仿宋_GB2312"/>
          <w:kern w:val="2"/>
          <w:szCs w:val="32"/>
          <w:lang w:val="en-US" w:eastAsia="zh-CN"/>
        </w:rPr>
        <w:t xml:space="preserve">主要是督导检查各级水利部门对海堤、水库山塘、山洪等重点部位进行全面的隐患排查整治情况，查看是否建立了隐患排查台账、对发现的隐患是否及时进行了整改等。 </w:t>
      </w:r>
    </w:p>
    <w:p>
      <w:pPr>
        <w:spacing w:line="560" w:lineRule="exact"/>
        <w:ind w:firstLine="642" w:firstLineChars="200"/>
        <w:rPr>
          <w:rFonts w:ascii="仿宋_GB2312" w:hAnsi="仿宋_GB2312" w:eastAsia="仿宋_GB2312" w:cs="仿宋_GB2312"/>
          <w:kern w:val="2"/>
          <w:szCs w:val="32"/>
        </w:rPr>
      </w:pPr>
      <w:r>
        <w:rPr>
          <w:rFonts w:hint="eastAsia" w:ascii="楷体_GB2312" w:hAnsi="楷体_GB2312" w:eastAsia="楷体_GB2312" w:cs="楷体_GB2312"/>
          <w:b/>
          <w:bCs/>
          <w:kern w:val="2"/>
          <w:szCs w:val="32"/>
          <w:lang w:val="en-US" w:eastAsia="zh-CN"/>
        </w:rPr>
        <w:t>（二）防汛基础工作开展情况</w:t>
      </w:r>
      <w:r>
        <w:rPr>
          <w:rFonts w:hint="eastAsia" w:ascii="仿宋_GB2312" w:hAnsi="仿宋_GB2312" w:eastAsia="仿宋_GB2312" w:cs="仿宋_GB2312"/>
          <w:kern w:val="2"/>
          <w:szCs w:val="32"/>
          <w:lang w:val="en-US" w:eastAsia="zh-CN"/>
        </w:rPr>
        <w:t xml:space="preserve">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1.安全度汛风险隐患排查情况。</w:t>
      </w:r>
      <w:r>
        <w:rPr>
          <w:rFonts w:hint="eastAsia" w:ascii="仿宋_GB2312" w:hAnsi="仿宋_GB2312" w:eastAsia="仿宋_GB2312" w:cs="仿宋_GB2312"/>
          <w:kern w:val="2"/>
          <w:szCs w:val="32"/>
          <w:lang w:val="en-US" w:eastAsia="zh-CN"/>
        </w:rPr>
        <w:t xml:space="preserve">根据厅建设处、运管处、河湖处、农水处、监督处提供的需要检查名录清单，重点督导检查病险水库、病险水闸、正在除险加固海堤、存在薄弱环节海堤、拦河围堰、穿（破）堤工程和超汛限水库排查发现问题、度汛综合检查挂牌督办问题等的整改情况以及水利风景区、水上旅游活动和施工落实防汛情况。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2.应急物资设备准备情况。</w:t>
      </w:r>
      <w:r>
        <w:rPr>
          <w:rFonts w:hint="eastAsia" w:ascii="仿宋_GB2312" w:hAnsi="仿宋_GB2312" w:eastAsia="仿宋_GB2312" w:cs="仿宋_GB2312"/>
          <w:kern w:val="2"/>
          <w:szCs w:val="32"/>
          <w:lang w:val="en-US" w:eastAsia="zh-CN"/>
        </w:rPr>
        <w:t xml:space="preserve">检查各级水利部门防汛应急物资、设备的准备情况，特别是防汛“五小件”的配备情况，查看物资设备的储备数量是否充足、是否定期进行了维护和更新等。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3.应急抢险队伍建设情况。</w:t>
      </w:r>
      <w:r>
        <w:rPr>
          <w:rFonts w:hint="eastAsia" w:ascii="仿宋_GB2312" w:hAnsi="仿宋_GB2312" w:eastAsia="仿宋_GB2312" w:cs="仿宋_GB2312"/>
          <w:kern w:val="2"/>
          <w:szCs w:val="32"/>
          <w:lang w:val="en-US" w:eastAsia="zh-CN"/>
        </w:rPr>
        <w:t xml:space="preserve">检查应急抢险队伍人员、装备和训练的落实情况，包括队伍的人员组成是否合理、装备是否齐全、训练是否常态化等。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4.卫星电话管理情况。</w:t>
      </w:r>
      <w:r>
        <w:rPr>
          <w:rFonts w:hint="eastAsia" w:ascii="仿宋_GB2312" w:hAnsi="仿宋_GB2312" w:eastAsia="仿宋_GB2312" w:cs="仿宋_GB2312"/>
          <w:kern w:val="2"/>
          <w:szCs w:val="32"/>
          <w:lang w:val="en-US" w:eastAsia="zh-CN"/>
        </w:rPr>
        <w:t xml:space="preserve">督导检查各级水利部门对天通卫星电话使用维护管理情况，查看是否有专人负责、是否定期进行充电和测试等。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5.避灾点建设维护情况。</w:t>
      </w:r>
      <w:r>
        <w:rPr>
          <w:rFonts w:hint="eastAsia" w:ascii="仿宋_GB2312" w:hAnsi="仿宋_GB2312" w:eastAsia="仿宋_GB2312" w:cs="仿宋_GB2312"/>
          <w:kern w:val="2"/>
          <w:szCs w:val="32"/>
          <w:lang w:val="en-US" w:eastAsia="zh-CN"/>
        </w:rPr>
        <w:t xml:space="preserve">督导检查各级水利部门对防汛避灾点的建设维护管理情况，包括避灾点的选址是否合理、设施是否完善、物资储备是否充足等。 </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6.“零报告”制度落实情况。</w:t>
      </w:r>
      <w:r>
        <w:rPr>
          <w:rFonts w:hint="eastAsia" w:ascii="仿宋_GB2312" w:hAnsi="仿宋_GB2312" w:eastAsia="仿宋_GB2312" w:cs="仿宋_GB2312"/>
          <w:kern w:val="2"/>
          <w:szCs w:val="32"/>
          <w:lang w:val="en-US" w:eastAsia="zh-CN"/>
        </w:rPr>
        <w:t>检查“零报告”检查落实情况，查看各级水利部门是否按时、准确地向上级部门报告防汛工作情况。</w:t>
      </w:r>
    </w:p>
    <w:p>
      <w:pPr>
        <w:spacing w:line="560" w:lineRule="exact"/>
        <w:ind w:firstLine="642" w:firstLineChars="200"/>
        <w:rPr>
          <w:rFonts w:ascii="仿宋_GB2312" w:hAnsi="仿宋_GB2312" w:eastAsia="仿宋_GB2312" w:cs="仿宋_GB2312"/>
          <w:kern w:val="2"/>
          <w:szCs w:val="32"/>
        </w:rPr>
      </w:pPr>
      <w:r>
        <w:rPr>
          <w:rFonts w:hint="eastAsia" w:ascii="仿宋_GB2312" w:hAnsi="仿宋_GB2312" w:eastAsia="仿宋_GB2312" w:cs="仿宋_GB2312"/>
          <w:b/>
          <w:bCs/>
          <w:kern w:val="2"/>
          <w:szCs w:val="32"/>
          <w:lang w:val="en-US" w:eastAsia="zh-CN"/>
        </w:rPr>
        <w:t>7.因灾损毁情况。</w:t>
      </w:r>
      <w:r>
        <w:rPr>
          <w:rFonts w:hint="eastAsia" w:ascii="仿宋_GB2312" w:hAnsi="仿宋_GB2312" w:eastAsia="仿宋_GB2312" w:cs="仿宋_GB2312"/>
          <w:kern w:val="2"/>
          <w:szCs w:val="32"/>
          <w:lang w:val="en-US" w:eastAsia="zh-CN"/>
        </w:rPr>
        <w:t xml:space="preserve">及时掌握所在区域因灾损毁情况，并提交厅防御与水文处汇总。 </w:t>
      </w:r>
    </w:p>
    <w:p>
      <w:pPr>
        <w:spacing w:line="560" w:lineRule="exact"/>
        <w:ind w:firstLine="640" w:firstLineChars="200"/>
        <w:rPr>
          <w:rFonts w:ascii="仿宋_GB2312" w:hAnsi="仿宋_GB2312" w:eastAsia="仿宋_GB2312" w:cs="仿宋_GB2312"/>
          <w:kern w:val="2"/>
          <w:szCs w:val="32"/>
        </w:rPr>
      </w:pPr>
      <w:r>
        <w:rPr>
          <w:rFonts w:hint="eastAsia" w:ascii="黑体" w:hAnsi="黑体" w:eastAsia="黑体" w:cs="黑体"/>
          <w:kern w:val="2"/>
          <w:szCs w:val="32"/>
          <w:lang w:val="en-US" w:eastAsia="zh-CN"/>
        </w:rPr>
        <w:t>四、有关保障</w:t>
      </w:r>
      <w:r>
        <w:rPr>
          <w:rFonts w:hint="eastAsia" w:ascii="仿宋_GB2312" w:hAnsi="仿宋_GB2312" w:eastAsia="仿宋_GB2312" w:cs="仿宋_GB2312"/>
          <w:kern w:val="2"/>
          <w:szCs w:val="32"/>
          <w:lang w:val="en-US" w:eastAsia="zh-CN"/>
        </w:rPr>
        <w:t xml:space="preserve">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1.水利厅各处室备份存放</w:t>
      </w:r>
      <w:r>
        <w:rPr>
          <w:rFonts w:hint="eastAsia" w:ascii="仿宋_GB2312" w:hAnsi="仿宋_GB2312" w:cs="仿宋_GB2312"/>
          <w:kern w:val="2"/>
          <w:szCs w:val="32"/>
          <w:lang w:val="en-US" w:eastAsia="zh-CN"/>
        </w:rPr>
        <w:t>5</w:t>
      </w:r>
      <w:r>
        <w:rPr>
          <w:rFonts w:hint="eastAsia" w:ascii="仿宋_GB2312" w:hAnsi="仿宋_GB2312" w:eastAsia="仿宋_GB2312" w:cs="仿宋_GB2312"/>
          <w:kern w:val="2"/>
          <w:szCs w:val="32"/>
          <w:lang w:val="en-US" w:eastAsia="zh-CN"/>
        </w:rPr>
        <w:t>套个体防汛“五小件”等物资， 水工程调度指挥中心储备一批救生衣、救生哨、安全帽、强光手电、雨衣、安全绳、小型电锯、卫星手机和无人机等防护勘测设备。</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2.相关处室根据服务指导组人员情况，在本处室防汛物资不足时，可向厅防御与水文处或无人机队领取相关设备使用。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3.服务指导结束后，除雨衣外的其它防护勘测设备需如数归还相关单位统一保管。在服务指导过程中，若装备损坏不能再使用，需服务指导组</w:t>
      </w:r>
      <w:r>
        <w:rPr>
          <w:rFonts w:hint="eastAsia" w:ascii="仿宋_GB2312" w:hAnsi="仿宋_GB2312" w:cs="仿宋_GB2312"/>
          <w:kern w:val="2"/>
          <w:szCs w:val="32"/>
          <w:lang w:val="en-US" w:eastAsia="zh-CN"/>
        </w:rPr>
        <w:t>3</w:t>
      </w:r>
      <w:r>
        <w:rPr>
          <w:rFonts w:hint="eastAsia" w:ascii="仿宋_GB2312" w:hAnsi="仿宋_GB2312" w:eastAsia="仿宋_GB2312" w:cs="仿宋_GB2312"/>
          <w:kern w:val="2"/>
          <w:szCs w:val="32"/>
          <w:lang w:val="en-US" w:eastAsia="zh-CN"/>
        </w:rPr>
        <w:t xml:space="preserve">人签字后作报废处理。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4.车辆原则上由负责处室自行安排，若遇到困难，可向厅办公室寻求协助。 </w:t>
      </w:r>
    </w:p>
    <w:p>
      <w:pPr>
        <w:spacing w:line="560" w:lineRule="exact"/>
        <w:ind w:firstLine="640" w:firstLineChars="200"/>
        <w:rPr>
          <w:rFonts w:hint="eastAsia" w:ascii="黑体" w:hAnsi="黑体" w:eastAsia="黑体" w:cs="黑体"/>
          <w:kern w:val="2"/>
          <w:szCs w:val="32"/>
        </w:rPr>
      </w:pPr>
      <w:r>
        <w:rPr>
          <w:rFonts w:hint="eastAsia" w:ascii="黑体" w:hAnsi="黑体" w:eastAsia="黑体" w:cs="黑体"/>
          <w:kern w:val="2"/>
          <w:szCs w:val="32"/>
          <w:lang w:val="en-US" w:eastAsia="zh-CN"/>
        </w:rPr>
        <w:t xml:space="preserve">五、有关要求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1.各设区市和平潭综合实验区水利部门要积极配合服务指导组的工作，按照检查内容提前收集和汇总相关资料，做好各项准备工作。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 xml:space="preserve">2.各指导组要结合省防指工作要点，将防汛服务指导情况和发现的问题汇总形成清单报厅防御与水文处。 </w:t>
      </w:r>
    </w:p>
    <w:p>
      <w:pPr>
        <w:spacing w:line="560" w:lineRule="exact"/>
        <w:ind w:firstLine="640" w:firstLineChars="200"/>
        <w:rPr>
          <w:rFonts w:ascii="仿宋_GB2312" w:hAnsi="仿宋_GB2312" w:eastAsia="仿宋_GB2312" w:cs="仿宋_GB2312"/>
          <w:kern w:val="2"/>
          <w:szCs w:val="32"/>
        </w:rPr>
      </w:pPr>
      <w:r>
        <w:rPr>
          <w:rFonts w:hint="eastAsia" w:ascii="仿宋_GB2312" w:hAnsi="仿宋_GB2312" w:eastAsia="仿宋_GB2312" w:cs="仿宋_GB2312"/>
          <w:kern w:val="2"/>
          <w:szCs w:val="32"/>
          <w:lang w:val="en-US" w:eastAsia="zh-CN"/>
        </w:rPr>
        <w:t>3.各指导组要严格执行中央八项规定精神及实施细则精神有关要求，轻车简从，简化接待，确保防汛服务指导工作的廉洁高效。</w:t>
      </w:r>
    </w:p>
    <w:p>
      <w:pPr>
        <w:spacing w:line="560" w:lineRule="exact"/>
        <w:ind w:firstLine="640" w:firstLineChars="200"/>
        <w:rPr>
          <w:rFonts w:ascii="仿宋_GB2312" w:hAnsi="仿宋_GB2312" w:eastAsia="仿宋_GB2312" w:cs="仿宋_GB2312"/>
          <w:kern w:val="2"/>
          <w:szCs w:val="32"/>
        </w:rPr>
      </w:pPr>
    </w:p>
    <w:p>
      <w:pPr>
        <w:sectPr>
          <w:headerReference r:id="rId5" w:type="default"/>
          <w:footerReference r:id="rId6" w:type="default"/>
          <w:pgSz w:w="11906" w:h="16838"/>
          <w:pgMar w:top="2098" w:right="1474" w:bottom="1984" w:left="1587" w:header="1134" w:footer="1417" w:gutter="0"/>
          <w:pgNumType w:fmt="decimal" w:start="1"/>
          <w:cols w:space="720" w:num="1"/>
          <w:docGrid w:type="lines" w:linePitch="312" w:charSpace="0"/>
        </w:sectPr>
      </w:pPr>
      <w:r>
        <w:rPr>
          <w:rFonts w:ascii="仿宋_GB2312" w:hAnsi="仿宋_GB2312" w:eastAsia="仿宋_GB2312" w:cs="仿宋_GB2312"/>
          <w:szCs w:val="32"/>
        </w:rPr>
        <w:br w:type="page"/>
      </w:r>
    </w:p>
    <w:p>
      <w:pPr>
        <w:widowControl w:val="0"/>
        <w:autoSpaceDE w:val="0"/>
        <w:autoSpaceDN w:val="0"/>
        <w:adjustRightInd w:val="0"/>
        <w:jc w:val="center"/>
        <w:rPr>
          <w:rFonts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bidi="ar-SA"/>
        </w:rPr>
        <w:t>风险隐患排查清单（样表）</w:t>
      </w:r>
    </w:p>
    <w:p>
      <w:pPr>
        <w:widowControl w:val="0"/>
        <w:autoSpaceDE w:val="0"/>
        <w:autoSpaceDN w:val="0"/>
        <w:adjustRightInd w:val="0"/>
        <w:jc w:val="both"/>
        <w:rPr>
          <w:rFonts w:ascii="仿宋_GB2312" w:hAnsi="Times New Roman" w:eastAsia="仿宋_GB2312" w:cs="仿宋_GB2312"/>
          <w:b/>
          <w:bCs/>
          <w:color w:val="auto"/>
          <w:sz w:val="36"/>
          <w:szCs w:val="36"/>
          <w:lang w:val="en-US" w:eastAsia="zh-CN" w:bidi="ar-SA"/>
        </w:rPr>
      </w:pPr>
    </w:p>
    <w:p>
      <w:pPr>
        <w:widowControl w:val="0"/>
        <w:autoSpaceDE w:val="0"/>
        <w:autoSpaceDN w:val="0"/>
        <w:adjustRightInd w:val="0"/>
        <w:ind w:left="0" w:leftChars="0" w:firstLine="0" w:firstLineChars="0"/>
        <w:jc w:val="both"/>
        <w:rPr>
          <w:rFonts w:ascii="仿宋_GB2312" w:hAnsi="Times New Roman" w:eastAsia="仿宋_GB2312" w:cs="仿宋_GB2312"/>
          <w:color w:val="auto"/>
          <w:sz w:val="32"/>
          <w:szCs w:val="32"/>
          <w:lang w:val="en-US" w:eastAsia="zh-CN" w:bidi="ar-SA"/>
        </w:rPr>
      </w:pPr>
      <w:r>
        <w:rPr>
          <w:rFonts w:hint="eastAsia" w:ascii="仿宋_GB2312" w:hAnsi="Times New Roman" w:eastAsia="仿宋_GB2312" w:cs="仿宋_GB2312"/>
          <w:color w:val="auto"/>
          <w:sz w:val="32"/>
          <w:szCs w:val="32"/>
          <w:lang w:val="en-US" w:eastAsia="zh-CN" w:bidi="ar-SA"/>
        </w:rPr>
        <w:t xml:space="preserve">单位：  </w:t>
      </w:r>
      <w:r>
        <w:rPr>
          <w:rFonts w:hint="eastAsia" w:ascii="仿宋_GB2312" w:hAnsi="Times New Roman" w:eastAsia="仿宋_GB2312" w:cs="仿宋_GB2312"/>
          <w:b/>
          <w:bCs/>
          <w:color w:val="auto"/>
          <w:sz w:val="32"/>
          <w:szCs w:val="32"/>
          <w:lang w:val="en-US" w:eastAsia="zh-CN" w:bidi="ar-SA"/>
        </w:rPr>
        <w:t xml:space="preserve">                                                   </w:t>
      </w:r>
      <w:r>
        <w:rPr>
          <w:rFonts w:hint="eastAsia" w:ascii="仿宋_GB2312" w:hAnsi="Times New Roman" w:eastAsia="仿宋_GB2312" w:cs="仿宋_GB2312"/>
          <w:color w:val="auto"/>
          <w:sz w:val="32"/>
          <w:szCs w:val="32"/>
          <w:lang w:val="en-US" w:eastAsia="zh-CN" w:bidi="ar-SA"/>
        </w:rPr>
        <w:t xml:space="preserve">             时间：</w:t>
      </w:r>
    </w:p>
    <w:tbl>
      <w:tblPr>
        <w:tblStyle w:val="19"/>
        <w:tblW w:w="1399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968"/>
        <w:gridCol w:w="3516"/>
        <w:gridCol w:w="2259"/>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80" w:type="dxa"/>
            <w:vAlign w:val="center"/>
          </w:tcPr>
          <w:p>
            <w:pPr>
              <w:widowControl w:val="0"/>
              <w:autoSpaceDE w:val="0"/>
              <w:autoSpaceDN w:val="0"/>
              <w:adjustRightInd w:val="0"/>
              <w:ind w:left="0" w:leftChars="0" w:firstLine="0" w:firstLineChars="0"/>
              <w:jc w:val="center"/>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序号</w:t>
            </w:r>
          </w:p>
        </w:tc>
        <w:tc>
          <w:tcPr>
            <w:tcW w:w="3968" w:type="dxa"/>
            <w:vAlign w:val="center"/>
          </w:tcPr>
          <w:p>
            <w:pPr>
              <w:widowControl w:val="0"/>
              <w:autoSpaceDE w:val="0"/>
              <w:autoSpaceDN w:val="0"/>
              <w:adjustRightInd w:val="0"/>
              <w:ind w:left="0" w:leftChars="0" w:firstLine="0" w:firstLineChars="0"/>
              <w:jc w:val="center"/>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问题清单</w:t>
            </w:r>
          </w:p>
        </w:tc>
        <w:tc>
          <w:tcPr>
            <w:tcW w:w="3516" w:type="dxa"/>
            <w:vAlign w:val="center"/>
          </w:tcPr>
          <w:p>
            <w:pPr>
              <w:widowControl w:val="0"/>
              <w:autoSpaceDE w:val="0"/>
              <w:autoSpaceDN w:val="0"/>
              <w:adjustRightInd w:val="0"/>
              <w:ind w:left="0" w:leftChars="0" w:firstLine="0" w:firstLineChars="0"/>
              <w:jc w:val="center"/>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初步整改措施</w:t>
            </w:r>
          </w:p>
        </w:tc>
        <w:tc>
          <w:tcPr>
            <w:tcW w:w="2259" w:type="dxa"/>
            <w:vAlign w:val="center"/>
          </w:tcPr>
          <w:p>
            <w:pPr>
              <w:widowControl w:val="0"/>
              <w:autoSpaceDE w:val="0"/>
              <w:autoSpaceDN w:val="0"/>
              <w:adjustRightInd w:val="0"/>
              <w:ind w:left="0" w:leftChars="0" w:firstLine="0" w:firstLineChars="0"/>
              <w:jc w:val="center"/>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责任单位</w:t>
            </w:r>
          </w:p>
        </w:tc>
        <w:tc>
          <w:tcPr>
            <w:tcW w:w="3374" w:type="dxa"/>
            <w:vAlign w:val="center"/>
          </w:tcPr>
          <w:p>
            <w:pPr>
              <w:widowControl w:val="0"/>
              <w:autoSpaceDE w:val="0"/>
              <w:autoSpaceDN w:val="0"/>
              <w:adjustRightInd w:val="0"/>
              <w:ind w:left="0" w:leftChars="0" w:firstLine="0" w:firstLineChars="0"/>
              <w:jc w:val="center"/>
              <w:rPr>
                <w:rFonts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80"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968"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516"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2259"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374"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80"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968"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516"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2259"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374"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80"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968"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516"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2259"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374"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0"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968"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516"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2259"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c>
          <w:tcPr>
            <w:tcW w:w="3374" w:type="dxa"/>
          </w:tcPr>
          <w:p>
            <w:pPr>
              <w:widowControl w:val="0"/>
              <w:autoSpaceDE w:val="0"/>
              <w:autoSpaceDN w:val="0"/>
              <w:adjustRightInd w:val="0"/>
              <w:jc w:val="center"/>
              <w:rPr>
                <w:rFonts w:ascii="仿宋_GB2312" w:hAnsi="Times New Roman" w:eastAsia="仿宋_GB2312" w:cs="仿宋_GB2312"/>
                <w:b/>
                <w:bCs/>
                <w:color w:val="auto"/>
                <w:sz w:val="32"/>
                <w:szCs w:val="32"/>
                <w:lang w:val="en-US" w:eastAsia="zh-CN" w:bidi="ar-SA"/>
              </w:rPr>
            </w:pPr>
          </w:p>
        </w:tc>
      </w:tr>
    </w:tbl>
    <w:p>
      <w:pPr>
        <w:widowControl/>
        <w:spacing w:line="240" w:lineRule="auto"/>
        <w:ind w:firstLine="640" w:firstLineChars="200"/>
        <w:jc w:val="left"/>
        <w:rPr>
          <w:rFonts w:asciiTheme="minorHAnsi" w:hAnsiTheme="minorHAnsi" w:eastAsiaTheme="minorEastAsia" w:cstheme="minorBidi"/>
          <w:kern w:val="2"/>
          <w:szCs w:val="22"/>
        </w:rPr>
      </w:pPr>
    </w:p>
    <w:p>
      <w:pPr>
        <w:widowControl/>
        <w:spacing w:line="240" w:lineRule="auto"/>
        <w:ind w:firstLine="0" w:firstLineChars="0"/>
        <w:jc w:val="left"/>
        <w:rPr>
          <w:color w:val="auto"/>
        </w:rPr>
      </w:pPr>
    </w:p>
    <w:sectPr>
      <w:footerReference r:id="rId7" w:type="default"/>
      <w:pgSz w:w="16838" w:h="11906" w:orient="landscape"/>
      <w:pgMar w:top="1803" w:right="1440" w:bottom="1803" w:left="1440" w:header="851" w:footer="992"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20" w:leftChars="100" w:right="320" w:rightChars="100"/>
      <w:jc w:val="left"/>
      <w:rPr>
        <w:rFonts w:asciiTheme="minorHAnsi" w:hAnsiTheme="minorHAnsi" w:eastAsiaTheme="minorEastAsia" w:cstheme="minorBidi"/>
        <w:kern w:val="2"/>
        <w:sz w:val="18"/>
        <w:szCs w:val="18"/>
        <w:lang w:val="en-US" w:eastAsia="zh-CN" w:bidi="ar-SA"/>
      </w:rPr>
    </w:pPr>
    <w:bookmarkStart w:id="0" w:name="_GoBack"/>
    <w:bookmarkEnd w:id="0"/>
    <w:r>
      <w:rPr>
        <w:rFonts w:asciiTheme="minorHAnsi" w:hAnsiTheme="minorHAnsi" w:eastAsiaTheme="minorEastAsia" w:cstheme="minorBidi"/>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left="0" w:leftChars="0" w:right="320" w:rightChars="100" w:firstLine="280" w:firstLineChars="100"/>
                            <w:jc w:val="left"/>
                            <w:rPr>
                              <w:rFonts w:asciiTheme="minorHAnsi" w:hAnsiTheme="minorHAnsi" w:eastAsiaTheme="minorEastAsia" w:cstheme="minorBidi"/>
                              <w:kern w:val="2"/>
                              <w:sz w:val="28"/>
                              <w:szCs w:val="28"/>
                              <w:lang w:val="en-US" w:eastAsia="zh-CN" w:bidi="ar-SA"/>
                            </w:rPr>
                          </w:pPr>
                          <w:r>
                            <w:rPr>
                              <w:rFonts w:asciiTheme="minorHAnsi" w:hAnsiTheme="minorHAnsi" w:eastAsiaTheme="minorEastAsia" w:cstheme="minorBidi"/>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asciiTheme="minorHAnsi" w:hAnsiTheme="minorHAnsi" w:eastAsiaTheme="minorEastAsia" w:cstheme="minorBidi"/>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widowControl w:val="0"/>
                      <w:snapToGrid w:val="0"/>
                      <w:ind w:left="0" w:leftChars="0" w:right="320" w:rightChars="100" w:firstLine="280" w:firstLineChars="100"/>
                      <w:jc w:val="left"/>
                      <w:rPr>
                        <w:rFonts w:asciiTheme="minorHAnsi" w:hAnsiTheme="minorHAnsi" w:eastAsiaTheme="minorEastAsia" w:cstheme="minorBidi"/>
                        <w:kern w:val="2"/>
                        <w:sz w:val="28"/>
                        <w:szCs w:val="28"/>
                        <w:lang w:val="en-US" w:eastAsia="zh-CN" w:bidi="ar-SA"/>
                      </w:rPr>
                    </w:pPr>
                    <w:r>
                      <w:rPr>
                        <w:rFonts w:asciiTheme="minorHAnsi" w:hAnsiTheme="minorHAnsi" w:eastAsiaTheme="minorEastAsia" w:cstheme="minorBidi"/>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asciiTheme="minorHAnsi" w:hAnsiTheme="minorHAnsi" w:eastAsiaTheme="minorEastAsia" w:cstheme="minorBidi"/>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eastAsia="宋体" w:cs="宋体"/>
                              <w:sz w:val="28"/>
                              <w:szCs w:val="28"/>
                            </w:rPr>
                          </w:pPr>
                          <w:r>
                            <w:rPr>
                              <w:rFonts w:eastAsia="宋体" w:cs="宋体"/>
                              <w:sz w:val="28"/>
                              <w:szCs w:val="28"/>
                            </w:rPr>
                            <w:t xml:space="preserve">— </w:t>
                          </w:r>
                          <w:r>
                            <w:rPr>
                              <w:rFonts w:eastAsia="宋体" w:cs="宋体"/>
                              <w:sz w:val="28"/>
                              <w:szCs w:val="28"/>
                            </w:rPr>
                            <w:fldChar w:fldCharType="begin"/>
                          </w:r>
                          <w:r>
                            <w:rPr>
                              <w:rFonts w:eastAsia="宋体" w:cs="宋体"/>
                              <w:sz w:val="28"/>
                              <w:szCs w:val="28"/>
                            </w:rPr>
                            <w:instrText xml:space="preserve"> PAGE  \* MERGEFORMAT </w:instrText>
                          </w:r>
                          <w:r>
                            <w:rPr>
                              <w:rFonts w:eastAsia="宋体" w:cs="宋体"/>
                              <w:sz w:val="28"/>
                              <w:szCs w:val="28"/>
                            </w:rPr>
                            <w:fldChar w:fldCharType="separate"/>
                          </w:r>
                          <w:r>
                            <w:rPr>
                              <w:rFonts w:eastAsia="宋体" w:cs="宋体"/>
                              <w:sz w:val="28"/>
                              <w:szCs w:val="28"/>
                            </w:rPr>
                            <w:t>5</w:t>
                          </w:r>
                          <w:r>
                            <w:rPr>
                              <w:rFonts w:eastAsia="宋体" w:cs="宋体"/>
                              <w:sz w:val="28"/>
                              <w:szCs w:val="28"/>
                            </w:rPr>
                            <w:fldChar w:fldCharType="end"/>
                          </w:r>
                          <w:r>
                            <w:rPr>
                              <w:rFonts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Z88zAhwCAAAnBAAADgAAAAAAAAABACAAAAA1AQAAZHJzL2Uyb0RvYy54bWxQSwUG&#10;AAAAAAYABgBZAQAAwwUAAAAA&#10;">
              <v:fill on="f" focussize="0,0"/>
              <v:stroke on="f" weight="0.5pt"/>
              <v:imagedata o:title=""/>
              <o:lock v:ext="edit" aspectratio="f"/>
              <v:textbox inset="0mm,0mm,0mm,0mm" style="mso-fit-shape-to-text:t;">
                <w:txbxContent>
                  <w:p>
                    <w:pPr>
                      <w:snapToGrid w:val="0"/>
                      <w:rPr>
                        <w:rFonts w:eastAsia="宋体" w:cs="宋体"/>
                        <w:sz w:val="28"/>
                        <w:szCs w:val="28"/>
                      </w:rPr>
                    </w:pPr>
                    <w:r>
                      <w:rPr>
                        <w:rFonts w:eastAsia="宋体" w:cs="宋体"/>
                        <w:sz w:val="28"/>
                        <w:szCs w:val="28"/>
                      </w:rPr>
                      <w:t xml:space="preserve">— </w:t>
                    </w:r>
                    <w:r>
                      <w:rPr>
                        <w:rFonts w:eastAsia="宋体" w:cs="宋体"/>
                        <w:sz w:val="28"/>
                        <w:szCs w:val="28"/>
                      </w:rPr>
                      <w:fldChar w:fldCharType="begin"/>
                    </w:r>
                    <w:r>
                      <w:rPr>
                        <w:rFonts w:eastAsia="宋体" w:cs="宋体"/>
                        <w:sz w:val="28"/>
                        <w:szCs w:val="28"/>
                      </w:rPr>
                      <w:instrText xml:space="preserve"> PAGE  \* MERGEFORMAT </w:instrText>
                    </w:r>
                    <w:r>
                      <w:rPr>
                        <w:rFonts w:eastAsia="宋体" w:cs="宋体"/>
                        <w:sz w:val="28"/>
                        <w:szCs w:val="28"/>
                      </w:rPr>
                      <w:fldChar w:fldCharType="separate"/>
                    </w:r>
                    <w:r>
                      <w:rPr>
                        <w:rFonts w:eastAsia="宋体" w:cs="宋体"/>
                        <w:sz w:val="28"/>
                        <w:szCs w:val="28"/>
                      </w:rPr>
                      <w:t>5</w:t>
                    </w:r>
                    <w:r>
                      <w:rPr>
                        <w:rFonts w:eastAsia="宋体" w:cs="宋体"/>
                        <w:sz w:val="28"/>
                        <w:szCs w:val="28"/>
                      </w:rPr>
                      <w:fldChar w:fldCharType="end"/>
                    </w:r>
                    <w:r>
                      <w:rPr>
                        <w:rFonts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6471"/>
      </w:tabs>
      <w:ind w:firstLine="360"/>
      <w:jc w:val="left"/>
      <w:rPr>
        <w:rFonts w:eastAsia="宋体"/>
      </w:rPr>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WYyYTEzMjhhY2M3ZTBkZjU3MDExNWNhY2Q2NTkifQ=="/>
  </w:docVars>
  <w:rsids>
    <w:rsidRoot w:val="00541889"/>
    <w:rsid w:val="00011995"/>
    <w:rsid w:val="0001328A"/>
    <w:rsid w:val="00031D4F"/>
    <w:rsid w:val="00080074"/>
    <w:rsid w:val="000A0538"/>
    <w:rsid w:val="000E63D9"/>
    <w:rsid w:val="000E7047"/>
    <w:rsid w:val="00164647"/>
    <w:rsid w:val="00180C95"/>
    <w:rsid w:val="0020303F"/>
    <w:rsid w:val="00205628"/>
    <w:rsid w:val="00260A03"/>
    <w:rsid w:val="002F6ADB"/>
    <w:rsid w:val="003241DC"/>
    <w:rsid w:val="003555CF"/>
    <w:rsid w:val="0036334F"/>
    <w:rsid w:val="00366DB3"/>
    <w:rsid w:val="00367CC3"/>
    <w:rsid w:val="00377794"/>
    <w:rsid w:val="003B4CAD"/>
    <w:rsid w:val="003F6802"/>
    <w:rsid w:val="004028C7"/>
    <w:rsid w:val="004262AC"/>
    <w:rsid w:val="00433083"/>
    <w:rsid w:val="00463CFE"/>
    <w:rsid w:val="00467AF3"/>
    <w:rsid w:val="004D582F"/>
    <w:rsid w:val="004E04C8"/>
    <w:rsid w:val="004E0521"/>
    <w:rsid w:val="0052738D"/>
    <w:rsid w:val="0053299E"/>
    <w:rsid w:val="00541889"/>
    <w:rsid w:val="00546608"/>
    <w:rsid w:val="005647C9"/>
    <w:rsid w:val="005B5288"/>
    <w:rsid w:val="005B62E2"/>
    <w:rsid w:val="006020CE"/>
    <w:rsid w:val="0063054E"/>
    <w:rsid w:val="00664276"/>
    <w:rsid w:val="006937A2"/>
    <w:rsid w:val="006B12FD"/>
    <w:rsid w:val="006B7A7A"/>
    <w:rsid w:val="006D318A"/>
    <w:rsid w:val="00710A7E"/>
    <w:rsid w:val="00762CCA"/>
    <w:rsid w:val="00774AF2"/>
    <w:rsid w:val="007C72F7"/>
    <w:rsid w:val="007D748F"/>
    <w:rsid w:val="007F1DC4"/>
    <w:rsid w:val="00833E02"/>
    <w:rsid w:val="00860495"/>
    <w:rsid w:val="008A03FD"/>
    <w:rsid w:val="008D7A80"/>
    <w:rsid w:val="00901F7C"/>
    <w:rsid w:val="00944A67"/>
    <w:rsid w:val="009465F2"/>
    <w:rsid w:val="009959E3"/>
    <w:rsid w:val="009E1B97"/>
    <w:rsid w:val="009E600B"/>
    <w:rsid w:val="00A232D6"/>
    <w:rsid w:val="00A548ED"/>
    <w:rsid w:val="00A93124"/>
    <w:rsid w:val="00AA27F8"/>
    <w:rsid w:val="00AE7899"/>
    <w:rsid w:val="00B209BE"/>
    <w:rsid w:val="00B23A02"/>
    <w:rsid w:val="00B325EA"/>
    <w:rsid w:val="00B6152C"/>
    <w:rsid w:val="00B82BCE"/>
    <w:rsid w:val="00BA09E5"/>
    <w:rsid w:val="00BD088B"/>
    <w:rsid w:val="00BF0342"/>
    <w:rsid w:val="00C129A5"/>
    <w:rsid w:val="00C47B75"/>
    <w:rsid w:val="00C66A31"/>
    <w:rsid w:val="00C84AAB"/>
    <w:rsid w:val="00C957F2"/>
    <w:rsid w:val="00CC1BC7"/>
    <w:rsid w:val="00CE0E5D"/>
    <w:rsid w:val="00D52999"/>
    <w:rsid w:val="00D5525C"/>
    <w:rsid w:val="00D6261B"/>
    <w:rsid w:val="00D64DDB"/>
    <w:rsid w:val="00D864A5"/>
    <w:rsid w:val="00D93352"/>
    <w:rsid w:val="00E06955"/>
    <w:rsid w:val="00E353AA"/>
    <w:rsid w:val="00ED31A4"/>
    <w:rsid w:val="00EE1A0D"/>
    <w:rsid w:val="00EE39B9"/>
    <w:rsid w:val="00EE5968"/>
    <w:rsid w:val="00F01BA0"/>
    <w:rsid w:val="00F254ED"/>
    <w:rsid w:val="00F95128"/>
    <w:rsid w:val="00FB6B77"/>
    <w:rsid w:val="00FF7E37"/>
    <w:rsid w:val="026672C7"/>
    <w:rsid w:val="027B1053"/>
    <w:rsid w:val="045C5EF6"/>
    <w:rsid w:val="046077CF"/>
    <w:rsid w:val="05504DE4"/>
    <w:rsid w:val="06187ADB"/>
    <w:rsid w:val="06D034C6"/>
    <w:rsid w:val="0751086C"/>
    <w:rsid w:val="08496D6F"/>
    <w:rsid w:val="09192BA9"/>
    <w:rsid w:val="098E3A3A"/>
    <w:rsid w:val="09E046F0"/>
    <w:rsid w:val="0B0A069A"/>
    <w:rsid w:val="0B555A2C"/>
    <w:rsid w:val="0C254E41"/>
    <w:rsid w:val="0CF45B0E"/>
    <w:rsid w:val="0D097367"/>
    <w:rsid w:val="0D175465"/>
    <w:rsid w:val="0D5A7B66"/>
    <w:rsid w:val="0EE11F2B"/>
    <w:rsid w:val="0F9170DB"/>
    <w:rsid w:val="10191ED0"/>
    <w:rsid w:val="103A333D"/>
    <w:rsid w:val="10EC1EF6"/>
    <w:rsid w:val="111C1C1F"/>
    <w:rsid w:val="132F28FC"/>
    <w:rsid w:val="133E46E0"/>
    <w:rsid w:val="14DF765C"/>
    <w:rsid w:val="15761F97"/>
    <w:rsid w:val="15A61C2E"/>
    <w:rsid w:val="16053871"/>
    <w:rsid w:val="16DA381B"/>
    <w:rsid w:val="173C33BA"/>
    <w:rsid w:val="18F80F4C"/>
    <w:rsid w:val="19EF5852"/>
    <w:rsid w:val="19F2307C"/>
    <w:rsid w:val="1C93089E"/>
    <w:rsid w:val="1D50761E"/>
    <w:rsid w:val="1D792624"/>
    <w:rsid w:val="1ED77B8A"/>
    <w:rsid w:val="20EB4C5A"/>
    <w:rsid w:val="20F7288E"/>
    <w:rsid w:val="216202F7"/>
    <w:rsid w:val="21672F82"/>
    <w:rsid w:val="21BD6A53"/>
    <w:rsid w:val="21FC5F50"/>
    <w:rsid w:val="223C4E37"/>
    <w:rsid w:val="23171AA0"/>
    <w:rsid w:val="242F4B13"/>
    <w:rsid w:val="244F2288"/>
    <w:rsid w:val="259870DB"/>
    <w:rsid w:val="25E371D4"/>
    <w:rsid w:val="26F62BF7"/>
    <w:rsid w:val="274C7123"/>
    <w:rsid w:val="289F620F"/>
    <w:rsid w:val="292D126B"/>
    <w:rsid w:val="2B1F2062"/>
    <w:rsid w:val="2B9F7549"/>
    <w:rsid w:val="2C811C4D"/>
    <w:rsid w:val="2D220FCE"/>
    <w:rsid w:val="2D334693"/>
    <w:rsid w:val="30E57769"/>
    <w:rsid w:val="31505A69"/>
    <w:rsid w:val="33711622"/>
    <w:rsid w:val="34CD431C"/>
    <w:rsid w:val="35F84DBE"/>
    <w:rsid w:val="36215E30"/>
    <w:rsid w:val="36273F67"/>
    <w:rsid w:val="37F3471F"/>
    <w:rsid w:val="3D495D82"/>
    <w:rsid w:val="3DF84EA7"/>
    <w:rsid w:val="3E012519"/>
    <w:rsid w:val="3F066AB4"/>
    <w:rsid w:val="3F197373"/>
    <w:rsid w:val="40E47112"/>
    <w:rsid w:val="44D42EEF"/>
    <w:rsid w:val="467F282C"/>
    <w:rsid w:val="46CB6114"/>
    <w:rsid w:val="48111527"/>
    <w:rsid w:val="482F24E1"/>
    <w:rsid w:val="49097141"/>
    <w:rsid w:val="4AC0466F"/>
    <w:rsid w:val="4D3926CB"/>
    <w:rsid w:val="4E4A6AAA"/>
    <w:rsid w:val="4EDA27AD"/>
    <w:rsid w:val="50832A62"/>
    <w:rsid w:val="50AD1D9C"/>
    <w:rsid w:val="52692E52"/>
    <w:rsid w:val="53A025E2"/>
    <w:rsid w:val="53B427ED"/>
    <w:rsid w:val="56607C45"/>
    <w:rsid w:val="574B23DE"/>
    <w:rsid w:val="57525991"/>
    <w:rsid w:val="582E57E7"/>
    <w:rsid w:val="594B1686"/>
    <w:rsid w:val="5B0A4AEF"/>
    <w:rsid w:val="5C760364"/>
    <w:rsid w:val="5D6D7BF5"/>
    <w:rsid w:val="5EBE02C5"/>
    <w:rsid w:val="5F88553D"/>
    <w:rsid w:val="60116BE7"/>
    <w:rsid w:val="621351F3"/>
    <w:rsid w:val="625F5B8B"/>
    <w:rsid w:val="62BA0C88"/>
    <w:rsid w:val="63C42392"/>
    <w:rsid w:val="644B3A68"/>
    <w:rsid w:val="67CF0CC9"/>
    <w:rsid w:val="67DF08A2"/>
    <w:rsid w:val="6D592CD8"/>
    <w:rsid w:val="6DB87921"/>
    <w:rsid w:val="6DEA6BFC"/>
    <w:rsid w:val="6DFFAD24"/>
    <w:rsid w:val="6F8A4A0A"/>
    <w:rsid w:val="70442179"/>
    <w:rsid w:val="75505446"/>
    <w:rsid w:val="75DEF8CF"/>
    <w:rsid w:val="768D5485"/>
    <w:rsid w:val="76B9021D"/>
    <w:rsid w:val="77FC029F"/>
    <w:rsid w:val="785B251B"/>
    <w:rsid w:val="7B0C4ED2"/>
    <w:rsid w:val="BFAF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宋体" w:hAnsi="宋体" w:eastAsia="仿宋_GB2312" w:cs="Times New Roman"/>
      <w:sz w:val="32"/>
      <w:szCs w:val="32"/>
      <w:lang w:val="en-US" w:eastAsia="zh-CN" w:bidi="ar-SA"/>
    </w:rPr>
  </w:style>
  <w:style w:type="paragraph" w:styleId="4">
    <w:name w:val="heading 1"/>
    <w:basedOn w:val="1"/>
    <w:next w:val="1"/>
    <w:qFormat/>
    <w:uiPriority w:val="0"/>
    <w:pPr>
      <w:autoSpaceDE w:val="0"/>
      <w:spacing w:line="600" w:lineRule="exact"/>
      <w:ind w:firstLine="880"/>
      <w:outlineLvl w:val="0"/>
    </w:pPr>
    <w:rPr>
      <w:rFonts w:ascii="Arial" w:hAnsi="Arial" w:eastAsia="黑体"/>
      <w:kern w:val="44"/>
    </w:rPr>
  </w:style>
  <w:style w:type="paragraph" w:styleId="5">
    <w:name w:val="heading 2"/>
    <w:basedOn w:val="1"/>
    <w:next w:val="1"/>
    <w:unhideWhenUsed/>
    <w:qFormat/>
    <w:uiPriority w:val="0"/>
    <w:pPr>
      <w:keepNext/>
      <w:spacing w:line="600" w:lineRule="exact"/>
      <w:ind w:firstLine="880"/>
      <w:outlineLvl w:val="1"/>
    </w:pPr>
    <w:rPr>
      <w:rFonts w:ascii="Arial" w:hAnsi="Arial"/>
    </w:rPr>
  </w:style>
  <w:style w:type="paragraph" w:styleId="6">
    <w:name w:val="heading 3"/>
    <w:basedOn w:val="1"/>
    <w:next w:val="1"/>
    <w:link w:val="26"/>
    <w:unhideWhenUsed/>
    <w:qFormat/>
    <w:uiPriority w:val="0"/>
    <w:pPr>
      <w:keepNext/>
      <w:keepLines/>
      <w:ind w:firstLine="420"/>
      <w:outlineLvl w:val="2"/>
    </w:pPr>
    <w:rPr>
      <w:rFonts w:ascii="Arial" w:hAnsi="Arial"/>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pPr>
    <w:rPr>
      <w:rFonts w:hint="eastAsia" w:ascii="Times New Roman" w:eastAsia="仿宋_GB2312"/>
    </w:rPr>
  </w:style>
  <w:style w:type="paragraph" w:styleId="3">
    <w:name w:val="Body Text Indent"/>
    <w:basedOn w:val="1"/>
    <w:next w:val="2"/>
    <w:qFormat/>
    <w:uiPriority w:val="0"/>
    <w:pPr>
      <w:ind w:firstLine="645"/>
    </w:pPr>
    <w:rPr>
      <w:rFonts w:ascii="黑体" w:eastAsia="黑体"/>
    </w:rPr>
  </w:style>
  <w:style w:type="paragraph" w:styleId="8">
    <w:name w:val="Body Text"/>
    <w:qFormat/>
    <w:uiPriority w:val="0"/>
    <w:pPr>
      <w:widowControl w:val="0"/>
      <w:spacing w:line="560" w:lineRule="exact"/>
      <w:ind w:firstLine="880" w:firstLineChars="200"/>
      <w:jc w:val="both"/>
    </w:pPr>
    <w:rPr>
      <w:rFonts w:hint="eastAsia" w:ascii="宋体" w:hAnsi="宋体" w:eastAsia="仿宋_GB2312" w:cs="Times New Roman"/>
      <w:sz w:val="32"/>
      <w:lang w:val="en-US" w:eastAsia="zh-CN" w:bidi="ar-SA"/>
    </w:rPr>
  </w:style>
  <w:style w:type="paragraph" w:styleId="9">
    <w:name w:val="toc 3"/>
    <w:basedOn w:val="1"/>
    <w:next w:val="1"/>
    <w:qFormat/>
    <w:uiPriority w:val="39"/>
    <w:pPr>
      <w:ind w:left="840" w:leftChars="400"/>
    </w:pPr>
  </w:style>
  <w:style w:type="paragraph" w:styleId="10">
    <w:name w:val="Plain Text"/>
    <w:basedOn w:val="1"/>
    <w:link w:val="28"/>
    <w:qFormat/>
    <w:uiPriority w:val="0"/>
    <w:pPr>
      <w:widowControl/>
      <w:spacing w:before="100" w:beforeAutospacing="1" w:after="100" w:afterAutospacing="1"/>
      <w:jc w:val="left"/>
    </w:pPr>
    <w:rPr>
      <w:rFonts w:ascii="Arial Unicode MS" w:hAnsi="Arial Unicode MS" w:eastAsia="Arial Unicode MS" w:cs="Arial Unicode MS"/>
      <w:sz w:val="24"/>
    </w:rPr>
  </w:style>
  <w:style w:type="paragraph" w:styleId="11">
    <w:name w:val="endnote text"/>
    <w:basedOn w:val="1"/>
    <w:link w:val="27"/>
    <w:qFormat/>
    <w:uiPriority w:val="0"/>
    <w:pPr>
      <w:snapToGrid w:val="0"/>
      <w:jc w:val="left"/>
    </w:pPr>
  </w:style>
  <w:style w:type="paragraph" w:styleId="12">
    <w:name w:val="footer"/>
    <w:basedOn w:val="1"/>
    <w:qFormat/>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Calibri" w:hAnsi="Calibri" w:eastAsia="仿宋_GB2312" w:cs="Times New Roman"/>
      <w:spacing w:val="-6"/>
      <w:kern w:val="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39"/>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39"/>
    <w:pPr>
      <w:spacing w:line="500" w:lineRule="exact"/>
      <w:ind w:left="640" w:leftChars="200" w:firstLine="1440"/>
    </w:pPr>
  </w:style>
  <w:style w:type="paragraph" w:styleId="17">
    <w:name w:val="Normal (Web)"/>
    <w:basedOn w:val="1"/>
    <w:qFormat/>
    <w:uiPriority w:val="0"/>
    <w:pPr>
      <w:spacing w:before="100" w:beforeAutospacing="1" w:after="100" w:afterAutospacing="1"/>
      <w:jc w:val="left"/>
    </w:pPr>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ndnote reference"/>
    <w:basedOn w:val="20"/>
    <w:qFormat/>
    <w:uiPriority w:val="0"/>
    <w:rPr>
      <w:vertAlign w:val="superscript"/>
    </w:rPr>
  </w:style>
  <w:style w:type="character" w:styleId="22">
    <w:name w:val="Emphasis"/>
    <w:basedOn w:val="20"/>
    <w:qFormat/>
    <w:uiPriority w:val="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footnote reference"/>
    <w:basedOn w:val="20"/>
    <w:qFormat/>
    <w:uiPriority w:val="0"/>
    <w:rPr>
      <w:vertAlign w:val="superscript"/>
    </w:rPr>
  </w:style>
  <w:style w:type="paragraph" w:customStyle="1" w:styleId="25">
    <w:name w:val="Default"/>
    <w:qFormat/>
    <w:uiPriority w:val="0"/>
    <w:pPr>
      <w:widowControl w:val="0"/>
      <w:autoSpaceDE w:val="0"/>
      <w:autoSpaceDN w:val="0"/>
      <w:adjustRightInd w:val="0"/>
    </w:pPr>
    <w:rPr>
      <w:rFonts w:ascii="仿宋_GB2312" w:hAnsi="仿宋_GB2312" w:eastAsia="仿宋" w:cs="仿宋_GB2312"/>
      <w:color w:val="000000"/>
      <w:sz w:val="32"/>
      <w:szCs w:val="24"/>
      <w:lang w:val="en-US" w:eastAsia="zh-CN" w:bidi="ar-SA"/>
    </w:rPr>
  </w:style>
  <w:style w:type="character" w:customStyle="1" w:styleId="26">
    <w:name w:val="标题 3 Char"/>
    <w:link w:val="6"/>
    <w:qFormat/>
    <w:uiPriority w:val="0"/>
    <w:rPr>
      <w:rFonts w:ascii="Arial" w:hAnsi="Arial" w:eastAsia="仿宋_GB2312"/>
    </w:rPr>
  </w:style>
  <w:style w:type="character" w:customStyle="1" w:styleId="27">
    <w:name w:val="尾注文本 Char"/>
    <w:basedOn w:val="20"/>
    <w:link w:val="11"/>
    <w:qFormat/>
    <w:uiPriority w:val="0"/>
    <w:rPr>
      <w:rFonts w:ascii="宋体" w:hAnsi="宋体" w:eastAsia="仿宋_GB2312"/>
      <w:sz w:val="32"/>
      <w:szCs w:val="32"/>
    </w:rPr>
  </w:style>
  <w:style w:type="character" w:customStyle="1" w:styleId="28">
    <w:name w:val="纯文本 Char"/>
    <w:basedOn w:val="20"/>
    <w:link w:val="10"/>
    <w:qFormat/>
    <w:uiPriority w:val="0"/>
    <w:rPr>
      <w:rFonts w:ascii="Arial Unicode MS" w:hAnsi="Arial Unicode MS" w:eastAsia="Arial Unicode MS" w:cs="Arial Unicode MS"/>
      <w:sz w:val="2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12605</Words>
  <Characters>13160</Characters>
  <Lines>111</Lines>
  <Paragraphs>31</Paragraphs>
  <TotalTime>3004</TotalTime>
  <ScaleCrop>false</ScaleCrop>
  <LinksUpToDate>false</LinksUpToDate>
  <CharactersWithSpaces>13457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2025-04-21T22:53:00Z</dcterms:created>
  <dc:creator>admin</dc:creator>
  <cp:lastModifiedBy>蔡海鹏</cp:lastModifiedBy>
  <cp:lastPrinted>2023-01-07T11:51:00Z</cp:lastPrinted>
  <dcterms:modified xsi:type="dcterms:W3CDTF">2025-05-25T19:10:31Z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14199D046F8B4C5F9DFC123DCC2C34AC</vt:lpwstr>
  </property>
  <property fmtid="{D5CDD505-2E9C-101B-9397-08002B2CF9AE}" pid="4" name="KSOTemplateDocerSaveRecord">
    <vt:lpwstr>eyJoZGlkIjoiMmE1NWEwOWMzYjdlZWQyZDlkY2NiYTJmNGY2ODJlZmEiLCJ1c2VySWQiOiI1MzgxNjc5ODgifQ==</vt:lpwstr>
  </property>
</Properties>
</file>