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spacing w:line="360" w:lineRule="auto"/>
        <w:ind w:firstLine="0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pStyle w:val="6"/>
        <w:snapToGrid w:val="0"/>
        <w:spacing w:line="360" w:lineRule="auto"/>
        <w:ind w:firstLine="0" w:firstLineChars="0"/>
        <w:jc w:val="center"/>
        <w:rPr>
          <w:rFonts w:hint="eastAsia" w:ascii="黑体" w:eastAsia="黑体" w:cs="黑体"/>
          <w:sz w:val="36"/>
          <w:szCs w:val="36"/>
          <w:lang w:eastAsia="zh-CN"/>
        </w:rPr>
      </w:pPr>
      <w:r>
        <w:rPr>
          <w:rFonts w:hint="eastAsia" w:ascii="黑体" w:eastAsia="黑体" w:cs="黑体"/>
          <w:sz w:val="36"/>
          <w:szCs w:val="36"/>
        </w:rPr>
        <w:t>202</w:t>
      </w:r>
      <w:r>
        <w:rPr>
          <w:rFonts w:hint="eastAsia" w:asci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eastAsia="黑体" w:cs="黑体"/>
          <w:sz w:val="36"/>
          <w:szCs w:val="36"/>
        </w:rPr>
        <w:t>年度第一批水利建设市场主体监管 “双随机、一公开”</w:t>
      </w:r>
      <w:r>
        <w:rPr>
          <w:rFonts w:hint="eastAsia" w:ascii="黑体" w:eastAsia="黑体" w:cs="黑体"/>
          <w:sz w:val="36"/>
          <w:szCs w:val="36"/>
          <w:lang w:eastAsia="zh-CN"/>
        </w:rPr>
        <w:t>抽查发现问题清单</w:t>
      </w:r>
    </w:p>
    <w:tbl>
      <w:tblPr>
        <w:tblStyle w:val="4"/>
        <w:tblW w:w="15278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202"/>
        <w:gridCol w:w="4956"/>
        <w:gridCol w:w="2202"/>
        <w:gridCol w:w="3991"/>
        <w:gridCol w:w="9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64" w:type="dxa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cs="黑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2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主体名称</w:t>
            </w:r>
          </w:p>
        </w:tc>
        <w:tc>
          <w:tcPr>
            <w:tcW w:w="4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存在问题</w:t>
            </w:r>
          </w:p>
        </w:tc>
        <w:tc>
          <w:tcPr>
            <w:tcW w:w="22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处理意见</w:t>
            </w:r>
          </w:p>
        </w:tc>
        <w:tc>
          <w:tcPr>
            <w:tcW w:w="3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处理依据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0" w:hRule="atLeast"/>
        </w:trPr>
        <w:tc>
          <w:tcPr>
            <w:tcW w:w="964" w:type="dxa"/>
            <w:vAlign w:val="center"/>
          </w:tcPr>
          <w:p>
            <w:pPr>
              <w:pStyle w:val="6"/>
              <w:snapToGrid w:val="0"/>
              <w:spacing w:line="360" w:lineRule="auto"/>
              <w:ind w:firstLine="0" w:firstLineChars="0"/>
              <w:jc w:val="center"/>
              <w:rPr>
                <w:rFonts w:cs="黑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黑体" w:asciiTheme="majorEastAsia" w:hAnsiTheme="majorEastAsia" w:eastAsiaTheme="majorEastAsia"/>
                <w:sz w:val="28"/>
                <w:szCs w:val="28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福建省龙岩兴利工程建设监理有限公司</w:t>
            </w:r>
          </w:p>
        </w:tc>
        <w:tc>
          <w:tcPr>
            <w:tcW w:w="495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总监理工程师曾炎未签署文件有：监理规划、监理实施细则、监理巡视记录、监理日志、监理通知、监理列会纪要、监理月报等。</w:t>
            </w:r>
          </w:p>
          <w:p>
            <w:pPr>
              <w:pStyle w:val="2"/>
              <w:numPr>
                <w:ilvl w:val="0"/>
                <w:numId w:val="1"/>
              </w:numPr>
              <w:ind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监理员超越权限签署专业监理工程师签署的文件（陈锦强监理员签字的现场监理资料）。</w:t>
            </w:r>
          </w:p>
          <w:p>
            <w:pPr>
              <w:pStyle w:val="2"/>
              <w:numPr>
                <w:ilvl w:val="0"/>
                <w:numId w:val="1"/>
              </w:numPr>
              <w:ind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监理平行检测实施情况与检测计划不符，缺少土工、钢筋等检测项目。</w:t>
            </w:r>
          </w:p>
          <w:p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缺少安全资料。</w:t>
            </w:r>
          </w:p>
        </w:tc>
        <w:tc>
          <w:tcPr>
            <w:tcW w:w="22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限期整改，期限一个月；整改不到位或逾期未整改的，记入全国水利建设市场监管平台不良行为记录</w:t>
            </w:r>
          </w:p>
        </w:tc>
        <w:tc>
          <w:tcPr>
            <w:tcW w:w="3991" w:type="dxa"/>
          </w:tcPr>
          <w:p>
            <w:pPr>
              <w:widowControl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1.违反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《水利工程施工监理规范》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sl288-2014监理工作程序、方法和制度的规定。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theme="minorBidi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违反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《水利工程施工监理规范》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sl288-2014</w:t>
            </w:r>
            <w:r>
              <w:rPr>
                <w:rFonts w:hint="eastAsia" w:ascii="仿宋" w:hAnsi="仿宋" w:eastAsia="仿宋" w:cstheme="minorBidi"/>
                <w:sz w:val="24"/>
              </w:rPr>
              <w:t>监理人员的规定。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theme="minorBidi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违反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《水利工程施工监理规范》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sl288-2014第6.2.6条规定。</w:t>
            </w:r>
          </w:p>
          <w:p>
            <w:pPr>
              <w:pStyle w:val="2"/>
              <w:ind w:firstLine="0" w:firstLineChars="0"/>
              <w:rPr>
                <w:rFonts w:ascii="仿宋" w:hAnsi="仿宋" w:eastAsia="仿宋" w:cstheme="minorBidi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4. 违反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《水利工程施工监理规范》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sl288-2014第6.5施工安全监理的规定。</w:t>
            </w:r>
          </w:p>
        </w:tc>
        <w:tc>
          <w:tcPr>
            <w:tcW w:w="963" w:type="dxa"/>
          </w:tcPr>
          <w:p>
            <w:pPr>
              <w:pStyle w:val="6"/>
              <w:snapToGrid w:val="0"/>
              <w:spacing w:line="360" w:lineRule="auto"/>
              <w:ind w:firstLine="0" w:firstLineChars="0"/>
              <w:jc w:val="center"/>
              <w:rPr>
                <w:rFonts w:ascii="黑体" w:eastAsia="黑体" w:cs="黑体" w:hAnsi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964" w:type="dxa"/>
            <w:vAlign w:val="center"/>
          </w:tcPr>
          <w:p>
            <w:pPr>
              <w:pStyle w:val="6"/>
              <w:snapToGrid w:val="0"/>
              <w:spacing w:line="360" w:lineRule="auto"/>
              <w:ind w:firstLine="0" w:firstLineChars="0"/>
              <w:jc w:val="center"/>
              <w:rPr>
                <w:rFonts w:cs="黑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黑体" w:asciiTheme="majorEastAsia" w:hAnsiTheme="majorEastAsia" w:eastAsiaTheme="majorEastAsia"/>
                <w:sz w:val="28"/>
                <w:szCs w:val="28"/>
              </w:rPr>
              <w:t>2</w:t>
            </w:r>
          </w:p>
        </w:tc>
        <w:tc>
          <w:tcPr>
            <w:tcW w:w="220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中建长远建设有限公司</w:t>
            </w:r>
          </w:p>
        </w:tc>
        <w:tc>
          <w:tcPr>
            <w:tcW w:w="4956" w:type="dxa"/>
          </w:tcPr>
          <w:p>
            <w:pPr>
              <w:pStyle w:val="2"/>
              <w:numPr>
                <w:ilvl w:val="0"/>
                <w:numId w:val="2"/>
              </w:numPr>
              <w:ind w:firstLineChars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重要隐蔽单元工程质量等级签证及签字，备查资料不规范、不完善。</w:t>
            </w:r>
          </w:p>
          <w:p>
            <w:pPr>
              <w:pStyle w:val="2"/>
              <w:numPr>
                <w:ilvl w:val="0"/>
                <w:numId w:val="2"/>
              </w:numPr>
              <w:ind w:firstLineChars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专项施工方案签署不完整，缺2024年度施工度汛措施。</w:t>
            </w:r>
          </w:p>
          <w:p>
            <w:pPr>
              <w:pStyle w:val="2"/>
              <w:numPr>
                <w:ilvl w:val="0"/>
                <w:numId w:val="2"/>
              </w:numPr>
              <w:ind w:firstLineChars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安全技术交底不完善。</w:t>
            </w:r>
          </w:p>
        </w:tc>
        <w:tc>
          <w:tcPr>
            <w:tcW w:w="22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限期整改，期限一个月；整改不到位或逾期未整改的，记入全国水利建设市场监管平台不良行为记录</w:t>
            </w:r>
          </w:p>
        </w:tc>
        <w:tc>
          <w:tcPr>
            <w:tcW w:w="3991" w:type="dxa"/>
          </w:tcPr>
          <w:p>
            <w:pPr>
              <w:ind w:firstLine="360" w:firstLineChars="15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《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水利水电工程质量检验与评定规程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》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（sl176-2007）第4.1.6条。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《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水利水电工程施工通用安全技术规程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》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（sl398-2007）第31条。</w:t>
            </w:r>
          </w:p>
          <w:p>
            <w:pPr>
              <w:ind w:firstLine="360" w:firstLineChars="15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3、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《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水利水电工程施工安全管理导则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》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sl721-2015第7.6.9条</w:t>
            </w:r>
          </w:p>
        </w:tc>
        <w:tc>
          <w:tcPr>
            <w:tcW w:w="963" w:type="dxa"/>
          </w:tcPr>
          <w:p>
            <w:pPr>
              <w:pStyle w:val="6"/>
              <w:snapToGrid w:val="0"/>
              <w:spacing w:line="360" w:lineRule="auto"/>
              <w:ind w:firstLine="0" w:firstLineChars="0"/>
              <w:jc w:val="center"/>
              <w:rPr>
                <w:rFonts w:ascii="黑体" w:eastAsia="黑体" w:cs="黑体" w:hAnsi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</w:trPr>
        <w:tc>
          <w:tcPr>
            <w:tcW w:w="964" w:type="dxa"/>
            <w:vAlign w:val="center"/>
          </w:tcPr>
          <w:p>
            <w:pPr>
              <w:pStyle w:val="6"/>
              <w:snapToGrid w:val="0"/>
              <w:spacing w:line="360" w:lineRule="auto"/>
              <w:ind w:firstLine="0" w:firstLineChars="0"/>
              <w:jc w:val="center"/>
              <w:rPr>
                <w:rFonts w:cs="黑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220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福建丰庆建设有限公司</w:t>
            </w:r>
          </w:p>
        </w:tc>
        <w:tc>
          <w:tcPr>
            <w:tcW w:w="4956" w:type="dxa"/>
          </w:tcPr>
          <w:p>
            <w:pPr>
              <w:pStyle w:val="2"/>
              <w:numPr>
                <w:ilvl w:val="0"/>
                <w:numId w:val="3"/>
              </w:numPr>
              <w:ind w:firstLine="4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无三级安全教育记录。</w:t>
            </w:r>
          </w:p>
          <w:p>
            <w:pPr>
              <w:pStyle w:val="2"/>
              <w:numPr>
                <w:ilvl w:val="0"/>
                <w:numId w:val="3"/>
              </w:numPr>
              <w:ind w:firstLine="4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部分隐蔽联合签证记录签名不全。</w:t>
            </w:r>
          </w:p>
          <w:p>
            <w:pPr>
              <w:pStyle w:val="2"/>
              <w:numPr>
                <w:ilvl w:val="0"/>
                <w:numId w:val="3"/>
              </w:numPr>
              <w:ind w:firstLine="4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个别单元评定资料不规范。</w:t>
            </w:r>
          </w:p>
          <w:p>
            <w:pPr>
              <w:pStyle w:val="2"/>
              <w:numPr>
                <w:ilvl w:val="0"/>
                <w:numId w:val="3"/>
              </w:numPr>
              <w:ind w:firstLine="4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部分施工技术方案资料签名不规范。</w:t>
            </w:r>
          </w:p>
          <w:p>
            <w:pPr>
              <w:pStyle w:val="2"/>
              <w:numPr>
                <w:ilvl w:val="0"/>
                <w:numId w:val="3"/>
              </w:numPr>
              <w:ind w:firstLine="4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相对密实度及土工布未检测。</w:t>
            </w:r>
          </w:p>
        </w:tc>
        <w:tc>
          <w:tcPr>
            <w:tcW w:w="22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限期整改，期限一个月；整改不到位或逾期未整改的，记入全国水利建设市场监管平台不良行为记录</w:t>
            </w:r>
          </w:p>
        </w:tc>
        <w:tc>
          <w:tcPr>
            <w:tcW w:w="3991" w:type="dxa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" w:hAnsi="仿宋" w:eastAsia="仿宋" w:cstheme="minorBidi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1、《</w:t>
            </w:r>
            <w:r>
              <w:rPr>
                <w:rFonts w:hint="eastAsia" w:ascii="仿宋" w:hAnsi="仿宋" w:eastAsia="仿宋" w:cstheme="minorBidi"/>
                <w:sz w:val="24"/>
              </w:rPr>
              <w:t>水利水电工程施工安全管理导则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》</w:t>
            </w:r>
            <w:r>
              <w:rPr>
                <w:rFonts w:hint="eastAsia" w:ascii="仿宋" w:hAnsi="仿宋" w:eastAsia="仿宋" w:cstheme="minorBidi"/>
                <w:sz w:val="24"/>
              </w:rPr>
              <w:t>sl721-2015第7.6.9条。</w:t>
            </w:r>
          </w:p>
          <w:p>
            <w:pPr>
              <w:pStyle w:val="2"/>
              <w:ind w:firstLine="42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2、3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《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水利水电工程施工质量检验与评定规程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》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（sl-176-2007）第4.2.1条。</w:t>
            </w:r>
          </w:p>
          <w:p>
            <w:pPr>
              <w:pStyle w:val="2"/>
              <w:ind w:firstLineChars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4. 《水利水电工程施工通用安全技术规程》（sl398-2007）第31条。</w:t>
            </w:r>
          </w:p>
          <w:p>
            <w:pPr>
              <w:pStyle w:val="2"/>
              <w:ind w:firstLineChars="0"/>
              <w:rPr>
                <w:rFonts w:ascii="仿宋" w:hAnsi="仿宋" w:eastAsia="仿宋" w:cstheme="minorBidi"/>
                <w:sz w:val="24"/>
              </w:rPr>
            </w:pPr>
            <w:r>
              <w:rPr>
                <w:rFonts w:hint="eastAsia" w:ascii="仿宋" w:hAnsi="仿宋" w:eastAsia="仿宋" w:cstheme="minorBidi"/>
                <w:sz w:val="24"/>
              </w:rPr>
              <w:t>5、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《</w:t>
            </w:r>
            <w:r>
              <w:rPr>
                <w:rFonts w:hint="eastAsia" w:ascii="仿宋" w:hAnsi="仿宋" w:eastAsia="仿宋" w:cstheme="minorBidi"/>
                <w:sz w:val="24"/>
              </w:rPr>
              <w:t>水利工程质量检测技术规程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》</w:t>
            </w:r>
            <w:r>
              <w:rPr>
                <w:rFonts w:hint="eastAsia" w:ascii="仿宋" w:hAnsi="仿宋" w:eastAsia="仿宋" w:cstheme="minorBidi"/>
                <w:sz w:val="24"/>
              </w:rPr>
              <w:t>sl734-2016</w:t>
            </w:r>
          </w:p>
        </w:tc>
        <w:tc>
          <w:tcPr>
            <w:tcW w:w="963" w:type="dxa"/>
          </w:tcPr>
          <w:p>
            <w:pPr>
              <w:pStyle w:val="6"/>
              <w:snapToGrid w:val="0"/>
              <w:spacing w:line="360" w:lineRule="auto"/>
              <w:ind w:firstLine="0" w:firstLineChars="0"/>
              <w:jc w:val="center"/>
              <w:rPr>
                <w:rFonts w:ascii="黑体" w:eastAsia="黑体" w:cs="黑体" w:hAnsi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964" w:type="dxa"/>
            <w:vAlign w:val="center"/>
          </w:tcPr>
          <w:p>
            <w:pPr>
              <w:pStyle w:val="6"/>
              <w:snapToGrid w:val="0"/>
              <w:spacing w:line="360" w:lineRule="auto"/>
              <w:ind w:firstLine="0" w:firstLineChars="0"/>
              <w:jc w:val="center"/>
              <w:rPr>
                <w:rFonts w:cs="黑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黑体" w:asciiTheme="majorEastAsia" w:hAnsiTheme="majorEastAsia" w:eastAsiaTheme="majorEastAsia"/>
                <w:sz w:val="28"/>
                <w:szCs w:val="28"/>
              </w:rPr>
              <w:t>4</w:t>
            </w:r>
          </w:p>
        </w:tc>
        <w:tc>
          <w:tcPr>
            <w:tcW w:w="220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福建省宏禹水利水电咨询设计院有限公司</w:t>
            </w:r>
          </w:p>
        </w:tc>
        <w:tc>
          <w:tcPr>
            <w:tcW w:w="4956" w:type="dxa"/>
          </w:tcPr>
          <w:p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无勘测作业安全生产保证措施。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未对较大安全风险的设计变更提出安全风险评价。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未确定度汛标准和度汛要求。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现场设代人员现场时间无记录。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限期整改，期限一个月；整改不到位或逾期未整改的，记入全国水利建设市场监管平台不良行为记录</w:t>
            </w:r>
          </w:p>
        </w:tc>
        <w:tc>
          <w:tcPr>
            <w:tcW w:w="3991" w:type="dxa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1-3《建设工程安全生产管理条例》第4、13条。</w:t>
            </w:r>
          </w:p>
          <w:p>
            <w:pPr>
              <w:pStyle w:val="2"/>
              <w:ind w:firstLine="420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4-5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《水利工程质量管理规定》第27条。</w:t>
            </w:r>
          </w:p>
        </w:tc>
        <w:tc>
          <w:tcPr>
            <w:tcW w:w="963" w:type="dxa"/>
          </w:tcPr>
          <w:p>
            <w:pPr>
              <w:pStyle w:val="6"/>
              <w:snapToGrid w:val="0"/>
              <w:spacing w:line="360" w:lineRule="auto"/>
              <w:ind w:firstLine="0" w:firstLineChars="0"/>
              <w:jc w:val="center"/>
              <w:rPr>
                <w:rFonts w:ascii="黑体" w:eastAsia="黑体" w:cs="黑体" w:hAnsiTheme="minorHAnsi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701" w:right="1701" w:bottom="158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816DA4"/>
    <w:multiLevelType w:val="multilevel"/>
    <w:tmpl w:val="01816DA4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4043CC1"/>
    <w:multiLevelType w:val="multilevel"/>
    <w:tmpl w:val="04043CC1"/>
    <w:lvl w:ilvl="0" w:tentative="0">
      <w:start w:val="1"/>
      <w:numFmt w:val="decimal"/>
      <w:lvlText w:val="%1、"/>
      <w:lvlJc w:val="left"/>
      <w:pPr>
        <w:ind w:left="785" w:hanging="585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A184257"/>
    <w:multiLevelType w:val="multilevel"/>
    <w:tmpl w:val="4A184257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F344D74"/>
    <w:multiLevelType w:val="singleLevel"/>
    <w:tmpl w:val="6F344D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A38BE"/>
    <w:rsid w:val="00A903D5"/>
    <w:rsid w:val="01C274D6"/>
    <w:rsid w:val="020C396B"/>
    <w:rsid w:val="047F6A36"/>
    <w:rsid w:val="04845678"/>
    <w:rsid w:val="0508088D"/>
    <w:rsid w:val="0A11564E"/>
    <w:rsid w:val="0B213506"/>
    <w:rsid w:val="0BEF4CF1"/>
    <w:rsid w:val="0FDC4187"/>
    <w:rsid w:val="136308EE"/>
    <w:rsid w:val="19274253"/>
    <w:rsid w:val="23954F22"/>
    <w:rsid w:val="240D3E99"/>
    <w:rsid w:val="24A76466"/>
    <w:rsid w:val="26302EE8"/>
    <w:rsid w:val="27106747"/>
    <w:rsid w:val="29D50223"/>
    <w:rsid w:val="2AB925A6"/>
    <w:rsid w:val="2D064CA1"/>
    <w:rsid w:val="2D801AB4"/>
    <w:rsid w:val="357C3ACE"/>
    <w:rsid w:val="36AB673F"/>
    <w:rsid w:val="36E26DFD"/>
    <w:rsid w:val="3D114E3F"/>
    <w:rsid w:val="4185310F"/>
    <w:rsid w:val="41B12BCE"/>
    <w:rsid w:val="42BD2E0C"/>
    <w:rsid w:val="4CBB71D3"/>
    <w:rsid w:val="52FD5035"/>
    <w:rsid w:val="539800D4"/>
    <w:rsid w:val="57DC03D2"/>
    <w:rsid w:val="57FE2EFC"/>
    <w:rsid w:val="60E7456D"/>
    <w:rsid w:val="62544211"/>
    <w:rsid w:val="6D652B07"/>
    <w:rsid w:val="6E1938AF"/>
    <w:rsid w:val="717E363C"/>
    <w:rsid w:val="71B23116"/>
    <w:rsid w:val="743A3549"/>
    <w:rsid w:val="74524843"/>
    <w:rsid w:val="74E221F2"/>
    <w:rsid w:val="7577036C"/>
    <w:rsid w:val="78777631"/>
    <w:rsid w:val="7BBA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440" w:lineRule="exact"/>
      <w:ind w:firstLine="200" w:firstLineChars="200"/>
    </w:p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Normal Indent1"/>
    <w:basedOn w:val="1"/>
    <w:qFormat/>
    <w:uiPriority w:val="0"/>
    <w:pPr>
      <w:spacing w:line="440" w:lineRule="exact"/>
      <w:ind w:firstLine="20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2022-09-26T02:37:00Z</dcterms:created>
  <dc:creator>HP</dc:creator>
  <cp:lastModifiedBy>张松</cp:lastModifiedBy>
  <dcterms:modified xsi:type="dcterms:W3CDTF">2024-07-10T07:18:15Z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32799F5B3C904C1CA0CBEDA56BD17AEF</vt:lpwstr>
  </property>
</Properties>
</file>