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-718" w:rightChars="-34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ind w:right="-718" w:rightChars="-34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大中型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水闸工程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"/>
        </w:rPr>
        <w:t>标准化管理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评价标准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304"/>
        <w:gridCol w:w="2931"/>
        <w:gridCol w:w="3435"/>
        <w:gridCol w:w="900"/>
        <w:gridCol w:w="5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  <w:t>标准化基本要求</w:t>
            </w:r>
          </w:p>
        </w:tc>
        <w:tc>
          <w:tcPr>
            <w:tcW w:w="955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一  工程状况（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分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1.工程面貌与环境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①工程整体完好。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②工程管理范围整洁有序。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③工程管理范围绿化、水土保持良好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工程整体完好、外观整洁，工程管理范围整洁有序；工程管理范围绿化程度较高，水土保持良好，水质和水生态环境良好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①工程形象面貌较差，扣10分。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②工程管理范围杂乱，存在垃圾杂物堆放问题，扣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③工程管理范围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绿化区域绿化率60%～80%扣2分，低于60%扣5分。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④管理范围存在水土流失现象，水生态环境差，扣5分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2.闸室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①闸室结构（闸墩、底板、边墙等）及两岸连接建筑物安全，无明显倾斜、开裂、不均匀沉降等重大缺陷。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②消能防冲及防渗排水设施运行正常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闸室结构（闸墩、底板、边墙等）及两岸连接建筑物安全，无倾斜、开裂、不均匀沉降等安全缺陷；消能防冲及防渗排水设施完整、运行正常；闸室结构表面无破损、露筋、剥蚀、开裂；闸室无漂浮物，上下游连接段无明显淤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  <w:t>50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①闸室结构（闸墩、底板、边墙等）及两岸连接建筑物不安全，存在明显倾斜、开裂、不均匀沉降等重大缺陷，此项不得分。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消能防冲及防渗排水设施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破损，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影响正常运行，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③混凝土结构破损、露筋、剥蚀等，每处扣</w:t>
            </w:r>
            <w:r>
              <w:rPr>
                <w:rFonts w:hint="default" w:ascii="仿宋_GB2312" w:hAnsi="仿宋_GB2312" w:eastAsia="仿宋_GB2312" w:cs="仿宋_GB2312"/>
                <w:szCs w:val="21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最高扣</w:t>
            </w:r>
            <w:r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分；闸室结构存在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贯穿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裂缝，每处扣5分，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最高扣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④闸室有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成堆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漂浮物，扣</w:t>
            </w:r>
            <w:r>
              <w:rPr>
                <w:rFonts w:hint="default" w:ascii="仿宋_GB2312" w:hAnsi="仿宋_GB2312" w:eastAsia="仿宋_GB2312" w:cs="仿宋_GB2312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分；闸室上下游连接段淤积明显，扣</w:t>
            </w:r>
            <w:r>
              <w:rPr>
                <w:rFonts w:hint="default" w:ascii="仿宋_GB2312" w:hAnsi="仿宋_GB2312" w:eastAsia="仿宋_GB2312" w:cs="仿宋_GB2312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一  工程状况（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分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3.闸门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①闸门能正常启闭。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②闸门无裂纹，无明显变形、卡阻，止水正常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闸门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启闭顺畅，止水正常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，表面整洁，无裂纹，无明显变形、卡阻、锈蚀，埋件、承载构件、行走支承零部件无缺陷，止水装置密封可靠；吊耳无裂纹或锈损；按规定开展安全检测及设备等级评定；冰冻期间对闸门采取防冰冻措施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①闸门无法正常启闭，此项不得分。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②闸门表面不整洁，扣5分；止水效果差，漏水严重，扣10分。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③门体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变形、锈蚀、卡阻等缺陷，扣10分。</w:t>
            </w:r>
          </w:p>
          <w:p>
            <w:pPr>
              <w:widowControl/>
              <w:spacing w:line="320" w:lineRule="exact"/>
              <w:jc w:val="both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④行走支承有缺陷，扣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分；埋件、承载构件变形，扣5分；吊耳存在裂纹或锈损，扣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⑤未按规定开展闸门安全检测及设备等级评定，扣5分。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⑥冰冻期间未对闸门采取防冰冻措施，扣5分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4.启闭机及机电设备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启闭设施完好，运行正常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②机电设备运行正常，指示准确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启闭设备整洁，启闭机运行顺畅，无锈蚀、漏油、损坏等，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钢丝绳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、螺杆或液压部件等无异常，保护和限位装置有效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；机电设备完好、运行正常，按规定对电气设备、指示仪表、避雷设施、接地等进行定期检验，无安全隐患；线路整齐、牢固、标注清晰；按规定开展安全检测及设备等级评定；备用电源可靠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①启闭设施或机电设备无法正常运行，此项不得分。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启闭机有明显锈蚀扣5分；漏油严重扣5分；无保护或限位装置扣5分；保护或限位装置安装不到位，扣5分；钢丝绳有断丝、缠绕厚度等不满足规范要求，螺杆有弯曲或液压部件存在严重缺陷，扣5分；启闭机房开裂、漏水、环境卫生差等，扣5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③电气设备、指示仪表、避雷设施、接地等未定期检验，扣5分；线路凌乱、松动、标注不清晰，扣5分。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④未按规定开展设施设备安全检测及设备等级评定，扣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⑤备用电源未按有关规定维护，扣5分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5.上下游河道和堤防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①河道无影响运行安全的严重冲刷或淤积。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②两岸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</w:rPr>
              <w:t>堤防规整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上下游河道无明显淤积或冲刷；两岸堤防完整、完好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①管理范围内上下游河道冲刷或淤积严重，影响运行安全，扣20分；冲刷或淤积明显，尚不影响安全，扣10分。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②两岸堤防存在渗漏、塌陷、开裂等现象，每个缺陷扣5分，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val="en-US" w:eastAsia="zh-CN"/>
              </w:rPr>
              <w:t>最高扣2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一  工程状况（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50分）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6.管理设施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水情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测报、安全监测设施满足运行管理要求。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防汛道路、通信条件、电力供应满足防汛抢险要求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雨水情测报、安全监测、视频监视、警报设施，防汛道路、通信条件、电力供应、管理用房满足运行管理和防汛抢险要求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雨水情测报、安全监测设施设置不足，扣10分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highlight w:val="none"/>
                <w:shd w:val="clear" w:color="auto" w:fill="FFFFFF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视频监视、警报设施设置不足，稳定性、可靠性存在缺陷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防汛道路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路况差、通信条件不可靠、电力供应不稳定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管理用房存在不足，扣5分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标牌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①设置有责任人公示牌。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②设置有安全警示标牌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工程管理区域内设置必要的工程简介牌、责任人公示牌、安全警示等标牌，内容准确清晰，设置合理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①工程简介、保护要求、宣传标识错乱、模糊，扣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责任人公示牌内容不实、损坏模糊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③安全警示标牌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布局不合理、埋设不牢固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二  安全管理（</w:t>
            </w:r>
            <w:r>
              <w:rPr>
                <w:rFonts w:ascii="Times New Roman" w:hAnsi="Times New Roman" w:cs="宋体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0分）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8.注册登记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①按规定完成注册登记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按照《水闸注册登记管理办法》完成注册登记；登记信息完整准确，更新及时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①未按规定注册登记，此项不得分。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注册登记信息不完整、不准确，存在虚假或错误问题等，扣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0分。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  <w:highlight w:val="lightGray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③注册登记信息变更不及时，信息与工程实际存在差异，扣10分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工程划界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①工程管理范围完成划定，完成公告并设有界桩。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②工程保护范围和保护要求明确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按照规定划定工程管理范围和保护范围，管理范围设有界桩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（实地桩或电子桩）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和公告牌，保护范围和保护要求明确；管理范围内土地使用权属明确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①未完成工程管理范围划定，此项不得分。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②工程管理范围界桩和公告牌设置不合理、不齐全，扣1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③工程保护范围划定率不足50%扣10分，未划定扣15分。</w:t>
            </w:r>
          </w:p>
          <w:p>
            <w:pPr>
              <w:widowControl/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④土地使用证领取率低于60%，每低10%扣2分，最高扣10分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二  安全管理（</w:t>
            </w:r>
            <w:r>
              <w:rPr>
                <w:rFonts w:ascii="Times New Roman" w:hAnsi="Times New Roman" w:cs="宋体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0分）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10.保护管理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①开展水事巡查工作，处置发现问题，做好巡查记录。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②工程管理范围内无违规建设行为，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工程保护范围内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无危害工程运行安全的活动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依法开展工程管理范围和保护范围巡查，发现水事违法行为予以制止，并做好调查取证、及时上报、配合查处工作，工程管理范围内无违规建设行为，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工程保护范围内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无危害工程安全活动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①未有效开展水事巡查工作，巡查不到位、记录不规范，扣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②发现问题未及时有效制止，调查取证、报告投诉、配合查处不力，扣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③工程管理范围内存在违规建设行为或危害工程安全活动，扣10分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工程保护范围内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存在危害工程安全活动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11.安全鉴定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①按规定开展安全鉴定。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②鉴定发现问题落实处理措施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按照《水闸安全鉴定管理办法》及《水闸安全评价导则》开展安全鉴定；鉴定成果用于指导水闸的安全运行管理和除险加固、更新改造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①未在规定期限内开展安全鉴定，此项不得分。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②鉴定承担单位不符合规定，扣20分。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③鉴定成果未用于指导水闸安全运行、更新改造和除险加固等，扣15分。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④末次安全鉴定中存在的问题，整改不到位，有遗留问题未整改，扣15分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12.防汛管理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①有防汛抢险应急预案并演练。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②有必要防汛物资。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③预警、预报信息畅通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防汛组织体系健全；防汛责任制和防汛抢险应急预案落实并演练；按规定开展汛前检查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配备必要的抢险工具、器材设备，明确大宗防汛物资存放方式和调运线路，物资管理资料完备；预警、预报信息畅通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①防汛组织体系不健全，防汛责任制不落实，扣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②无防汛抢险应急预案，扣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分；防汛抢险应急预案编制质量差，可操作性不强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未开展演练，扣5分；防汛抢险队伍组织、人员、任务、培训未落实，扣5分。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③未开展汛前检查，扣5分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④抢险工具、器材配备不完备、大宗防汛物资存放方式或调运线路不明确，扣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分；物资管理资料不完备，扣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</w:rPr>
              <w:t>⑤预警、报汛、调度体系不完善，扣5分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1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二  安全管理（</w:t>
            </w:r>
            <w:r>
              <w:rPr>
                <w:rFonts w:ascii="Times New Roman" w:hAnsi="Times New Roman" w:cs="宋体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0分）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13.安全生产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①落实安全生产责任制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开展安全生产隐患排查治理，建立台账记录。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编制安全生产应急预案并开展演练。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</w:rPr>
              <w:t>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</w:rPr>
              <w:t>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</w:rPr>
              <w:t>生产安全事故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安全生产责任制落实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定期开展安全隐患排查治理，排查治理记录规范；开展安全生产宣传和培训，安全设施及器具配备齐全并定期检验，安全警示标识、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危险源辨识牌等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设置规范；编制安全生产应急预案并完成报备，开展演练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年内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及以上生产安全事故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①1年内发生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及以上生产安全事故，此项不得分。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②安全生产责任落实不到位，制度不健全，扣10分。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安全生产隐患排查不及时，隐患整改治理不彻底，台账记录不规范，扣10分。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安全设施及器具不齐全，未定期检验或不能正常使用，安全警示标识、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危险源辨识牌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设置不规范，扣5分。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安全生产应急预案未编制、未报备，扣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⑥未按要求开展安全生产宣传、培训和演练，扣5分。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3年内发生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及以上生产安全事故，扣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三  运行管护（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14.管理细则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①制订有关技术管理实施细则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结合工程具体情况，及时制订完善水闸技术管理实施细则（如工程巡视检查和安全监测制度、工程调度运用制度、闸门启闭机操作规程、工程维修养护制度等），内容清晰，要求明确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①未制定管理实施细则，此项不得分。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②细则内容不完善，扣10分。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③未及时修订技术管理实施细则，扣10分。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④细则针对性、可操作性不强，扣10分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15.工程巡查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①开展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工程巡查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做好巡查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记录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，发现问题及时处理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按照《水闸技术管理规程》开展日常检查、定期检查和专项检查，巡查路线、频次和内容符合要求，记录规范，发现问题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处理及时到位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①未开展工程巡查，此项不得分。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②巡查不规范，巡查路线、频次和内容不符合规定，扣15分。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③巡查记录不规范、不准确，扣1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④巡查发现问题处理不及时到位，扣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16.安全监测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①开展安全监测。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②做好监测数据记录、整编、分析工作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按照《水闸安全监测技术规范》要求开展安全监测，监测项目、频次符合要求；数据可靠，记录完整，资料整编分析有效；定期开展监测设备校验和比测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未开展安全监测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Style w:val="18"/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8"/>
                <w:rFonts w:hint="default" w:ascii="仿宋_GB2312" w:hAnsi="仿宋_GB2312" w:eastAsia="仿宋_GB2312" w:cs="仿宋_GB2312"/>
                <w:sz w:val="21"/>
                <w:szCs w:val="21"/>
              </w:rPr>
              <w:t>②监测项目、频次、记录等不规范，扣15分。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Style w:val="18"/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8"/>
                <w:rFonts w:hint="default" w:ascii="仿宋_GB2312" w:hAnsi="仿宋_GB2312" w:eastAsia="仿宋_GB2312" w:cs="仿宋_GB2312"/>
                <w:sz w:val="21"/>
                <w:szCs w:val="21"/>
              </w:rPr>
              <w:t>③缺测严重，数据可靠性差，整编分析不及时，扣15分。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Style w:val="18"/>
                <w:rFonts w:hint="default" w:ascii="仿宋_GB2312" w:hAnsi="仿宋_GB2312" w:eastAsia="仿宋_GB2312" w:cs="仿宋_GB2312"/>
                <w:sz w:val="21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监测设施</w:t>
            </w:r>
            <w:r>
              <w:rPr>
                <w:rStyle w:val="18"/>
                <w:rFonts w:hint="default" w:ascii="仿宋_GB2312" w:hAnsi="仿宋_GB2312" w:eastAsia="仿宋_GB2312" w:cs="仿宋_GB2312"/>
                <w:sz w:val="21"/>
                <w:szCs w:val="21"/>
              </w:rPr>
              <w:t>考证资料缺失或不可靠，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未定期开展监测设备校准，未定期</w:t>
            </w:r>
            <w:r>
              <w:rPr>
                <w:rStyle w:val="18"/>
                <w:rFonts w:hint="default" w:ascii="仿宋_GB2312" w:hAnsi="仿宋_GB2312" w:eastAsia="仿宋_GB2312" w:cs="仿宋_GB2312"/>
                <w:sz w:val="21"/>
                <w:szCs w:val="21"/>
              </w:rPr>
              <w:t>对自动化监测项目进行人工比测，扣1</w:t>
            </w:r>
            <w:r>
              <w:rPr>
                <w:rStyle w:val="18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Style w:val="18"/>
                <w:rFonts w:hint="default" w:ascii="仿宋_GB2312" w:hAnsi="仿宋_GB2312" w:eastAsia="仿宋_GB2312" w:cs="仿宋_GB2312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三  运行管护（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17.维修养护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①开展工程维修养护。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②有维修养护记录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按照有关规定开展维修养护，制定维修养护计划，实施过程规范，维修养护到位，工作记录完整；加强项目实施过程管理和验收，项目资料齐全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①未开展维修养护，此项不得分。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②维修养护不及时、不到位，扣15分。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③未制定维修养护计划，实施过程不规范，未按计划完成，扣10分。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④维修养护工作验收标准不明确，过程管理不规范，扣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⑤大修项目无设计、无审批，验收不及时，扣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⑥维修养护记录缺失或混乱，扣5分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18.控制运用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①有按规定批复或备案的水闸控制运用计划或调度方案。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②调度运行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和指令执行到位。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③有调度运用记录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有水闸控制运用计划或调度方案并按规定申请批复或备案；按控制运用计划或上级主管部门的指令组织实施，并做好记录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①无水闸控制运用计划或调度方案，此项不得分。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控制运用计划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调度方案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未按规定报批或备案，扣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控制运用计划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调度方案编制质量差，调度原则、调度权限不清晰，扣5分；修订不及时，调度指标和调度方式变动未履行程序，扣10分。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未按计划或指令实施水闸控制运用，扣1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调度过程记录不完整、不规范等，扣5分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19.操作运行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①有闸门及启闭设备操作规程，并明示。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②操作流程规范，有操作记录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按照规定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编制闸门及启闭设备操作规程，并明示；根据工程实际，编制详细的操作手册，内容应包括闸门启闭机、机电设备等操作流程等；严格按规程和调度指令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操作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运行，操作人员固定，定期培训；无人为事故；操作记录规范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①无闸门及启闭设备操作规程，此项不得分。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操作规程未明示，扣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5分；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未按规程进行操作，扣1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分；操作人员不固定，不能定期培训，扣5分。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③有记录不规范，无负责人签字或别人代签，扣5分；操作完成后，未按要求及时反馈操作结果，每发现一次扣1分，最高扣5分。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④未编制详细操作手册，扣5分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四  管理保障（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  <w:lang w:val="en-US" w:eastAsia="zh-CN"/>
              </w:rPr>
              <w:t>180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.管理体制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①管理主体明确，责任落实到人。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②岗位设置和人员满足运行管理需要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管理体制顺畅，权责明晰，责任落实；管养机制健全，岗位设置合理，人员满足工程管理需要；管理单位有职工培训计划并按计划落实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①管理体制不顺畅，扣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②管理机构不健全，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岗位设置与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职责不清晰，扣1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③运行管护机制不健全，未实现管养分离，扣10分。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④未开展业务培训，人员专业技能不足，扣5分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四  管理保障（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  <w:lang w:val="en-US" w:eastAsia="zh-CN"/>
              </w:rPr>
              <w:t>180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.标准化工作手册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①编制</w:t>
            </w: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工作手册，满足运行管理需要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按照有关标准及文件要求，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编制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工作手册，细化到管理事项、管理程序和管理岗位，针对性和执行性强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①未编制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工作手册，此项不得分。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②标准化管理手册编制质量差，不能满足相关标准及文件要求，扣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③标准化管理手册未细化，针对性和可操作性不强，扣5分。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④未按标准化管理手册执行，扣5分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.规章制度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①管理制度满足需要，明示关键制度和规程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建立健全并不断完善各项管理制度，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内容完整，要求明确，按规定明示关键制度和规程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①管理制度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不健全，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②管理制度针对性和操作性不强，落实或执行效果差，扣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③闸门操作等关键制度和规程未明示，扣10分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.经费保障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①工程运行管理经费和维修养护经费满足工程管护需要。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②人员工资足额兑现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管理单位运行管理经费和工程维修养护经费及时足额保障，满足工程管护需要，来源渠道畅通稳定，财务管理规范；人员工资按时足额兑现，福利待遇不低于当地平均水平，按规定落实职工养老、医疗等社会保险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①运行管理、维修养护等费用不能及时足额到位，扣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②运行管理、维修养护等经费使用不规范，扣1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③人员工资不能按时发放，福利待遇低于当地平均水平，扣10分。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④未按规定落实职工养老、医疗等社会保险，扣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.精神文明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①基层党建工作扎实，领导班子团结。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②单位秩序良好，职工爱岗敬业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重视党建工作，注重精神文明和水文化建设，管理单位内部秩序良好，领导班子团结，职工爱岗敬业，文体活动丰富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①领导班子成员受到党纪政纪处分，且在影响期内，此项不得分。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②上级主管部门对单位领导班子的年度考核结果不合格，扣10分。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③单位秩序一般，精神文明和水文化建设不健全，扣10分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四  管理保障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  <w:lang w:val="en-US" w:eastAsia="zh-CN"/>
              </w:rPr>
              <w:t>180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.档案管理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①档案有集中存放场所，档案管理人员落实，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档案设施完好。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②档案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资料规范齐全，存放管理有序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档案管理制度健全，配备档案管理人员；档案设施完好，各类档案分类清楚，存放有序，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管理规范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；档案管理信息化程度高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①档案管理制度不健全，管理不规范，设施不足，扣10分。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②档案管理人员不明确，扣5分。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③档案内容不完整、资料缺失，扣10分。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工程档案信息化程度低，扣5分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69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/>
              </w:rPr>
              <w:t>信息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  <w:lang w:eastAsia="zh-CN"/>
              </w:rPr>
              <w:t>化建设（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100分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信息化平台建设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①应用工程信息化平台。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信息动态管理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建立工程管理信息化平台，实现工程在线监管和自动化控制；工程信息及时动态更新，与水利部相关平台实现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信息融合共享、上下贯通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未应用工程信息化平台，此项不得分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。</w:t>
            </w:r>
          </w:p>
          <w:p>
            <w:pPr>
              <w:widowControl/>
              <w:snapToGrid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②未建立工程管理信息化平台，扣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>10分。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③未实现在线监管或自动化控制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④工程信息不全面、不准确，或未及时更新，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⑤工程信息未与水利部相关平台信息融合共享，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自动化监测预警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监测监控基本信息录入平台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监测监控出现异常时及时采取措施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雨水情、安全监测、视频监控等关键信息接入信息化平台，实现动态管理；监测监控数据异常时，能够自动识别险情，及时预报预警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雨水情、安全监测、视频监控等关键信息未接入信息化平台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数据异常时，无法自动识别险情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出现险情时，无法及时预警预报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6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28.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网络安全管理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制定并落实网络平台管理制度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网络平台安全管理制度体系健全；网络安全防护措施完善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218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网络平台安全管理制度体系不健全，扣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网络安全防护措施存在漏洞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说明：1.本标准中“标准化基本要求”为省级制定标准化评价标准的基本要求，“水利部评价标准”为申报水利部标准化评价的标准。</w:t>
      </w:r>
    </w:p>
    <w:p>
      <w:pPr>
        <w:adjustRightInd w:val="0"/>
        <w:snapToGrid w:val="0"/>
        <w:ind w:left="840" w:leftChars="300" w:right="-541" w:rightChars="-258" w:hanging="210" w:hangingChars="100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2.部级标准化评价，根据标准化评价内容及要求采用千分制考核，总分达到920分（含）以上，且</w:t>
      </w:r>
      <w:r>
        <w:rPr>
          <w:rFonts w:hint="eastAsia" w:ascii="仿宋_GB2312" w:eastAsia="仿宋_GB2312"/>
          <w:kern w:val="0"/>
          <w:szCs w:val="21"/>
          <w:lang w:eastAsia="zh-CN"/>
        </w:rPr>
        <w:t>工程状况、安全管理、运行管护、管理保障四个类别</w:t>
      </w:r>
    </w:p>
    <w:p>
      <w:pPr>
        <w:adjustRightInd w:val="0"/>
        <w:snapToGrid w:val="0"/>
        <w:ind w:left="945" w:leftChars="400" w:right="-541" w:rightChars="-258" w:hanging="105" w:hangingChars="5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评价得分均不低于该类别总分85%的为合格。评价中若出现合理缺项，合理缺项评价得分计算方法为“合理缺项得分=[项目所在类别评价得分/（项目</w:t>
      </w:r>
    </w:p>
    <w:p>
      <w:pPr>
        <w:adjustRightInd w:val="0"/>
        <w:snapToGrid w:val="0"/>
        <w:ind w:left="945" w:leftChars="400" w:right="-541" w:rightChars="-258" w:hanging="105" w:hangingChars="5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所在类别标准分-合理缺项标准分）]×合理缺项标准分”。</w:t>
      </w:r>
    </w:p>
    <w:p>
      <w:pPr>
        <w:adjustRightInd w:val="0"/>
        <w:snapToGrid w:val="0"/>
        <w:ind w:firstLine="630" w:firstLineChars="3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3.表中扣分值为评分要点的最高扣分值，评分时可依据具体情况在该分值范围内酌情扣分。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7" w:right="1077" w:bottom="1417" w:left="107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F0Op/RAAAAAwEAAA8AAAAAAAAAAQAgAAAAIgAAAGRycy9kb3ducmV2Lnht&#10;bFBLAQIUABQAAAAIAIdO4kCjMR0ZxwEAAI0DAAAOAAAAAAAAAAEAIAAAAC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9B6"/>
    <w:rsid w:val="000567EF"/>
    <w:rsid w:val="000734FE"/>
    <w:rsid w:val="000A7BE9"/>
    <w:rsid w:val="000C534C"/>
    <w:rsid w:val="000F23FE"/>
    <w:rsid w:val="00114B13"/>
    <w:rsid w:val="00157B87"/>
    <w:rsid w:val="0017493D"/>
    <w:rsid w:val="001C7519"/>
    <w:rsid w:val="001F061D"/>
    <w:rsid w:val="001F3159"/>
    <w:rsid w:val="00261258"/>
    <w:rsid w:val="00266CCF"/>
    <w:rsid w:val="00271EAC"/>
    <w:rsid w:val="002A1222"/>
    <w:rsid w:val="0030107E"/>
    <w:rsid w:val="00315B18"/>
    <w:rsid w:val="0033146F"/>
    <w:rsid w:val="00360FA6"/>
    <w:rsid w:val="0037392E"/>
    <w:rsid w:val="003762E0"/>
    <w:rsid w:val="003B5B47"/>
    <w:rsid w:val="00402B24"/>
    <w:rsid w:val="004235B0"/>
    <w:rsid w:val="00484F27"/>
    <w:rsid w:val="004D0B3A"/>
    <w:rsid w:val="00500B41"/>
    <w:rsid w:val="005757A9"/>
    <w:rsid w:val="0064446A"/>
    <w:rsid w:val="00645012"/>
    <w:rsid w:val="00731604"/>
    <w:rsid w:val="00744E3D"/>
    <w:rsid w:val="00763ABE"/>
    <w:rsid w:val="007644BD"/>
    <w:rsid w:val="007B0F36"/>
    <w:rsid w:val="007B45AD"/>
    <w:rsid w:val="007C0C46"/>
    <w:rsid w:val="007E2FD9"/>
    <w:rsid w:val="0081425B"/>
    <w:rsid w:val="00840E32"/>
    <w:rsid w:val="0086057E"/>
    <w:rsid w:val="0088787C"/>
    <w:rsid w:val="008B43C4"/>
    <w:rsid w:val="008D269D"/>
    <w:rsid w:val="008D2BDD"/>
    <w:rsid w:val="00901A94"/>
    <w:rsid w:val="009410C7"/>
    <w:rsid w:val="00A263CA"/>
    <w:rsid w:val="00A54511"/>
    <w:rsid w:val="00A57942"/>
    <w:rsid w:val="00A70CE1"/>
    <w:rsid w:val="00A94F1F"/>
    <w:rsid w:val="00AD3322"/>
    <w:rsid w:val="00AE0FCF"/>
    <w:rsid w:val="00AE3170"/>
    <w:rsid w:val="00B07AF1"/>
    <w:rsid w:val="00B11D84"/>
    <w:rsid w:val="00B53A5C"/>
    <w:rsid w:val="00B66328"/>
    <w:rsid w:val="00BD2FFD"/>
    <w:rsid w:val="00BE23BD"/>
    <w:rsid w:val="00C33821"/>
    <w:rsid w:val="00C57448"/>
    <w:rsid w:val="00C73052"/>
    <w:rsid w:val="00CA16ED"/>
    <w:rsid w:val="00CB3870"/>
    <w:rsid w:val="00D2309F"/>
    <w:rsid w:val="00D24A5D"/>
    <w:rsid w:val="00D37176"/>
    <w:rsid w:val="00D450B9"/>
    <w:rsid w:val="00D46EB8"/>
    <w:rsid w:val="00D701BC"/>
    <w:rsid w:val="00DD7286"/>
    <w:rsid w:val="00E05825"/>
    <w:rsid w:val="00E177F8"/>
    <w:rsid w:val="00E252EC"/>
    <w:rsid w:val="00E90395"/>
    <w:rsid w:val="00E909D3"/>
    <w:rsid w:val="00EF324E"/>
    <w:rsid w:val="00F174D3"/>
    <w:rsid w:val="00F96615"/>
    <w:rsid w:val="00FB083B"/>
    <w:rsid w:val="00FE32CA"/>
    <w:rsid w:val="00FF514F"/>
    <w:rsid w:val="052C78AD"/>
    <w:rsid w:val="07087CF1"/>
    <w:rsid w:val="0884047C"/>
    <w:rsid w:val="0B7D2B97"/>
    <w:rsid w:val="0C5051D6"/>
    <w:rsid w:val="10930D0F"/>
    <w:rsid w:val="109C01CF"/>
    <w:rsid w:val="10C97A52"/>
    <w:rsid w:val="11FC1CDD"/>
    <w:rsid w:val="135B06C8"/>
    <w:rsid w:val="15553AD7"/>
    <w:rsid w:val="165779B9"/>
    <w:rsid w:val="17F7CB08"/>
    <w:rsid w:val="185E55A1"/>
    <w:rsid w:val="19002FF7"/>
    <w:rsid w:val="19671721"/>
    <w:rsid w:val="1C8867DF"/>
    <w:rsid w:val="23933BD2"/>
    <w:rsid w:val="26894277"/>
    <w:rsid w:val="29A43F2B"/>
    <w:rsid w:val="2FAF7ABC"/>
    <w:rsid w:val="31C357A8"/>
    <w:rsid w:val="33773474"/>
    <w:rsid w:val="339460F0"/>
    <w:rsid w:val="3616602E"/>
    <w:rsid w:val="36386269"/>
    <w:rsid w:val="380F6BE5"/>
    <w:rsid w:val="38913996"/>
    <w:rsid w:val="3E1C284F"/>
    <w:rsid w:val="3F1F5A9B"/>
    <w:rsid w:val="3FBB1C0D"/>
    <w:rsid w:val="3FDB3787"/>
    <w:rsid w:val="3FFFF87B"/>
    <w:rsid w:val="473F662D"/>
    <w:rsid w:val="49051459"/>
    <w:rsid w:val="49CC0440"/>
    <w:rsid w:val="4D9CEA24"/>
    <w:rsid w:val="50E661B6"/>
    <w:rsid w:val="51054AB2"/>
    <w:rsid w:val="519DFEEC"/>
    <w:rsid w:val="52247AAD"/>
    <w:rsid w:val="55060DAB"/>
    <w:rsid w:val="56492C32"/>
    <w:rsid w:val="577725B3"/>
    <w:rsid w:val="58F079D3"/>
    <w:rsid w:val="59EA24C6"/>
    <w:rsid w:val="5A6EBD67"/>
    <w:rsid w:val="5B7677AA"/>
    <w:rsid w:val="5B7F3CDB"/>
    <w:rsid w:val="5B9146BB"/>
    <w:rsid w:val="5CEF160F"/>
    <w:rsid w:val="5EA74B06"/>
    <w:rsid w:val="60213C99"/>
    <w:rsid w:val="60405318"/>
    <w:rsid w:val="61A924DD"/>
    <w:rsid w:val="61B554E9"/>
    <w:rsid w:val="62597F0B"/>
    <w:rsid w:val="6308687A"/>
    <w:rsid w:val="665976F9"/>
    <w:rsid w:val="67F76326"/>
    <w:rsid w:val="6A045EBD"/>
    <w:rsid w:val="6D9F9601"/>
    <w:rsid w:val="6DDB0764"/>
    <w:rsid w:val="6FF9DEB7"/>
    <w:rsid w:val="738D2CA5"/>
    <w:rsid w:val="73BF4D0B"/>
    <w:rsid w:val="75E21BAC"/>
    <w:rsid w:val="76D77777"/>
    <w:rsid w:val="777E4AE0"/>
    <w:rsid w:val="77A56895"/>
    <w:rsid w:val="78D6103E"/>
    <w:rsid w:val="7B141EAB"/>
    <w:rsid w:val="7B7F6DC5"/>
    <w:rsid w:val="7BFFFCD7"/>
    <w:rsid w:val="7E7F389E"/>
    <w:rsid w:val="7EFB3973"/>
    <w:rsid w:val="7F3FF1B5"/>
    <w:rsid w:val="7F6D647F"/>
    <w:rsid w:val="7F995152"/>
    <w:rsid w:val="7FD62358"/>
    <w:rsid w:val="91F31C7F"/>
    <w:rsid w:val="ADBD5232"/>
    <w:rsid w:val="B5EF6E58"/>
    <w:rsid w:val="BDEFCB47"/>
    <w:rsid w:val="D57FF81C"/>
    <w:rsid w:val="DDAD359A"/>
    <w:rsid w:val="E33B298B"/>
    <w:rsid w:val="E3B7C79F"/>
    <w:rsid w:val="E5EF2686"/>
    <w:rsid w:val="E64FF0BB"/>
    <w:rsid w:val="E6FF8094"/>
    <w:rsid w:val="EB5F2A3E"/>
    <w:rsid w:val="EF45425D"/>
    <w:rsid w:val="EFFB0482"/>
    <w:rsid w:val="F3DBDFF3"/>
    <w:rsid w:val="F77B77C6"/>
    <w:rsid w:val="F77F2BBA"/>
    <w:rsid w:val="FCFFBE1A"/>
    <w:rsid w:val="FE7F43F7"/>
    <w:rsid w:val="FEFFA2C6"/>
    <w:rsid w:val="FFDBBA9F"/>
    <w:rsid w:val="FFF6DAC2"/>
    <w:rsid w:val="FFF9F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1"/>
    </w:rPr>
  </w:style>
  <w:style w:type="paragraph" w:styleId="4">
    <w:name w:val="annotation text"/>
    <w:basedOn w:val="1"/>
    <w:link w:val="13"/>
    <w:uiPriority w:val="0"/>
    <w:pPr>
      <w:jc w:val="left"/>
    </w:pPr>
    <w:rPr>
      <w:rFonts w:ascii="Calibri" w:hAnsi="Calibri"/>
      <w:kern w:val="2"/>
      <w:sz w:val="21"/>
      <w:szCs w:val="22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标题 3 字符"/>
    <w:link w:val="3"/>
    <w:uiPriority w:val="0"/>
    <w:rPr>
      <w:rFonts w:ascii="宋体" w:hAnsi="宋体" w:cs="宋体"/>
      <w:b/>
      <w:bCs/>
      <w:sz w:val="27"/>
      <w:szCs w:val="27"/>
    </w:rPr>
  </w:style>
  <w:style w:type="character" w:customStyle="1" w:styleId="13">
    <w:name w:val="批注文字 字符"/>
    <w:link w:val="4"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框文本 字符"/>
    <w:link w:val="5"/>
    <w:uiPriority w:val="0"/>
    <w:rPr>
      <w:sz w:val="18"/>
      <w:szCs w:val="18"/>
    </w:rPr>
  </w:style>
  <w:style w:type="character" w:customStyle="1" w:styleId="15">
    <w:name w:val="页脚 字符"/>
    <w:link w:val="6"/>
    <w:uiPriority w:val="0"/>
    <w:rPr>
      <w:sz w:val="18"/>
      <w:szCs w:val="18"/>
    </w:rPr>
  </w:style>
  <w:style w:type="character" w:customStyle="1" w:styleId="16">
    <w:name w:val="页眉 字符"/>
    <w:link w:val="7"/>
    <w:uiPriority w:val="0"/>
    <w:rPr>
      <w:sz w:val="18"/>
      <w:szCs w:val="18"/>
    </w:rPr>
  </w:style>
  <w:style w:type="character" w:customStyle="1" w:styleId="17">
    <w:name w:val="annotation reference"/>
    <w:uiPriority w:val="0"/>
    <w:rPr>
      <w:sz w:val="21"/>
      <w:szCs w:val="21"/>
    </w:rPr>
  </w:style>
  <w:style w:type="character" w:customStyle="1" w:styleId="18">
    <w:name w:val="font01"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9">
    <w:name w:val="批注主题 字符"/>
    <w:link w:val="20"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20">
    <w:name w:val="annotation subject"/>
    <w:basedOn w:val="4"/>
    <w:next w:val="4"/>
    <w:link w:val="19"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21">
    <w:name w:val="_Style 12"/>
    <w:basedOn w:val="1"/>
    <w:uiPriority w:val="0"/>
    <w:rPr>
      <w:szCs w:val="24"/>
    </w:rPr>
  </w:style>
  <w:style w:type="paragraph" w:styleId="22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3">
    <w:name w:val="修订1"/>
    <w:uiPriority w:val="0"/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6351</Words>
  <Characters>6534</Characters>
  <Lines>54</Lines>
  <Paragraphs>15</Paragraphs>
  <TotalTime>6</TotalTime>
  <ScaleCrop>false</ScaleCrop>
  <LinksUpToDate>false</LinksUpToDate>
  <CharactersWithSpaces>6558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2021-12-03T15:31:00Z</dcterms:created>
  <dc:creator>PC</dc:creator>
  <cp:lastModifiedBy>chenwengjin</cp:lastModifiedBy>
  <cp:lastPrinted>2022-03-26T01:04:45Z</cp:lastPrinted>
  <dcterms:modified xsi:type="dcterms:W3CDTF">2022-04-28T08:04:40Z</dcterms:modified>
  <dc:title>J.Yin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B61F4F944FE5433883D62B94A961A8CD</vt:lpwstr>
  </property>
</Properties>
</file>