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color w:val="auto"/>
          <w:sz w:val="84"/>
          <w:szCs w:val="84"/>
          <w:highlight w:val="none"/>
        </w:rPr>
      </w:pPr>
    </w:p>
    <w:p>
      <w:pPr>
        <w:pStyle w:val="21"/>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84"/>
          <w:szCs w:val="84"/>
          <w:highlight w:val="none"/>
        </w:rPr>
      </w:pPr>
      <w:r>
        <w:rPr>
          <w:rFonts w:hint="eastAsia" w:ascii="宋体" w:hAnsi="宋体" w:eastAsia="宋体" w:cs="宋体"/>
          <w:b/>
          <w:color w:val="auto"/>
          <w:sz w:val="84"/>
          <w:szCs w:val="84"/>
          <w:highlight w:val="none"/>
        </w:rPr>
        <w:t>福建省政府采购</w:t>
      </w:r>
    </w:p>
    <w:p>
      <w:pPr>
        <w:pStyle w:val="21"/>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84"/>
          <w:szCs w:val="84"/>
          <w:highlight w:val="none"/>
        </w:rPr>
      </w:pPr>
      <w:r>
        <w:rPr>
          <w:rFonts w:hint="eastAsia" w:ascii="宋体" w:hAnsi="宋体" w:eastAsia="宋体" w:cs="宋体"/>
          <w:b/>
          <w:color w:val="auto"/>
          <w:sz w:val="84"/>
          <w:szCs w:val="84"/>
          <w:highlight w:val="none"/>
        </w:rPr>
        <w:t>货物和服务项目</w:t>
      </w:r>
    </w:p>
    <w:p>
      <w:pPr>
        <w:pStyle w:val="21"/>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color w:val="auto"/>
          <w:sz w:val="84"/>
          <w:szCs w:val="84"/>
          <w:highlight w:val="none"/>
        </w:rPr>
        <w:t>公开</w:t>
      </w:r>
      <w:r>
        <w:rPr>
          <w:rFonts w:hint="eastAsia" w:ascii="宋体" w:hAnsi="宋体" w:eastAsia="宋体" w:cs="宋体"/>
          <w:b/>
          <w:color w:val="auto"/>
          <w:sz w:val="84"/>
          <w:szCs w:val="84"/>
          <w:highlight w:val="none"/>
          <w:lang w:eastAsia="zh-CN"/>
        </w:rPr>
        <w:t>招标文件</w:t>
      </w:r>
    </w:p>
    <w:p>
      <w:pPr>
        <w:pStyle w:val="21"/>
        <w:keepNext w:val="0"/>
        <w:keepLines w:val="0"/>
        <w:pageBreakBefore w:val="0"/>
        <w:widowControl w:val="0"/>
        <w:kinsoku/>
        <w:wordWrap/>
        <w:overflowPunct/>
        <w:topLinePunct w:val="0"/>
        <w:autoSpaceDE/>
        <w:autoSpaceDN/>
        <w:bidi w:val="0"/>
        <w:adjustRightInd/>
        <w:snapToGrid/>
        <w:spacing w:line="240" w:lineRule="auto"/>
        <w:ind w:left="0" w:leftChars="0" w:firstLine="2107" w:firstLineChars="656"/>
        <w:jc w:val="both"/>
        <w:textAlignment w:val="auto"/>
        <w:outlineLvl w:val="9"/>
        <w:rPr>
          <w:rFonts w:hint="eastAsia" w:ascii="宋体" w:hAnsi="宋体" w:eastAsia="宋体" w:cs="宋体"/>
          <w:b/>
          <w:color w:val="auto"/>
          <w:sz w:val="32"/>
          <w:szCs w:val="32"/>
          <w:highlight w:val="none"/>
        </w:rPr>
      </w:pPr>
    </w:p>
    <w:p>
      <w:pPr>
        <w:pStyle w:val="21"/>
        <w:keepNext w:val="0"/>
        <w:keepLines w:val="0"/>
        <w:pageBreakBefore w:val="0"/>
        <w:widowControl w:val="0"/>
        <w:kinsoku/>
        <w:wordWrap/>
        <w:overflowPunct/>
        <w:topLinePunct w:val="0"/>
        <w:autoSpaceDE/>
        <w:autoSpaceDN/>
        <w:bidi w:val="0"/>
        <w:adjustRightInd/>
        <w:snapToGrid/>
        <w:spacing w:line="240" w:lineRule="auto"/>
        <w:ind w:left="0" w:leftChars="0" w:firstLine="2107" w:firstLineChars="656"/>
        <w:jc w:val="both"/>
        <w:textAlignment w:val="auto"/>
        <w:outlineLvl w:val="9"/>
        <w:rPr>
          <w:rFonts w:hint="eastAsia" w:ascii="宋体" w:hAnsi="宋体" w:eastAsia="宋体" w:cs="宋体"/>
          <w:b/>
          <w:color w:val="auto"/>
          <w:sz w:val="32"/>
          <w:szCs w:val="32"/>
          <w:highlight w:val="none"/>
        </w:rPr>
      </w:pPr>
    </w:p>
    <w:p>
      <w:pPr>
        <w:pStyle w:val="21"/>
        <w:keepNext w:val="0"/>
        <w:keepLines w:val="0"/>
        <w:pageBreakBefore w:val="0"/>
        <w:widowControl w:val="0"/>
        <w:kinsoku/>
        <w:wordWrap/>
        <w:overflowPunct/>
        <w:topLinePunct w:val="0"/>
        <w:autoSpaceDE/>
        <w:autoSpaceDN/>
        <w:bidi w:val="0"/>
        <w:adjustRightInd/>
        <w:snapToGrid/>
        <w:spacing w:line="240" w:lineRule="auto"/>
        <w:ind w:left="0" w:leftChars="0" w:firstLine="2107" w:firstLineChars="656"/>
        <w:jc w:val="both"/>
        <w:textAlignment w:val="auto"/>
        <w:outlineLvl w:val="9"/>
        <w:rPr>
          <w:rFonts w:hint="eastAsia" w:ascii="宋体" w:hAnsi="宋体" w:eastAsia="宋体" w:cs="宋体"/>
          <w:b/>
          <w:color w:val="auto"/>
          <w:sz w:val="32"/>
          <w:szCs w:val="32"/>
          <w:highlight w:val="none"/>
        </w:rPr>
      </w:pPr>
    </w:p>
    <w:p>
      <w:pPr>
        <w:pStyle w:val="21"/>
        <w:keepNext w:val="0"/>
        <w:keepLines w:val="0"/>
        <w:pageBreakBefore w:val="0"/>
        <w:widowControl w:val="0"/>
        <w:kinsoku/>
        <w:wordWrap/>
        <w:overflowPunct/>
        <w:topLinePunct w:val="0"/>
        <w:autoSpaceDE/>
        <w:autoSpaceDN/>
        <w:bidi w:val="0"/>
        <w:adjustRightInd/>
        <w:snapToGrid/>
        <w:spacing w:line="240" w:lineRule="auto"/>
        <w:ind w:left="0" w:leftChars="0" w:firstLine="2107" w:firstLineChars="656"/>
        <w:jc w:val="both"/>
        <w:textAlignment w:val="auto"/>
        <w:outlineLvl w:val="9"/>
        <w:rPr>
          <w:rFonts w:hint="eastAsia" w:ascii="宋体" w:hAnsi="宋体" w:eastAsia="宋体" w:cs="宋体"/>
          <w:b/>
          <w:color w:val="auto"/>
          <w:sz w:val="32"/>
          <w:szCs w:val="32"/>
          <w:highlight w:val="none"/>
        </w:rPr>
      </w:pPr>
    </w:p>
    <w:p>
      <w:pPr>
        <w:pStyle w:val="21"/>
        <w:keepNext w:val="0"/>
        <w:keepLines w:val="0"/>
        <w:pageBreakBefore w:val="0"/>
        <w:widowControl w:val="0"/>
        <w:kinsoku/>
        <w:wordWrap/>
        <w:overflowPunct/>
        <w:topLinePunct w:val="0"/>
        <w:autoSpaceDE/>
        <w:autoSpaceDN/>
        <w:bidi w:val="0"/>
        <w:adjustRightInd/>
        <w:snapToGrid/>
        <w:spacing w:line="240" w:lineRule="auto"/>
        <w:ind w:left="0" w:leftChars="0" w:firstLine="2107" w:firstLineChars="656"/>
        <w:jc w:val="both"/>
        <w:textAlignment w:val="auto"/>
        <w:outlineLvl w:val="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项目名称：</w:t>
      </w:r>
      <w:r>
        <w:rPr>
          <w:rFonts w:hint="eastAsia" w:ascii="宋体" w:hAnsi="宋体" w:eastAsia="宋体" w:cs="宋体"/>
          <w:b/>
          <w:color w:val="auto"/>
          <w:sz w:val="32"/>
          <w:szCs w:val="32"/>
          <w:highlight w:val="none"/>
          <w:u w:val="single"/>
          <w:lang w:eastAsia="zh-CN"/>
        </w:rPr>
        <w:t>小流域风险隐患调查与成果应用</w:t>
      </w:r>
    </w:p>
    <w:p>
      <w:pPr>
        <w:pStyle w:val="21"/>
        <w:keepNext w:val="0"/>
        <w:keepLines w:val="0"/>
        <w:pageBreakBefore w:val="0"/>
        <w:widowControl w:val="0"/>
        <w:kinsoku/>
        <w:wordWrap/>
        <w:overflowPunct/>
        <w:topLinePunct w:val="0"/>
        <w:autoSpaceDE/>
        <w:autoSpaceDN/>
        <w:bidi w:val="0"/>
        <w:adjustRightInd/>
        <w:snapToGrid/>
        <w:spacing w:line="240" w:lineRule="auto"/>
        <w:ind w:left="0" w:leftChars="0" w:firstLine="2107" w:firstLineChars="656"/>
        <w:jc w:val="both"/>
        <w:textAlignment w:val="auto"/>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备案编号：</w:t>
      </w:r>
      <w:r>
        <w:rPr>
          <w:rFonts w:hint="eastAsia" w:ascii="宋体" w:hAnsi="宋体" w:eastAsia="宋体" w:cs="宋体"/>
          <w:b/>
          <w:color w:val="auto"/>
          <w:sz w:val="32"/>
          <w:szCs w:val="32"/>
          <w:highlight w:val="none"/>
          <w:u w:val="single"/>
          <w:lang w:val="en-US" w:eastAsia="zh-CN"/>
        </w:rPr>
        <w:t>CGXM-2025-350001-02519[2025]04948</w:t>
      </w:r>
    </w:p>
    <w:p>
      <w:pPr>
        <w:pStyle w:val="21"/>
        <w:keepNext w:val="0"/>
        <w:keepLines w:val="0"/>
        <w:pageBreakBefore w:val="0"/>
        <w:widowControl w:val="0"/>
        <w:kinsoku/>
        <w:wordWrap/>
        <w:overflowPunct/>
        <w:topLinePunct w:val="0"/>
        <w:autoSpaceDE/>
        <w:autoSpaceDN/>
        <w:bidi w:val="0"/>
        <w:adjustRightInd/>
        <w:snapToGrid/>
        <w:spacing w:line="240" w:lineRule="auto"/>
        <w:ind w:left="0" w:leftChars="0" w:firstLine="2107" w:firstLineChars="656"/>
        <w:jc w:val="both"/>
        <w:textAlignment w:val="auto"/>
        <w:outlineLvl w:val="9"/>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u w:val="single"/>
          <w:lang w:val="en-US" w:eastAsia="zh-CN"/>
        </w:rPr>
        <w:t>[350001]ZZD[GK]2025002</w:t>
      </w:r>
    </w:p>
    <w:p>
      <w:pPr>
        <w:pStyle w:val="21"/>
        <w:keepNext w:val="0"/>
        <w:keepLines w:val="0"/>
        <w:pageBreakBefore w:val="0"/>
        <w:widowControl w:val="0"/>
        <w:kinsoku/>
        <w:wordWrap/>
        <w:overflowPunct/>
        <w:topLinePunct w:val="0"/>
        <w:autoSpaceDE/>
        <w:autoSpaceDN/>
        <w:bidi w:val="0"/>
        <w:adjustRightInd/>
        <w:snapToGrid/>
        <w:spacing w:line="240" w:lineRule="auto"/>
        <w:ind w:left="0" w:leftChars="0" w:firstLine="2107" w:firstLineChars="656"/>
        <w:jc w:val="both"/>
        <w:textAlignment w:val="auto"/>
        <w:outlineLvl w:val="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购</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人：</w:t>
      </w:r>
      <w:r>
        <w:rPr>
          <w:rFonts w:hint="eastAsia" w:ascii="宋体" w:hAnsi="宋体" w:eastAsia="宋体" w:cs="宋体"/>
          <w:b/>
          <w:color w:val="auto"/>
          <w:sz w:val="32"/>
          <w:szCs w:val="32"/>
          <w:highlight w:val="none"/>
          <w:u w:val="single"/>
          <w:lang w:eastAsia="zh-CN"/>
        </w:rPr>
        <w:t>福建省水文水资源勘测中心</w:t>
      </w:r>
    </w:p>
    <w:p>
      <w:pPr>
        <w:pStyle w:val="21"/>
        <w:keepNext w:val="0"/>
        <w:keepLines w:val="0"/>
        <w:pageBreakBefore w:val="0"/>
        <w:widowControl w:val="0"/>
        <w:kinsoku/>
        <w:wordWrap/>
        <w:overflowPunct/>
        <w:topLinePunct w:val="0"/>
        <w:autoSpaceDE/>
        <w:autoSpaceDN/>
        <w:bidi w:val="0"/>
        <w:adjustRightInd/>
        <w:snapToGrid/>
        <w:spacing w:line="240" w:lineRule="auto"/>
        <w:ind w:left="0" w:leftChars="0" w:firstLine="2107" w:firstLineChars="656"/>
        <w:jc w:val="both"/>
        <w:textAlignment w:val="auto"/>
        <w:outlineLvl w:val="9"/>
        <w:rPr>
          <w:rFonts w:hint="eastAsia" w:ascii="宋体" w:hAnsi="宋体" w:eastAsia="宋体" w:cs="宋体"/>
          <w:b/>
          <w:color w:val="auto"/>
          <w:sz w:val="32"/>
          <w:szCs w:val="32"/>
          <w:highlight w:val="none"/>
        </w:rPr>
      </w:pPr>
    </w:p>
    <w:p>
      <w:pPr>
        <w:pStyle w:val="21"/>
        <w:keepNext w:val="0"/>
        <w:keepLines w:val="0"/>
        <w:pageBreakBefore w:val="0"/>
        <w:widowControl w:val="0"/>
        <w:kinsoku/>
        <w:wordWrap/>
        <w:overflowPunct/>
        <w:topLinePunct w:val="0"/>
        <w:autoSpaceDE/>
        <w:autoSpaceDN/>
        <w:bidi w:val="0"/>
        <w:adjustRightInd/>
        <w:snapToGrid/>
        <w:spacing w:line="240" w:lineRule="auto"/>
        <w:ind w:left="0" w:leftChars="0" w:firstLine="2107" w:firstLineChars="656"/>
        <w:jc w:val="both"/>
        <w:textAlignment w:val="auto"/>
        <w:outlineLvl w:val="9"/>
        <w:rPr>
          <w:rFonts w:hint="eastAsia" w:ascii="宋体" w:hAnsi="宋体" w:eastAsia="宋体" w:cs="宋体"/>
          <w:b/>
          <w:color w:val="auto"/>
          <w:sz w:val="32"/>
          <w:szCs w:val="32"/>
          <w:highlight w:val="none"/>
        </w:rPr>
      </w:pPr>
    </w:p>
    <w:p>
      <w:pPr>
        <w:pStyle w:val="21"/>
        <w:keepNext w:val="0"/>
        <w:keepLines w:val="0"/>
        <w:pageBreakBefore w:val="0"/>
        <w:widowControl w:val="0"/>
        <w:kinsoku/>
        <w:wordWrap/>
        <w:overflowPunct/>
        <w:topLinePunct w:val="0"/>
        <w:autoSpaceDE/>
        <w:autoSpaceDN/>
        <w:bidi w:val="0"/>
        <w:adjustRightInd/>
        <w:snapToGrid/>
        <w:spacing w:line="240" w:lineRule="auto"/>
        <w:ind w:left="0" w:leftChars="0" w:firstLine="2107" w:firstLineChars="656"/>
        <w:jc w:val="both"/>
        <w:textAlignment w:val="auto"/>
        <w:outlineLvl w:val="9"/>
        <w:rPr>
          <w:rFonts w:hint="eastAsia" w:ascii="宋体" w:hAnsi="宋体" w:eastAsia="宋体" w:cs="宋体"/>
          <w:b/>
          <w:color w:val="auto"/>
          <w:sz w:val="32"/>
          <w:szCs w:val="32"/>
          <w:highlight w:val="none"/>
        </w:rPr>
      </w:pPr>
    </w:p>
    <w:p>
      <w:pPr>
        <w:pStyle w:val="21"/>
        <w:keepNext w:val="0"/>
        <w:keepLines w:val="0"/>
        <w:pageBreakBefore w:val="0"/>
        <w:widowControl w:val="0"/>
        <w:kinsoku/>
        <w:wordWrap/>
        <w:overflowPunct/>
        <w:topLinePunct w:val="0"/>
        <w:autoSpaceDE/>
        <w:autoSpaceDN/>
        <w:bidi w:val="0"/>
        <w:adjustRightInd/>
        <w:snapToGrid/>
        <w:spacing w:line="240" w:lineRule="auto"/>
        <w:ind w:left="0" w:leftChars="0" w:firstLine="2107" w:firstLineChars="656"/>
        <w:jc w:val="both"/>
        <w:textAlignment w:val="auto"/>
        <w:outlineLvl w:val="9"/>
        <w:rPr>
          <w:rFonts w:hint="eastAsia" w:ascii="宋体" w:hAnsi="宋体" w:eastAsia="宋体" w:cs="宋体"/>
          <w:b/>
          <w:color w:val="auto"/>
          <w:sz w:val="32"/>
          <w:szCs w:val="32"/>
          <w:highlight w:val="none"/>
        </w:rPr>
      </w:pPr>
    </w:p>
    <w:p>
      <w:pPr>
        <w:pStyle w:val="21"/>
        <w:keepNext w:val="0"/>
        <w:keepLines w:val="0"/>
        <w:pageBreakBefore w:val="0"/>
        <w:widowControl w:val="0"/>
        <w:kinsoku/>
        <w:wordWrap/>
        <w:overflowPunct/>
        <w:topLinePunct w:val="0"/>
        <w:autoSpaceDE/>
        <w:autoSpaceDN/>
        <w:bidi w:val="0"/>
        <w:adjustRightInd/>
        <w:snapToGrid/>
        <w:spacing w:line="240" w:lineRule="auto"/>
        <w:ind w:left="0" w:leftChars="0" w:firstLine="2107" w:firstLineChars="656"/>
        <w:jc w:val="both"/>
        <w:textAlignment w:val="auto"/>
        <w:outlineLvl w:val="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代理机构：</w:t>
      </w:r>
      <w:r>
        <w:rPr>
          <w:rFonts w:hint="eastAsia" w:ascii="宋体" w:hAnsi="宋体" w:eastAsia="宋体" w:cs="宋体"/>
          <w:b/>
          <w:color w:val="auto"/>
          <w:sz w:val="32"/>
          <w:szCs w:val="32"/>
          <w:highlight w:val="none"/>
          <w:u w:val="single"/>
          <w:lang w:eastAsia="zh-CN"/>
        </w:rPr>
        <w:t>卓知项目管理顾问有限公司</w:t>
      </w:r>
    </w:p>
    <w:p>
      <w:pPr>
        <w:pStyle w:val="21"/>
        <w:keepNext w:val="0"/>
        <w:keepLines w:val="0"/>
        <w:pageBreakBefore w:val="0"/>
        <w:widowControl w:val="0"/>
        <w:kinsoku/>
        <w:wordWrap/>
        <w:overflowPunct/>
        <w:topLinePunct w:val="0"/>
        <w:autoSpaceDE/>
        <w:autoSpaceDN/>
        <w:bidi w:val="0"/>
        <w:adjustRightInd/>
        <w:snapToGrid/>
        <w:spacing w:line="240" w:lineRule="auto"/>
        <w:ind w:left="0" w:leftChars="0" w:firstLine="2107" w:firstLineChars="656"/>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32"/>
          <w:szCs w:val="32"/>
          <w:highlight w:val="none"/>
        </w:rPr>
        <w:t>编制时间：</w:t>
      </w:r>
      <w:r>
        <w:rPr>
          <w:rFonts w:hint="eastAsia" w:ascii="宋体" w:hAnsi="宋体" w:eastAsia="宋体" w:cs="宋体"/>
          <w:b/>
          <w:color w:val="auto"/>
          <w:sz w:val="32"/>
          <w:szCs w:val="32"/>
          <w:highlight w:val="none"/>
          <w:u w:val="single"/>
          <w:lang w:val="en-US" w:eastAsia="zh-CN"/>
        </w:rPr>
        <w:t xml:space="preserve"> 2025 </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u w:val="single"/>
          <w:lang w:val="en-US" w:eastAsia="zh-CN"/>
        </w:rPr>
        <w:t xml:space="preserve"> 08 </w:t>
      </w:r>
      <w:r>
        <w:rPr>
          <w:rFonts w:hint="eastAsia" w:ascii="宋体" w:hAnsi="宋体" w:eastAsia="宋体" w:cs="宋体"/>
          <w:b/>
          <w:color w:val="auto"/>
          <w:sz w:val="32"/>
          <w:szCs w:val="32"/>
          <w:highlight w:val="none"/>
        </w:rPr>
        <w:t>月</w:t>
      </w:r>
    </w:p>
    <w:p>
      <w:pPr>
        <w:keepNext w:val="0"/>
        <w:keepLines w:val="0"/>
        <w:pageBreakBefore w:val="0"/>
        <w:widowControl w:val="0"/>
        <w:kinsoku/>
        <w:overflowPunct/>
        <w:topLinePunct w:val="0"/>
        <w:autoSpaceDE/>
        <w:bidi w:val="0"/>
        <w:adjustRightInd/>
        <w:textAlignment w:val="auto"/>
        <w:rPr>
          <w:rFonts w:hint="eastAsia" w:ascii="宋体" w:hAnsi="宋体" w:eastAsia="宋体" w:cs="宋体"/>
          <w:b/>
          <w:color w:val="auto"/>
          <w:sz w:val="44"/>
          <w:szCs w:val="44"/>
          <w:highlight w:val="none"/>
          <w:lang w:val="en-US" w:eastAsia="zh-CN"/>
        </w:rPr>
      </w:pPr>
      <w:r>
        <w:rPr>
          <w:rFonts w:hint="eastAsia" w:ascii="宋体" w:hAnsi="宋体" w:eastAsia="宋体" w:cs="宋体"/>
          <w:b/>
          <w:color w:val="auto"/>
          <w:sz w:val="44"/>
          <w:szCs w:val="44"/>
          <w:highlight w:val="none"/>
          <w:lang w:val="en-US" w:eastAsia="zh-CN"/>
        </w:rPr>
        <w:br w:type="page"/>
      </w:r>
    </w:p>
    <w:p>
      <w:pPr>
        <w:pStyle w:val="2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9"/>
        <w:rPr>
          <w:rFonts w:hint="eastAsia" w:ascii="宋体" w:hAnsi="宋体" w:eastAsia="宋体" w:cs="宋体"/>
          <w:b/>
          <w:color w:val="auto"/>
          <w:sz w:val="44"/>
          <w:szCs w:val="44"/>
          <w:highlight w:val="none"/>
          <w:lang w:val="en-US" w:eastAsia="zh-CN"/>
        </w:rPr>
      </w:pPr>
      <w:r>
        <w:rPr>
          <w:rFonts w:hint="eastAsia" w:ascii="宋体" w:hAnsi="宋体" w:eastAsia="宋体" w:cs="宋体"/>
          <w:b/>
          <w:color w:val="auto"/>
          <w:sz w:val="44"/>
          <w:szCs w:val="44"/>
          <w:highlight w:val="none"/>
          <w:lang w:val="en-US" w:eastAsia="zh-CN"/>
        </w:rPr>
        <w:t>目  录</w:t>
      </w:r>
    </w:p>
    <w:p>
      <w:pPr>
        <w:pStyle w:val="11"/>
        <w:keepNext w:val="0"/>
        <w:keepLines w:val="0"/>
        <w:pageBreakBefore w:val="0"/>
        <w:widowControl w:val="0"/>
        <w:tabs>
          <w:tab w:val="right" w:leader="hyphen" w:pos="9128"/>
        </w:tabs>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en-US" w:eastAsia="zh-CN"/>
        </w:rPr>
        <w:fldChar w:fldCharType="begin"/>
      </w:r>
      <w:r>
        <w:rPr>
          <w:rFonts w:hint="eastAsia" w:ascii="宋体" w:hAnsi="宋体" w:eastAsia="宋体" w:cs="宋体"/>
          <w:b/>
          <w:color w:val="auto"/>
          <w:sz w:val="24"/>
          <w:szCs w:val="24"/>
          <w:highlight w:val="none"/>
          <w:lang w:val="en-US" w:eastAsia="zh-CN"/>
        </w:rPr>
        <w:instrText xml:space="preserve">TOC \o "1-2" \h \u </w:instrText>
      </w:r>
      <w:r>
        <w:rPr>
          <w:rFonts w:hint="eastAsia" w:ascii="宋体" w:hAnsi="宋体" w:eastAsia="宋体" w:cs="宋体"/>
          <w:b/>
          <w:color w:val="auto"/>
          <w:sz w:val="24"/>
          <w:szCs w:val="24"/>
          <w:highlight w:val="none"/>
          <w:lang w:val="en-US" w:eastAsia="zh-CN"/>
        </w:rPr>
        <w:fldChar w:fldCharType="separate"/>
      </w: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\l _Toc15473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highlight w:val="none"/>
        </w:rPr>
        <w:t>第一章</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投标邀请</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_Toc15473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fldChar w:fldCharType="end"/>
      </w:r>
    </w:p>
    <w:p>
      <w:pPr>
        <w:pStyle w:val="11"/>
        <w:keepNext w:val="0"/>
        <w:keepLines w:val="0"/>
        <w:pageBreakBefore w:val="0"/>
        <w:widowControl w:val="0"/>
        <w:tabs>
          <w:tab w:val="right" w:leader="hyphen" w:pos="9128"/>
        </w:tabs>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\l _Toc4740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highlight w:val="none"/>
        </w:rPr>
        <w:t>第二章</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须知前附表</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_Toc4740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8</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fldChar w:fldCharType="end"/>
      </w:r>
    </w:p>
    <w:p>
      <w:pPr>
        <w:pStyle w:val="11"/>
        <w:keepNext w:val="0"/>
        <w:keepLines w:val="0"/>
        <w:pageBreakBefore w:val="0"/>
        <w:widowControl w:val="0"/>
        <w:tabs>
          <w:tab w:val="right" w:leader="hyphen" w:pos="912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\l _Toc12486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highlight w:val="none"/>
        </w:rPr>
        <w:t>第三章</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须知</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_Toc12486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15</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fldChar w:fldCharType="end"/>
      </w:r>
    </w:p>
    <w:p>
      <w:pPr>
        <w:pStyle w:val="12"/>
        <w:keepNext w:val="0"/>
        <w:keepLines w:val="0"/>
        <w:pageBreakBefore w:val="0"/>
        <w:widowControl w:val="0"/>
        <w:tabs>
          <w:tab w:val="right" w:leader="hyphen" w:pos="912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_Toc7033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val="0"/>
          <w:color w:val="auto"/>
          <w:sz w:val="24"/>
          <w:szCs w:val="24"/>
          <w:highlight w:val="none"/>
        </w:rPr>
        <w:t>一、总则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_Toc7033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pPr>
        <w:pStyle w:val="12"/>
        <w:keepNext w:val="0"/>
        <w:keepLines w:val="0"/>
        <w:pageBreakBefore w:val="0"/>
        <w:widowControl w:val="0"/>
        <w:tabs>
          <w:tab w:val="right" w:leader="hyphen" w:pos="912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_Toc22054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val="0"/>
          <w:color w:val="auto"/>
          <w:sz w:val="24"/>
          <w:szCs w:val="24"/>
          <w:highlight w:val="none"/>
        </w:rPr>
        <w:t>二、</w:t>
      </w:r>
      <w:r>
        <w:rPr>
          <w:rFonts w:hint="eastAsia" w:ascii="宋体" w:hAnsi="宋体" w:eastAsia="宋体" w:cs="宋体"/>
          <w:bCs w:val="0"/>
          <w:color w:val="auto"/>
          <w:sz w:val="24"/>
          <w:szCs w:val="24"/>
          <w:highlight w:val="none"/>
          <w:lang w:eastAsia="zh-CN"/>
        </w:rPr>
        <w:t>投标人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_Toc22054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pPr>
        <w:pStyle w:val="12"/>
        <w:keepNext w:val="0"/>
        <w:keepLines w:val="0"/>
        <w:pageBreakBefore w:val="0"/>
        <w:widowControl w:val="0"/>
        <w:tabs>
          <w:tab w:val="right" w:leader="hyphen" w:pos="912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_Toc5186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val="0"/>
          <w:color w:val="auto"/>
          <w:sz w:val="24"/>
          <w:szCs w:val="24"/>
          <w:highlight w:val="none"/>
        </w:rPr>
        <w:t>三、招标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_Toc5186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pPr>
        <w:pStyle w:val="12"/>
        <w:keepNext w:val="0"/>
        <w:keepLines w:val="0"/>
        <w:pageBreakBefore w:val="0"/>
        <w:widowControl w:val="0"/>
        <w:tabs>
          <w:tab w:val="right" w:leader="hyphen" w:pos="912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_Toc13369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val="0"/>
          <w:color w:val="auto"/>
          <w:sz w:val="24"/>
          <w:szCs w:val="24"/>
          <w:highlight w:val="none"/>
        </w:rPr>
        <w:t>四、投标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_Toc13369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pPr>
        <w:pStyle w:val="12"/>
        <w:keepNext w:val="0"/>
        <w:keepLines w:val="0"/>
        <w:pageBreakBefore w:val="0"/>
        <w:widowControl w:val="0"/>
        <w:tabs>
          <w:tab w:val="right" w:leader="hyphen" w:pos="912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_Toc5985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val="0"/>
          <w:color w:val="auto"/>
          <w:sz w:val="24"/>
          <w:szCs w:val="24"/>
          <w:highlight w:val="none"/>
        </w:rPr>
        <w:t>五、开标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_Toc5985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pPr>
        <w:pStyle w:val="12"/>
        <w:keepNext w:val="0"/>
        <w:keepLines w:val="0"/>
        <w:pageBreakBefore w:val="0"/>
        <w:widowControl w:val="0"/>
        <w:tabs>
          <w:tab w:val="right" w:leader="hyphen" w:pos="912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_Toc28402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val="0"/>
          <w:color w:val="auto"/>
          <w:sz w:val="24"/>
          <w:szCs w:val="24"/>
          <w:highlight w:val="none"/>
        </w:rPr>
        <w:t>六、中标与政府采购合同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_Toc28402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pPr>
        <w:pStyle w:val="12"/>
        <w:keepNext w:val="0"/>
        <w:keepLines w:val="0"/>
        <w:pageBreakBefore w:val="0"/>
        <w:widowControl w:val="0"/>
        <w:tabs>
          <w:tab w:val="right" w:leader="hyphen" w:pos="912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_Toc18066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val="0"/>
          <w:color w:val="auto"/>
          <w:sz w:val="24"/>
          <w:szCs w:val="24"/>
          <w:highlight w:val="none"/>
        </w:rPr>
        <w:t>七、询问、质疑与投诉</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_Toc18066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pPr>
        <w:pStyle w:val="12"/>
        <w:keepNext w:val="0"/>
        <w:keepLines w:val="0"/>
        <w:pageBreakBefore w:val="0"/>
        <w:widowControl w:val="0"/>
        <w:tabs>
          <w:tab w:val="right" w:leader="hyphen" w:pos="912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_Toc16490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val="0"/>
          <w:color w:val="auto"/>
          <w:sz w:val="24"/>
          <w:szCs w:val="24"/>
          <w:highlight w:val="none"/>
        </w:rPr>
        <w:t>八、政府采购政策</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_Toc16490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pPr>
        <w:pStyle w:val="12"/>
        <w:keepNext w:val="0"/>
        <w:keepLines w:val="0"/>
        <w:pageBreakBefore w:val="0"/>
        <w:widowControl w:val="0"/>
        <w:tabs>
          <w:tab w:val="right" w:leader="hyphen" w:pos="912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_Toc15789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val="0"/>
          <w:color w:val="auto"/>
          <w:sz w:val="24"/>
          <w:szCs w:val="24"/>
          <w:highlight w:val="none"/>
        </w:rPr>
        <w:t>九、本项目的有关信息</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_Toc15789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pPr>
        <w:pStyle w:val="12"/>
        <w:keepNext w:val="0"/>
        <w:keepLines w:val="0"/>
        <w:pageBreakBefore w:val="0"/>
        <w:widowControl w:val="0"/>
        <w:tabs>
          <w:tab w:val="right" w:leader="hyphen" w:pos="912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_Toc32429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val="0"/>
          <w:color w:val="auto"/>
          <w:sz w:val="24"/>
          <w:szCs w:val="24"/>
          <w:highlight w:val="none"/>
        </w:rPr>
        <w:t>十、其他事项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_Toc32429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pPr>
        <w:pStyle w:val="11"/>
        <w:keepNext w:val="0"/>
        <w:keepLines w:val="0"/>
        <w:pageBreakBefore w:val="0"/>
        <w:widowControl w:val="0"/>
        <w:tabs>
          <w:tab w:val="right" w:leader="hyphen" w:pos="9128"/>
        </w:tabs>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\l _Toc26047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highlight w:val="none"/>
        </w:rPr>
        <w:t>第四章</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资格审查与评标</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_Toc26047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32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fldChar w:fldCharType="end"/>
      </w:r>
    </w:p>
    <w:p>
      <w:pPr>
        <w:pStyle w:val="12"/>
        <w:keepNext w:val="0"/>
        <w:keepLines w:val="0"/>
        <w:pageBreakBefore w:val="0"/>
        <w:widowControl w:val="0"/>
        <w:tabs>
          <w:tab w:val="right" w:leader="hyphen" w:pos="912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_Toc29958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rPr>
        <w:t>一、资格审查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_Toc29958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pPr>
        <w:pStyle w:val="12"/>
        <w:keepNext w:val="0"/>
        <w:keepLines w:val="0"/>
        <w:pageBreakBefore w:val="0"/>
        <w:widowControl w:val="0"/>
        <w:tabs>
          <w:tab w:val="right" w:leader="hyphen" w:pos="912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_Toc29098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val="0"/>
          <w:color w:val="auto"/>
          <w:sz w:val="24"/>
          <w:szCs w:val="24"/>
          <w:highlight w:val="none"/>
        </w:rPr>
        <w:t>二、评标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_Toc29098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pPr>
        <w:pStyle w:val="11"/>
        <w:keepNext w:val="0"/>
        <w:keepLines w:val="0"/>
        <w:pageBreakBefore w:val="0"/>
        <w:widowControl w:val="0"/>
        <w:tabs>
          <w:tab w:val="right" w:leader="hyphen" w:pos="9128"/>
        </w:tabs>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\l _Toc21637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highlight w:val="none"/>
        </w:rPr>
        <w:t>第五章</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招标内容及要求</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_Toc21637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50</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fldChar w:fldCharType="end"/>
      </w:r>
    </w:p>
    <w:p>
      <w:pPr>
        <w:pStyle w:val="11"/>
        <w:keepNext w:val="0"/>
        <w:keepLines w:val="0"/>
        <w:pageBreakBefore w:val="0"/>
        <w:widowControl w:val="0"/>
        <w:tabs>
          <w:tab w:val="right" w:leader="hyphen" w:pos="9128"/>
        </w:tabs>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\l _Toc22798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highlight w:val="none"/>
        </w:rPr>
        <w:t>第六章</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政府采购合同</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_Toc22798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62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fldChar w:fldCharType="end"/>
      </w:r>
    </w:p>
    <w:p>
      <w:pPr>
        <w:pStyle w:val="11"/>
        <w:keepNext w:val="0"/>
        <w:keepLines w:val="0"/>
        <w:pageBreakBefore w:val="0"/>
        <w:widowControl w:val="0"/>
        <w:tabs>
          <w:tab w:val="right" w:leader="hyphen" w:pos="912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\l _Toc2899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highlight w:val="none"/>
        </w:rPr>
        <w:t>第七章</w:t>
      </w:r>
      <w:r>
        <w:rPr>
          <w:rFonts w:hint="eastAsia" w:ascii="宋体" w:hAnsi="宋体" w:eastAsia="宋体" w:cs="宋体"/>
          <w:b/>
          <w:bCs/>
          <w:color w:val="auto"/>
          <w:sz w:val="24"/>
          <w:szCs w:val="24"/>
          <w:highlight w:val="none"/>
          <w:lang w:val="en-US" w:eastAsia="zh-CN"/>
        </w:rPr>
        <w:t xml:space="preserve">  电子</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格式</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_Toc2899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63</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fldChar w:fldCharType="end"/>
      </w:r>
    </w:p>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color w:val="auto"/>
          <w:sz w:val="44"/>
          <w:szCs w:val="44"/>
          <w:highlight w:val="none"/>
          <w:lang w:val="en-US" w:eastAsia="zh-CN"/>
        </w:rPr>
      </w:pPr>
      <w:r>
        <w:rPr>
          <w:rFonts w:hint="eastAsia" w:ascii="宋体" w:hAnsi="宋体" w:eastAsia="宋体" w:cs="宋体"/>
          <w:color w:val="auto"/>
          <w:szCs w:val="24"/>
          <w:highlight w:val="none"/>
          <w:lang w:val="en-US" w:eastAsia="zh-CN"/>
        </w:rPr>
        <w:fldChar w:fldCharType="end"/>
      </w:r>
    </w:p>
    <w:p>
      <w:pPr>
        <w:pStyle w:val="2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0"/>
        <w:rPr>
          <w:rFonts w:hint="eastAsia" w:ascii="宋体" w:hAnsi="宋体" w:eastAsia="宋体" w:cs="宋体"/>
          <w:b/>
          <w:color w:val="auto"/>
          <w:sz w:val="28"/>
          <w:szCs w:val="28"/>
          <w:highlight w:val="none"/>
        </w:rPr>
        <w:sectPr>
          <w:pgSz w:w="11906" w:h="16838"/>
          <w:pgMar w:top="1440" w:right="1400" w:bottom="1440" w:left="1400" w:header="851" w:footer="992" w:gutter="0"/>
          <w:cols w:space="425" w:num="1"/>
          <w:docGrid w:type="lines" w:linePitch="312" w:charSpace="0"/>
        </w:sectPr>
      </w:pPr>
    </w:p>
    <w:p>
      <w:pPr>
        <w:pStyle w:val="2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0"/>
        <w:rPr>
          <w:rFonts w:hint="eastAsia" w:ascii="宋体" w:hAnsi="宋体" w:eastAsia="宋体" w:cs="宋体"/>
          <w:color w:val="auto"/>
          <w:sz w:val="24"/>
          <w:szCs w:val="24"/>
          <w:highlight w:val="none"/>
        </w:rPr>
      </w:pPr>
      <w:bookmarkStart w:id="0" w:name="_Toc15473"/>
      <w:r>
        <w:rPr>
          <w:rFonts w:hint="eastAsia" w:ascii="宋体" w:hAnsi="宋体" w:eastAsia="宋体" w:cs="宋体"/>
          <w:b/>
          <w:color w:val="auto"/>
          <w:sz w:val="32"/>
          <w:szCs w:val="32"/>
          <w:highlight w:val="none"/>
        </w:rPr>
        <w:t>第一章</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投标邀请</w:t>
      </w:r>
      <w:bookmarkEnd w:id="0"/>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卓知项目管理顾问有限公司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采用公开招标方式组织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小流域风险隐患调查与成果应用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以下简称：“本项目”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的政府采购活动，现邀请供应商参加投标。</w:t>
      </w:r>
    </w:p>
    <w:p>
      <w:pPr>
        <w:pStyle w:val="21"/>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1、备案编号：</w:t>
      </w:r>
      <w:r>
        <w:rPr>
          <w:rFonts w:hint="eastAsia" w:ascii="宋体" w:hAnsi="宋体" w:eastAsia="宋体" w:cs="宋体"/>
          <w:b/>
          <w:color w:val="auto"/>
          <w:sz w:val="24"/>
          <w:szCs w:val="24"/>
          <w:highlight w:val="none"/>
          <w:lang w:eastAsia="zh-CN"/>
        </w:rPr>
        <w:t>CGXM-2025-350001-02519[2025]04948</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2、项目编号：</w:t>
      </w:r>
      <w:r>
        <w:rPr>
          <w:rFonts w:hint="eastAsia" w:ascii="宋体" w:hAnsi="宋体" w:eastAsia="宋体" w:cs="宋体"/>
          <w:b/>
          <w:color w:val="auto"/>
          <w:sz w:val="24"/>
          <w:szCs w:val="24"/>
          <w:highlight w:val="none"/>
          <w:lang w:eastAsia="zh-CN"/>
        </w:rPr>
        <w:t>[350001]ZZD[GK]2025002</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3、预算金额、最高限价：详见《采购标的一览表》。</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4、招标内容及要求：详见《采购标的一览表》及招标文件第五章。</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5、需要落实的政府采购政策</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进口产品：</w:t>
      </w:r>
      <w:r>
        <w:rPr>
          <w:rFonts w:hint="eastAsia" w:ascii="宋体" w:hAnsi="宋体" w:eastAsia="宋体" w:cs="宋体"/>
          <w:b w:val="0"/>
          <w:bCs/>
          <w:color w:val="auto"/>
          <w:sz w:val="24"/>
          <w:szCs w:val="24"/>
          <w:highlight w:val="none"/>
          <w:lang w:val="en-US" w:eastAsia="zh-CN"/>
        </w:rPr>
        <w:t>不适用</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w:t>
      </w:r>
      <w:r>
        <w:rPr>
          <w:rFonts w:hint="eastAsia" w:ascii="宋体" w:hAnsi="宋体" w:eastAsia="宋体" w:cs="宋体"/>
          <w:b w:val="0"/>
          <w:bCs/>
          <w:color w:val="auto"/>
          <w:sz w:val="24"/>
          <w:szCs w:val="24"/>
          <w:highlight w:val="none"/>
          <w:lang w:val="en-US" w:eastAsia="zh-CN"/>
        </w:rPr>
        <w:t>不适用</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环境标志产品：</w:t>
      </w:r>
      <w:r>
        <w:rPr>
          <w:rFonts w:hint="eastAsia" w:ascii="宋体" w:hAnsi="宋体" w:eastAsia="宋体" w:cs="宋体"/>
          <w:b w:val="0"/>
          <w:bCs/>
          <w:color w:val="auto"/>
          <w:sz w:val="24"/>
          <w:szCs w:val="24"/>
          <w:highlight w:val="none"/>
          <w:lang w:val="en-US" w:eastAsia="zh-CN"/>
        </w:rPr>
        <w:t>不适用</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促进中小企业发展的相关政策：</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采购包1：不专门面向中小企业采购</w:t>
      </w:r>
      <w:r>
        <w:rPr>
          <w:rFonts w:hint="eastAsia" w:ascii="宋体" w:hAnsi="宋体" w:eastAsia="宋体" w:cs="宋体"/>
          <w:color w:val="auto"/>
          <w:sz w:val="24"/>
          <w:szCs w:val="24"/>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6、投标人的资格要求</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法定条件：符合政府采购法第二十二条第一款规定的条件。</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特定条件：</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16"/>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47"/>
        <w:gridCol w:w="716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1152"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资格审查要求概况</w:t>
            </w:r>
          </w:p>
        </w:tc>
        <w:tc>
          <w:tcPr>
            <w:tcW w:w="3847"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1152" w:type="pct"/>
            <w:vAlign w:val="center"/>
          </w:tcPr>
          <w:p>
            <w:pPr>
              <w:pStyle w:val="21"/>
              <w:keepNext w:val="0"/>
              <w:keepLines w:val="0"/>
              <w:pageBreakBefore w:val="0"/>
              <w:widowControl w:val="0"/>
              <w:kinsoku/>
              <w:overflowPunct/>
              <w:topLinePunct w:val="0"/>
              <w:autoSpaceDE/>
              <w:bidi w:val="0"/>
              <w:adjustRightInd/>
              <w:spacing w:line="5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资格承诺函</w:t>
            </w:r>
          </w:p>
        </w:tc>
        <w:tc>
          <w:tcPr>
            <w:tcW w:w="3847" w:type="pct"/>
            <w:vAlign w:val="top"/>
          </w:tcPr>
          <w:p>
            <w:pPr>
              <w:pStyle w:val="21"/>
              <w:keepNext w:val="0"/>
              <w:keepLines w:val="0"/>
              <w:pageBreakBefore w:val="0"/>
              <w:widowControl w:val="0"/>
              <w:kinsoku/>
              <w:overflowPunct/>
              <w:topLinePunct w:val="0"/>
              <w:autoSpaceDE/>
              <w:bidi w:val="0"/>
              <w:adjustRightInd/>
              <w:spacing w:line="50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本采购包允许投标人采用资格承诺制。采用资格承诺制的投标人，应当根据投标（响应）格式文件要求提供资格承诺函，无需提供《政府采购法实施条例》第十七条第一款规定的一般资格条件证明材料；资格承诺函不符合招标文件要求的，视为未按照招标文件规定提交投标人的资格及资信文件，按资格审查不合格处理。</w:t>
            </w:r>
          </w:p>
          <w:p>
            <w:pPr>
              <w:pStyle w:val="21"/>
              <w:keepNext w:val="0"/>
              <w:keepLines w:val="0"/>
              <w:pageBreakBefore w:val="0"/>
              <w:widowControl w:val="0"/>
              <w:kinsoku/>
              <w:overflowPunct/>
              <w:topLinePunct w:val="0"/>
              <w:autoSpaceDE/>
              <w:bidi w:val="0"/>
              <w:adjustRightInd/>
              <w:spacing w:line="50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②采购项目有特殊资格要求的，投标人还应按要求提供相应的证明材料。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1152" w:type="pct"/>
            <w:vAlign w:val="center"/>
          </w:tcPr>
          <w:p>
            <w:pPr>
              <w:pStyle w:val="21"/>
              <w:keepNext w:val="0"/>
              <w:keepLines w:val="0"/>
              <w:pageBreakBefore w:val="0"/>
              <w:widowControl w:val="0"/>
              <w:kinsoku/>
              <w:overflowPunct/>
              <w:topLinePunct w:val="0"/>
              <w:autoSpaceDE/>
              <w:bidi w:val="0"/>
              <w:adjustRightInd/>
              <w:spacing w:line="5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企业资质</w:t>
            </w:r>
          </w:p>
        </w:tc>
        <w:tc>
          <w:tcPr>
            <w:tcW w:w="7168" w:type="dxa"/>
            <w:vAlign w:val="top"/>
          </w:tcPr>
          <w:p>
            <w:pPr>
              <w:pStyle w:val="21"/>
              <w:widowControl w:val="0"/>
              <w:spacing w:line="50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lang w:val="en-US" w:eastAsia="zh-CN"/>
              </w:rPr>
              <w:t>应具备</w:t>
            </w:r>
            <w:r>
              <w:rPr>
                <w:rFonts w:ascii="宋体" w:hAnsi="宋体" w:eastAsia="宋体" w:cs="宋体"/>
                <w:color w:val="auto"/>
                <w:sz w:val="24"/>
                <w:szCs w:val="24"/>
                <w:highlight w:val="none"/>
                <w:lang w:eastAsia="zh-CN"/>
              </w:rPr>
              <w:t>有效的</w:t>
            </w:r>
            <w:r>
              <w:rPr>
                <w:rFonts w:hint="default" w:ascii="宋体" w:hAnsi="宋体" w:eastAsia="宋体" w:cs="宋体"/>
                <w:color w:val="auto"/>
                <w:sz w:val="24"/>
                <w:szCs w:val="24"/>
                <w:highlight w:val="none"/>
                <w:lang w:eastAsia="zh-CN"/>
              </w:rPr>
              <w:t>自然资源主管部门颁发的工程测量专业测绘乙级</w:t>
            </w:r>
            <w:r>
              <w:rPr>
                <w:rFonts w:hint="eastAsia" w:ascii="宋体" w:hAnsi="宋体" w:eastAsia="宋体" w:cs="宋体"/>
                <w:color w:val="auto"/>
                <w:sz w:val="24"/>
                <w:szCs w:val="24"/>
                <w:highlight w:val="none"/>
                <w:lang w:val="en-US" w:eastAsia="zh-CN"/>
              </w:rPr>
              <w:t>及以上</w:t>
            </w:r>
            <w:r>
              <w:rPr>
                <w:rFonts w:hint="default" w:ascii="宋体" w:hAnsi="宋体" w:eastAsia="宋体" w:cs="宋体"/>
                <w:color w:val="auto"/>
                <w:sz w:val="24"/>
                <w:szCs w:val="24"/>
                <w:highlight w:val="none"/>
                <w:lang w:eastAsia="zh-CN"/>
              </w:rPr>
              <w:t>资质，须提供有效证书复印件。</w:t>
            </w:r>
          </w:p>
          <w:p>
            <w:pPr>
              <w:pStyle w:val="21"/>
              <w:widowControl w:val="0"/>
              <w:spacing w:line="5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lang w:eastAsia="zh-CN"/>
              </w:rPr>
              <w:t>投标人应具备有效的建设行政主管部门核发的工程设计综合甲级或工程设计水利行业甲级</w:t>
            </w:r>
            <w:r>
              <w:rPr>
                <w:rFonts w:hint="default" w:ascii="宋体" w:hAnsi="宋体" w:eastAsia="宋体" w:cs="宋体"/>
                <w:color w:val="auto"/>
                <w:sz w:val="24"/>
                <w:szCs w:val="24"/>
                <w:highlight w:val="none"/>
                <w:lang w:eastAsia="zh-CN"/>
              </w:rPr>
              <w:t>资质，须提供有效证书复印件。</w:t>
            </w:r>
          </w:p>
        </w:tc>
      </w:tr>
    </w:tbl>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是否接受联合体投标：</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采购包1：接受</w:t>
      </w:r>
      <w:r>
        <w:rPr>
          <w:rFonts w:hint="eastAsia" w:ascii="宋体" w:hAnsi="宋体" w:eastAsia="宋体" w:cs="宋体"/>
          <w:color w:val="auto"/>
          <w:sz w:val="24"/>
          <w:szCs w:val="24"/>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※根据上述资格要求，电子投标文件中应提交的“投标人的资格及资信证明文件”详见招标文件第四章。</w:t>
      </w:r>
    </w:p>
    <w:p>
      <w:pPr>
        <w:pStyle w:val="21"/>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7、招标文件的获取</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招标文件获取期限：详见招标公告或更正公告，若不一致，以更正公告为准。</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在招标文件获取期限内，供应商应通过福建省政府采购网上公开信息系统的注册账号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免费注册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并获取招标文件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登陆福建省政府采购网上公开信息系统进行文件获取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，否则投标将被拒绝。</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获取地点及方式：注册账号后，通过福建省政府采购网上公开信息系统以下载方式获取。</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招标文件售价：0元。</w:t>
      </w:r>
    </w:p>
    <w:p>
      <w:pPr>
        <w:pStyle w:val="21"/>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8、投标截止</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投标截止时间：详见招标公告或更正公告，若不一致，以更正公告为准。</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投标人应在投标截止时间前按照福建省政府采购网上公开信息系统设定的操作流程将电子投标文件上传至福建省政府采购网上公开信息系统，否则投标将被拒绝。</w:t>
      </w:r>
    </w:p>
    <w:p>
      <w:pPr>
        <w:pStyle w:val="21"/>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9、开标时间及地点</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详见招标公告或更正公告，若不一致，以更正公告为准。</w:t>
      </w:r>
    </w:p>
    <w:p>
      <w:pPr>
        <w:pStyle w:val="21"/>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10、公告期限</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招标公告的公告期限：自财政部和福建省财政厅指定的政府采购信息发布媒体最先发布公告之日起5个工作日。</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招标文件公告期限：招标文件随同招标公告一并发布，其公告期限与招标公告的公告期限保持一致。</w:t>
      </w:r>
    </w:p>
    <w:p>
      <w:pPr>
        <w:pStyle w:val="21"/>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11、采</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购</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人：</w:t>
      </w:r>
      <w:r>
        <w:rPr>
          <w:rFonts w:hint="eastAsia" w:ascii="宋体" w:hAnsi="宋体" w:eastAsia="宋体" w:cs="宋体"/>
          <w:b/>
          <w:color w:val="auto"/>
          <w:sz w:val="24"/>
          <w:szCs w:val="24"/>
          <w:highlight w:val="none"/>
          <w:lang w:eastAsia="zh-CN"/>
        </w:rPr>
        <w:t>福建省水文水资源勘测中心</w:t>
      </w:r>
    </w:p>
    <w:p>
      <w:pPr>
        <w:pStyle w:val="21"/>
        <w:keepNext w:val="0"/>
        <w:keepLines w:val="0"/>
        <w:pageBreakBefore w:val="0"/>
        <w:widowControl w:val="0"/>
        <w:kinsoku/>
        <w:wordWrap/>
        <w:overflowPunct/>
        <w:topLinePunct w:val="0"/>
        <w:autoSpaceDE/>
        <w:autoSpaceDN/>
        <w:bidi w:val="0"/>
        <w:adjustRightInd/>
        <w:snapToGrid/>
        <w:spacing w:line="500" w:lineRule="exact"/>
        <w:ind w:firstLine="960" w:firstLineChars="4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lang w:eastAsia="zh-CN"/>
        </w:rPr>
        <w:t>福州市鼓楼区东大路229号</w:t>
      </w:r>
    </w:p>
    <w:p>
      <w:pPr>
        <w:pStyle w:val="21"/>
        <w:keepNext w:val="0"/>
        <w:keepLines w:val="0"/>
        <w:pageBreakBefore w:val="0"/>
        <w:widowControl w:val="0"/>
        <w:kinsoku/>
        <w:wordWrap/>
        <w:overflowPunct/>
        <w:topLinePunct w:val="0"/>
        <w:autoSpaceDE/>
        <w:autoSpaceDN/>
        <w:bidi w:val="0"/>
        <w:adjustRightInd/>
        <w:snapToGrid/>
        <w:spacing w:line="500" w:lineRule="exact"/>
        <w:ind w:firstLine="960" w:firstLineChars="4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编：</w:t>
      </w:r>
      <w:r>
        <w:rPr>
          <w:rFonts w:hint="eastAsia" w:ascii="宋体" w:hAnsi="宋体" w:eastAsia="宋体" w:cs="宋体"/>
          <w:color w:val="auto"/>
          <w:sz w:val="24"/>
          <w:szCs w:val="24"/>
          <w:highlight w:val="none"/>
          <w:lang w:eastAsia="zh-CN"/>
        </w:rPr>
        <w:t>350001</w:t>
      </w:r>
    </w:p>
    <w:p>
      <w:pPr>
        <w:pStyle w:val="21"/>
        <w:keepNext w:val="0"/>
        <w:keepLines w:val="0"/>
        <w:pageBreakBefore w:val="0"/>
        <w:widowControl w:val="0"/>
        <w:kinsoku/>
        <w:wordWrap/>
        <w:overflowPunct/>
        <w:topLinePunct w:val="0"/>
        <w:autoSpaceDE/>
        <w:autoSpaceDN/>
        <w:bidi w:val="0"/>
        <w:adjustRightInd/>
        <w:snapToGrid/>
        <w:spacing w:line="500" w:lineRule="exact"/>
        <w:ind w:firstLine="960" w:firstLineChars="4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陈清勇</w:t>
      </w:r>
    </w:p>
    <w:p>
      <w:pPr>
        <w:pStyle w:val="21"/>
        <w:keepNext w:val="0"/>
        <w:keepLines w:val="0"/>
        <w:pageBreakBefore w:val="0"/>
        <w:widowControl w:val="0"/>
        <w:kinsoku/>
        <w:wordWrap/>
        <w:overflowPunct/>
        <w:topLinePunct w:val="0"/>
        <w:autoSpaceDE/>
        <w:autoSpaceDN/>
        <w:bidi w:val="0"/>
        <w:adjustRightInd/>
        <w:snapToGrid/>
        <w:spacing w:line="500" w:lineRule="exact"/>
        <w:ind w:firstLine="960" w:firstLineChars="4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ascii="宋体" w:hAnsi="宋体" w:eastAsia="宋体" w:cs="宋体"/>
          <w:color w:val="auto"/>
          <w:sz w:val="24"/>
          <w:szCs w:val="24"/>
          <w:highlight w:val="none"/>
          <w:lang w:eastAsia="zh-CN"/>
        </w:rPr>
        <w:t>0591-87563921</w:t>
      </w:r>
    </w:p>
    <w:p>
      <w:pPr>
        <w:pStyle w:val="21"/>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bCs w:val="0"/>
          <w:color w:val="auto"/>
          <w:sz w:val="24"/>
          <w:szCs w:val="24"/>
          <w:highlight w:val="none"/>
        </w:rPr>
        <w:t>12、代理机构：</w:t>
      </w:r>
      <w:r>
        <w:rPr>
          <w:rFonts w:hint="eastAsia" w:ascii="宋体" w:hAnsi="宋体" w:eastAsia="宋体" w:cs="宋体"/>
          <w:b/>
          <w:color w:val="auto"/>
          <w:sz w:val="24"/>
          <w:szCs w:val="24"/>
          <w:highlight w:val="none"/>
          <w:lang w:eastAsia="zh-CN"/>
        </w:rPr>
        <w:t>卓知项目管理顾问有限公司</w:t>
      </w:r>
    </w:p>
    <w:p>
      <w:pPr>
        <w:pStyle w:val="21"/>
        <w:keepNext w:val="0"/>
        <w:keepLines w:val="0"/>
        <w:pageBreakBefore w:val="0"/>
        <w:widowControl w:val="0"/>
        <w:kinsoku/>
        <w:wordWrap/>
        <w:overflowPunct/>
        <w:topLinePunct w:val="0"/>
        <w:autoSpaceDE/>
        <w:autoSpaceDN/>
        <w:bidi w:val="0"/>
        <w:adjustRightInd/>
        <w:snapToGrid/>
        <w:spacing w:line="500" w:lineRule="exact"/>
        <w:ind w:firstLine="960" w:firstLineChars="4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lang w:eastAsia="zh-CN"/>
        </w:rPr>
        <w:t>福州市晋安区福新东路478号盛丰大厦3号楼四层</w:t>
      </w:r>
    </w:p>
    <w:p>
      <w:pPr>
        <w:pStyle w:val="21"/>
        <w:keepNext w:val="0"/>
        <w:keepLines w:val="0"/>
        <w:pageBreakBefore w:val="0"/>
        <w:widowControl w:val="0"/>
        <w:kinsoku/>
        <w:wordWrap/>
        <w:overflowPunct/>
        <w:topLinePunct w:val="0"/>
        <w:autoSpaceDE/>
        <w:autoSpaceDN/>
        <w:bidi w:val="0"/>
        <w:adjustRightInd/>
        <w:snapToGrid/>
        <w:spacing w:line="500" w:lineRule="exact"/>
        <w:ind w:firstLine="960" w:firstLineChars="400"/>
        <w:jc w:val="left"/>
        <w:textAlignment w:val="auto"/>
        <w:outlineLvl w:val="9"/>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邮</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编：</w:t>
      </w:r>
      <w:r>
        <w:rPr>
          <w:rFonts w:hint="eastAsia" w:ascii="宋体" w:hAnsi="宋体" w:eastAsia="宋体" w:cs="宋体"/>
          <w:color w:val="auto"/>
          <w:spacing w:val="0"/>
          <w:sz w:val="24"/>
          <w:szCs w:val="24"/>
          <w:highlight w:val="none"/>
          <w:lang w:val="en-US" w:eastAsia="zh-CN"/>
        </w:rPr>
        <w:t>350014</w:t>
      </w:r>
    </w:p>
    <w:p>
      <w:pPr>
        <w:pStyle w:val="21"/>
        <w:keepNext w:val="0"/>
        <w:keepLines w:val="0"/>
        <w:pageBreakBefore w:val="0"/>
        <w:widowControl w:val="0"/>
        <w:kinsoku/>
        <w:wordWrap/>
        <w:overflowPunct/>
        <w:topLinePunct w:val="0"/>
        <w:autoSpaceDE/>
        <w:autoSpaceDN/>
        <w:bidi w:val="0"/>
        <w:adjustRightInd/>
        <w:snapToGrid/>
        <w:spacing w:line="500" w:lineRule="exact"/>
        <w:ind w:firstLine="960" w:firstLineChars="400"/>
        <w:jc w:val="left"/>
        <w:textAlignment w:val="auto"/>
        <w:outlineLvl w:val="9"/>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z w:val="24"/>
          <w:szCs w:val="24"/>
          <w:highlight w:val="none"/>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pacing w:val="0"/>
          <w:sz w:val="24"/>
          <w:szCs w:val="24"/>
          <w:highlight w:val="none"/>
          <w:u w:val="none"/>
          <w:lang w:eastAsia="zh-CN"/>
        </w:rPr>
        <w:t>罗滨、黄梦园</w:t>
      </w:r>
    </w:p>
    <w:p>
      <w:pPr>
        <w:pStyle w:val="21"/>
        <w:keepNext w:val="0"/>
        <w:keepLines w:val="0"/>
        <w:pageBreakBefore w:val="0"/>
        <w:widowControl w:val="0"/>
        <w:kinsoku/>
        <w:wordWrap/>
        <w:overflowPunct/>
        <w:topLinePunct w:val="0"/>
        <w:autoSpaceDE/>
        <w:autoSpaceDN/>
        <w:bidi w:val="0"/>
        <w:adjustRightInd/>
        <w:snapToGrid/>
        <w:spacing w:line="500" w:lineRule="exact"/>
        <w:ind w:firstLine="960" w:firstLineChars="400"/>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0591-87301172、87933994</w:t>
      </w:r>
    </w:p>
    <w:p>
      <w:pPr>
        <w:pStyle w:val="7"/>
        <w:keepNext w:val="0"/>
        <w:keepLines w:val="0"/>
        <w:pageBreakBefore w:val="0"/>
        <w:widowControl w:val="0"/>
        <w:kinsoku/>
        <w:overflowPunct/>
        <w:topLinePunct w:val="0"/>
        <w:autoSpaceDE/>
        <w:bidi w:val="0"/>
        <w:adjustRightInd/>
        <w:textAlignment w:val="auto"/>
        <w:rPr>
          <w:rFonts w:hint="eastAsia"/>
          <w:color w:val="auto"/>
          <w:highlight w:val="none"/>
        </w:rPr>
      </w:pPr>
    </w:p>
    <w:p>
      <w:pPr>
        <w:keepNext w:val="0"/>
        <w:keepLines w:val="0"/>
        <w:pageBreakBefore w:val="0"/>
        <w:widowControl w:val="0"/>
        <w:kinsoku/>
        <w:overflowPunct/>
        <w:topLinePunct w:val="0"/>
        <w:autoSpaceDE/>
        <w:bidi w:val="0"/>
        <w:adjustRightInd/>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附1：账户信息</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22"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22"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开户名称：</w:t>
            </w:r>
            <w:r>
              <w:rPr>
                <w:rFonts w:hint="eastAsia" w:ascii="宋体" w:hAnsi="宋体" w:eastAsia="宋体" w:cs="宋体"/>
                <w:color w:val="auto"/>
                <w:sz w:val="24"/>
                <w:szCs w:val="24"/>
                <w:highlight w:val="none"/>
                <w:lang w:eastAsia="zh-CN"/>
              </w:rPr>
              <w:t>卓知项目管理顾问有限公司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22"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开户银行：供应商在福建省政府采购网上公开信息系统获取招标文件后，根据其提示自行选择要缴交的投标保证金托管银行。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22"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银行账号：福建省政府采购网上公开信息系统根据供应商选择的投标保证金托管银行自动生成供应商所投采购包的缴交银行账号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即多个采购包将对应生成多个缴交账号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。供应商应按照所投采购包的投标保证金要求，缴交相应的投标保证金。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22"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22"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1、投标人应认真核对账户信息，将投标保证金汇入以上账户，并自行承担因汇错投标保证金而产生的一切后果。</w:t>
            </w: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2、投标人在转账或电汇的凭证上应按照以下格式注明，以便核对：“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的投标保证金”。</w:t>
            </w:r>
          </w:p>
        </w:tc>
      </w:tr>
    </w:tbl>
    <w:p>
      <w:pPr>
        <w:keepNext w:val="0"/>
        <w:keepLines w:val="0"/>
        <w:pageBreakBefore w:val="0"/>
        <w:widowControl w:val="0"/>
        <w:kinsoku/>
        <w:overflowPunct/>
        <w:topLinePunct w:val="0"/>
        <w:autoSpaceDE/>
        <w:bidi w:val="0"/>
        <w:adjustRightInd/>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附2：采购标的一览表</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采购包预算金额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0"/>
          <w:kern w:val="0"/>
          <w:sz w:val="24"/>
          <w:szCs w:val="24"/>
          <w:highlight w:val="none"/>
          <w:lang w:val="en-US" w:eastAsia="zh-CN" w:bidi="ar"/>
        </w:rPr>
        <w:t>9379000</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采购包最高限价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0"/>
          <w:kern w:val="0"/>
          <w:sz w:val="24"/>
          <w:szCs w:val="24"/>
          <w:highlight w:val="none"/>
          <w:lang w:val="en-US" w:eastAsia="zh-CN" w:bidi="ar"/>
        </w:rPr>
        <w:t>9379000</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采购包保证金金额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w:t>
      </w:r>
    </w:p>
    <w:tbl>
      <w:tblPr>
        <w:tblStyle w:val="16"/>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1"/>
        <w:gridCol w:w="3350"/>
        <w:gridCol w:w="723"/>
        <w:gridCol w:w="1262"/>
        <w:gridCol w:w="813"/>
        <w:gridCol w:w="1197"/>
        <w:gridCol w:w="12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03"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pacing w:val="0"/>
                <w:kern w:val="0"/>
                <w:sz w:val="24"/>
                <w:szCs w:val="24"/>
                <w:highlight w:val="none"/>
                <w:lang w:val="en-US" w:eastAsia="zh-CN" w:bidi="ar"/>
              </w:rPr>
            </w:pPr>
            <w:r>
              <w:rPr>
                <w:rFonts w:hint="eastAsia" w:ascii="宋体" w:hAnsi="宋体" w:eastAsia="宋体" w:cs="宋体"/>
                <w:b/>
                <w:bCs/>
                <w:color w:val="auto"/>
                <w:spacing w:val="0"/>
                <w:kern w:val="0"/>
                <w:sz w:val="24"/>
                <w:szCs w:val="24"/>
                <w:highlight w:val="none"/>
                <w:lang w:val="en-US" w:eastAsia="zh-CN" w:bidi="ar"/>
              </w:rPr>
              <w:t>序号</w:t>
            </w:r>
          </w:p>
        </w:tc>
        <w:tc>
          <w:tcPr>
            <w:tcW w:w="1797"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pacing w:val="0"/>
                <w:kern w:val="0"/>
                <w:sz w:val="24"/>
                <w:szCs w:val="24"/>
                <w:highlight w:val="none"/>
                <w:lang w:val="en-US" w:eastAsia="zh-CN" w:bidi="ar"/>
              </w:rPr>
            </w:pPr>
            <w:r>
              <w:rPr>
                <w:rFonts w:hint="eastAsia" w:ascii="宋体" w:hAnsi="宋体" w:eastAsia="宋体" w:cs="宋体"/>
                <w:b/>
                <w:bCs/>
                <w:color w:val="auto"/>
                <w:spacing w:val="0"/>
                <w:kern w:val="0"/>
                <w:sz w:val="24"/>
                <w:szCs w:val="24"/>
                <w:highlight w:val="none"/>
                <w:lang w:val="en-US" w:eastAsia="zh-CN" w:bidi="ar"/>
              </w:rPr>
              <w:t>标的名称</w:t>
            </w:r>
          </w:p>
        </w:tc>
        <w:tc>
          <w:tcPr>
            <w:tcW w:w="388"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pacing w:val="0"/>
                <w:kern w:val="0"/>
                <w:sz w:val="24"/>
                <w:szCs w:val="24"/>
                <w:highlight w:val="none"/>
                <w:lang w:val="en-US" w:eastAsia="zh-CN" w:bidi="ar"/>
              </w:rPr>
            </w:pPr>
            <w:r>
              <w:rPr>
                <w:rFonts w:hint="eastAsia" w:ascii="宋体" w:hAnsi="宋体" w:eastAsia="宋体" w:cs="宋体"/>
                <w:b/>
                <w:bCs/>
                <w:color w:val="auto"/>
                <w:spacing w:val="0"/>
                <w:kern w:val="0"/>
                <w:sz w:val="24"/>
                <w:szCs w:val="24"/>
                <w:highlight w:val="none"/>
                <w:lang w:val="en-US" w:eastAsia="zh-CN" w:bidi="ar"/>
              </w:rPr>
              <w:t>数量</w:t>
            </w:r>
          </w:p>
        </w:tc>
        <w:tc>
          <w:tcPr>
            <w:tcW w:w="677"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pacing w:val="0"/>
                <w:kern w:val="0"/>
                <w:sz w:val="24"/>
                <w:szCs w:val="24"/>
                <w:highlight w:val="none"/>
                <w:lang w:val="en-US" w:eastAsia="zh-CN" w:bidi="ar"/>
              </w:rPr>
            </w:pPr>
            <w:r>
              <w:rPr>
                <w:rFonts w:hint="eastAsia" w:ascii="宋体" w:hAnsi="宋体" w:eastAsia="宋体" w:cs="宋体"/>
                <w:b/>
                <w:bCs/>
                <w:color w:val="auto"/>
                <w:spacing w:val="0"/>
                <w:kern w:val="0"/>
                <w:sz w:val="24"/>
                <w:szCs w:val="24"/>
                <w:highlight w:val="none"/>
                <w:lang w:val="en-US" w:eastAsia="zh-CN" w:bidi="ar"/>
              </w:rPr>
              <w:t>标的金额 （元）</w:t>
            </w:r>
          </w:p>
        </w:tc>
        <w:tc>
          <w:tcPr>
            <w:tcW w:w="436"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pacing w:val="0"/>
                <w:kern w:val="0"/>
                <w:sz w:val="24"/>
                <w:szCs w:val="24"/>
                <w:highlight w:val="none"/>
                <w:lang w:val="en-US" w:eastAsia="zh-CN" w:bidi="ar"/>
              </w:rPr>
            </w:pPr>
            <w:r>
              <w:rPr>
                <w:rFonts w:hint="eastAsia" w:ascii="宋体" w:hAnsi="宋体" w:eastAsia="宋体" w:cs="宋体"/>
                <w:b/>
                <w:bCs/>
                <w:color w:val="auto"/>
                <w:spacing w:val="0"/>
                <w:kern w:val="0"/>
                <w:sz w:val="24"/>
                <w:szCs w:val="24"/>
                <w:highlight w:val="none"/>
                <w:lang w:val="en-US" w:eastAsia="zh-CN" w:bidi="ar"/>
              </w:rPr>
              <w:t>计量单位</w:t>
            </w:r>
          </w:p>
        </w:tc>
        <w:tc>
          <w:tcPr>
            <w:tcW w:w="642"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pacing w:val="0"/>
                <w:kern w:val="0"/>
                <w:sz w:val="24"/>
                <w:szCs w:val="24"/>
                <w:highlight w:val="none"/>
                <w:lang w:val="en-US" w:eastAsia="zh-CN" w:bidi="ar"/>
              </w:rPr>
            </w:pPr>
            <w:r>
              <w:rPr>
                <w:rFonts w:hint="eastAsia" w:ascii="宋体" w:hAnsi="宋体" w:eastAsia="宋体" w:cs="宋体"/>
                <w:b/>
                <w:bCs/>
                <w:color w:val="auto"/>
                <w:spacing w:val="0"/>
                <w:kern w:val="0"/>
                <w:sz w:val="24"/>
                <w:szCs w:val="24"/>
                <w:highlight w:val="none"/>
                <w:lang w:val="en-US" w:eastAsia="zh-CN" w:bidi="ar"/>
              </w:rPr>
              <w:t>所属行业</w:t>
            </w:r>
          </w:p>
        </w:tc>
        <w:tc>
          <w:tcPr>
            <w:tcW w:w="654"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pacing w:val="0"/>
                <w:kern w:val="0"/>
                <w:sz w:val="24"/>
                <w:szCs w:val="24"/>
                <w:highlight w:val="none"/>
                <w:lang w:val="en-US" w:eastAsia="zh-CN" w:bidi="ar"/>
              </w:rPr>
            </w:pPr>
            <w:r>
              <w:rPr>
                <w:rFonts w:hint="eastAsia" w:ascii="宋体" w:hAnsi="宋体" w:eastAsia="宋体" w:cs="宋体"/>
                <w:b/>
                <w:bCs/>
                <w:color w:val="auto"/>
                <w:spacing w:val="0"/>
                <w:kern w:val="0"/>
                <w:sz w:val="24"/>
                <w:szCs w:val="24"/>
                <w:highlight w:val="none"/>
                <w:lang w:val="en-US" w:eastAsia="zh-CN" w:bidi="ar"/>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03"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pacing w:val="0"/>
                <w:kern w:val="0"/>
                <w:sz w:val="24"/>
                <w:szCs w:val="24"/>
                <w:highlight w:val="none"/>
                <w:lang w:val="en-US" w:eastAsia="zh-CN" w:bidi="ar"/>
              </w:rPr>
            </w:pPr>
            <w:bookmarkStart w:id="1" w:name="OLE_LINK8" w:colFirst="0" w:colLast="1"/>
            <w:r>
              <w:rPr>
                <w:rFonts w:hint="eastAsia" w:ascii="宋体" w:hAnsi="宋体" w:eastAsia="宋体" w:cs="宋体"/>
                <w:color w:val="auto"/>
                <w:spacing w:val="0"/>
                <w:kern w:val="0"/>
                <w:sz w:val="24"/>
                <w:szCs w:val="24"/>
                <w:highlight w:val="none"/>
                <w:lang w:val="en-US" w:eastAsia="zh-CN" w:bidi="ar"/>
              </w:rPr>
              <w:t>1</w:t>
            </w:r>
          </w:p>
        </w:tc>
        <w:tc>
          <w:tcPr>
            <w:tcW w:w="1797"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z w:val="24"/>
                <w:szCs w:val="24"/>
                <w:highlight w:val="none"/>
                <w:lang w:eastAsia="zh-CN" w:bidi="ar"/>
              </w:rPr>
              <w:t>小流域风险隐患调查与成果应用</w:t>
            </w:r>
          </w:p>
        </w:tc>
        <w:tc>
          <w:tcPr>
            <w:tcW w:w="388"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1</w:t>
            </w:r>
          </w:p>
        </w:tc>
        <w:tc>
          <w:tcPr>
            <w:tcW w:w="677"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9379000</w:t>
            </w:r>
          </w:p>
        </w:tc>
        <w:tc>
          <w:tcPr>
            <w:tcW w:w="436"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pacing w:val="0"/>
                <w:kern w:val="0"/>
                <w:sz w:val="24"/>
                <w:szCs w:val="24"/>
                <w:highlight w:val="none"/>
                <w:lang w:val="en-US" w:eastAsia="zh-CN" w:bidi="ar"/>
              </w:rPr>
            </w:pPr>
            <w:r>
              <w:rPr>
                <w:rFonts w:ascii="宋体" w:hAnsi="宋体" w:eastAsia="宋体" w:cs="宋体"/>
                <w:color w:val="auto"/>
                <w:sz w:val="24"/>
                <w:szCs w:val="24"/>
                <w:highlight w:val="none"/>
                <w:lang w:eastAsia="zh-CN"/>
              </w:rPr>
              <w:t>项</w:t>
            </w:r>
          </w:p>
        </w:tc>
        <w:tc>
          <w:tcPr>
            <w:tcW w:w="642"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pacing w:val="0"/>
                <w:kern w:val="0"/>
                <w:sz w:val="24"/>
                <w:szCs w:val="24"/>
                <w:highlight w:val="none"/>
                <w:lang w:val="en-US" w:eastAsia="zh-CN" w:bidi="ar"/>
              </w:rPr>
            </w:pPr>
            <w:bookmarkStart w:id="2" w:name="OLE_LINK18"/>
            <w:r>
              <w:rPr>
                <w:rFonts w:hint="eastAsia" w:ascii="宋体" w:hAnsi="宋体" w:eastAsia="宋体" w:cs="宋体"/>
                <w:color w:val="auto"/>
                <w:spacing w:val="0"/>
                <w:kern w:val="0"/>
                <w:sz w:val="24"/>
                <w:szCs w:val="24"/>
                <w:highlight w:val="none"/>
                <w:lang w:val="en-US" w:eastAsia="zh-CN" w:bidi="ar"/>
              </w:rPr>
              <w:t>其他未列明行业</w:t>
            </w:r>
            <w:bookmarkEnd w:id="2"/>
          </w:p>
        </w:tc>
        <w:tc>
          <w:tcPr>
            <w:tcW w:w="654"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否</w:t>
            </w:r>
          </w:p>
        </w:tc>
      </w:tr>
      <w:bookmarkEnd w:id="1"/>
    </w:tbl>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报价要求：</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529"/>
        <w:gridCol w:w="1230"/>
        <w:gridCol w:w="1185"/>
        <w:gridCol w:w="1200"/>
        <w:gridCol w:w="121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4"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b/>
                <w:bCs/>
                <w:color w:val="auto"/>
                <w:spacing w:val="0"/>
                <w:kern w:val="0"/>
                <w:sz w:val="24"/>
                <w:szCs w:val="24"/>
                <w:highlight w:val="none"/>
                <w:lang w:val="en-US" w:eastAsia="zh-CN" w:bidi="ar"/>
              </w:rPr>
              <w:t>序号</w:t>
            </w:r>
          </w:p>
        </w:tc>
        <w:tc>
          <w:tcPr>
            <w:tcW w:w="2529"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b/>
                <w:bCs/>
                <w:color w:val="auto"/>
                <w:sz w:val="24"/>
                <w:szCs w:val="24"/>
                <w:highlight w:val="none"/>
              </w:rPr>
              <w:t>报价内容</w:t>
            </w:r>
          </w:p>
        </w:tc>
        <w:tc>
          <w:tcPr>
            <w:tcW w:w="1230"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b/>
                <w:bCs/>
                <w:color w:val="auto"/>
                <w:sz w:val="24"/>
                <w:szCs w:val="24"/>
                <w:highlight w:val="none"/>
              </w:rPr>
              <w:t>计量单位</w:t>
            </w:r>
          </w:p>
        </w:tc>
        <w:tc>
          <w:tcPr>
            <w:tcW w:w="1185"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b/>
                <w:bCs/>
                <w:color w:val="auto"/>
                <w:sz w:val="24"/>
                <w:szCs w:val="24"/>
                <w:highlight w:val="none"/>
              </w:rPr>
              <w:t>报价单位</w:t>
            </w:r>
          </w:p>
        </w:tc>
        <w:tc>
          <w:tcPr>
            <w:tcW w:w="1200"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最高限价</w:t>
            </w:r>
          </w:p>
        </w:tc>
        <w:tc>
          <w:tcPr>
            <w:tcW w:w="1215"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rPr>
              <w:t>价款形式</w:t>
            </w:r>
          </w:p>
        </w:tc>
        <w:tc>
          <w:tcPr>
            <w:tcW w:w="1219"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rPr>
              <w:t>报价说明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4"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2529"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eastAsia="zh-CN" w:bidi="ar"/>
              </w:rPr>
              <w:t>小流域风险隐患调查与成果应用</w:t>
            </w:r>
          </w:p>
        </w:tc>
        <w:tc>
          <w:tcPr>
            <w:tcW w:w="1230"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项</w:t>
            </w:r>
          </w:p>
        </w:tc>
        <w:tc>
          <w:tcPr>
            <w:tcW w:w="1185"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元</w:t>
            </w:r>
          </w:p>
        </w:tc>
        <w:tc>
          <w:tcPr>
            <w:tcW w:w="1200"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宋体" w:hAnsi="宋体" w:eastAsia="宋体" w:cs="宋体"/>
                <w:color w:val="auto"/>
                <w:sz w:val="24"/>
                <w:szCs w:val="24"/>
                <w:highlight w:val="none"/>
                <w:vertAlign w:val="baseline"/>
                <w:lang w:val="en-US"/>
              </w:rPr>
            </w:pPr>
            <w:r>
              <w:rPr>
                <w:rFonts w:hint="eastAsia" w:ascii="宋体" w:hAnsi="宋体" w:eastAsia="宋体" w:cs="宋体"/>
                <w:color w:val="auto"/>
                <w:spacing w:val="0"/>
                <w:kern w:val="0"/>
                <w:sz w:val="24"/>
                <w:szCs w:val="24"/>
                <w:highlight w:val="none"/>
                <w:lang w:val="en-US" w:eastAsia="zh-CN" w:bidi="ar"/>
              </w:rPr>
              <w:t>9379000</w:t>
            </w:r>
          </w:p>
        </w:tc>
        <w:tc>
          <w:tcPr>
            <w:tcW w:w="1215"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总价</w:t>
            </w:r>
          </w:p>
        </w:tc>
        <w:tc>
          <w:tcPr>
            <w:tcW w:w="1219" w:type="dxa"/>
            <w:vAlign w:val="center"/>
          </w:tcPr>
          <w:p>
            <w:pPr>
              <w:pStyle w:val="21"/>
              <w:keepNext w:val="0"/>
              <w:keepLines w:val="0"/>
              <w:pageBreakBefore w:val="0"/>
              <w:widowControl w:val="0"/>
              <w:kinsoku/>
              <w:wordWrap/>
              <w:overflowPunct/>
              <w:topLinePunct w:val="0"/>
              <w:autoSpaceDE/>
              <w:autoSpaceDN/>
              <w:bidi w:val="0"/>
              <w:adjustRightInd/>
              <w:snapToGrid w:val="0"/>
              <w:spacing w:beforeLines="0" w:after="0"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无</w:t>
            </w:r>
          </w:p>
        </w:tc>
      </w:tr>
    </w:tbl>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报价明细要求：</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803"/>
        <w:gridCol w:w="2623"/>
        <w:gridCol w:w="750"/>
        <w:gridCol w:w="735"/>
        <w:gridCol w:w="1200"/>
        <w:gridCol w:w="76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b/>
                <w:bCs/>
                <w:color w:val="auto"/>
                <w:sz w:val="24"/>
                <w:szCs w:val="24"/>
                <w:highlight w:val="none"/>
              </w:rPr>
              <w:t>序号</w:t>
            </w:r>
          </w:p>
        </w:tc>
        <w:tc>
          <w:tcPr>
            <w:tcW w:w="1803"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b/>
                <w:bCs/>
                <w:color w:val="auto"/>
                <w:sz w:val="24"/>
                <w:szCs w:val="24"/>
                <w:highlight w:val="none"/>
              </w:rPr>
              <w:t>报价明细内容</w:t>
            </w:r>
          </w:p>
        </w:tc>
        <w:tc>
          <w:tcPr>
            <w:tcW w:w="2623"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b/>
                <w:bCs/>
                <w:color w:val="auto"/>
                <w:sz w:val="24"/>
                <w:szCs w:val="24"/>
                <w:highlight w:val="none"/>
              </w:rPr>
              <w:t>报价要求</w:t>
            </w:r>
          </w:p>
        </w:tc>
        <w:tc>
          <w:tcPr>
            <w:tcW w:w="750"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rPr>
              <w:t>计量单位</w:t>
            </w:r>
          </w:p>
        </w:tc>
        <w:tc>
          <w:tcPr>
            <w:tcW w:w="735"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rPr>
              <w:t>报价单位</w:t>
            </w:r>
          </w:p>
        </w:tc>
        <w:tc>
          <w:tcPr>
            <w:tcW w:w="1200"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rPr>
              <w:t>最高限价</w:t>
            </w:r>
          </w:p>
        </w:tc>
        <w:tc>
          <w:tcPr>
            <w:tcW w:w="765"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rPr>
              <w:t>价款形式</w:t>
            </w:r>
          </w:p>
        </w:tc>
        <w:tc>
          <w:tcPr>
            <w:tcW w:w="709"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rPr>
              <w:t>报价说明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1803"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eastAsia="zh-CN" w:bidi="ar"/>
              </w:rPr>
              <w:t>小流域风险隐患调查与成果应用</w:t>
            </w:r>
          </w:p>
        </w:tc>
        <w:tc>
          <w:tcPr>
            <w:tcW w:w="2623"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投标报价应包括服务成本、法定税费和企业润等一切费用。</w:t>
            </w:r>
          </w:p>
        </w:tc>
        <w:tc>
          <w:tcPr>
            <w:tcW w:w="750"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项</w:t>
            </w:r>
          </w:p>
        </w:tc>
        <w:tc>
          <w:tcPr>
            <w:tcW w:w="735"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元</w:t>
            </w:r>
          </w:p>
        </w:tc>
        <w:tc>
          <w:tcPr>
            <w:tcW w:w="1200"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pacing w:val="0"/>
                <w:kern w:val="0"/>
                <w:sz w:val="24"/>
                <w:szCs w:val="24"/>
                <w:highlight w:val="none"/>
                <w:lang w:val="en-US" w:eastAsia="zh-CN" w:bidi="ar"/>
              </w:rPr>
              <w:t>9379000</w:t>
            </w:r>
          </w:p>
        </w:tc>
        <w:tc>
          <w:tcPr>
            <w:tcW w:w="765"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总价</w:t>
            </w:r>
          </w:p>
        </w:tc>
        <w:tc>
          <w:tcPr>
            <w:tcW w:w="709"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val="0"/>
              <w:spacing w:beforeLines="0" w:after="0"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无</w:t>
            </w:r>
          </w:p>
        </w:tc>
      </w:tr>
    </w:tbl>
    <w:p>
      <w:pPr>
        <w:keepNext w:val="0"/>
        <w:keepLines w:val="0"/>
        <w:pageBreakBefore w:val="0"/>
        <w:widowControl w:val="0"/>
        <w:kinsoku/>
        <w:overflowPunct/>
        <w:topLinePunct w:val="0"/>
        <w:autoSpaceDE/>
        <w:bidi w:val="0"/>
        <w:adjustRightInd/>
        <w:textAlignment w:val="auto"/>
        <w:rPr>
          <w:rFonts w:hint="eastAsia" w:ascii="宋体" w:hAnsi="宋体" w:eastAsia="宋体" w:cs="宋体"/>
          <w:b/>
          <w:color w:val="auto"/>
          <w:sz w:val="32"/>
          <w:szCs w:val="32"/>
          <w:highlight w:val="none"/>
        </w:rPr>
      </w:pPr>
      <w:bookmarkStart w:id="3" w:name="_Toc4740"/>
      <w:r>
        <w:rPr>
          <w:rFonts w:hint="eastAsia" w:ascii="宋体" w:hAnsi="宋体" w:eastAsia="宋体" w:cs="宋体"/>
          <w:b/>
          <w:color w:val="auto"/>
          <w:sz w:val="32"/>
          <w:szCs w:val="32"/>
          <w:highlight w:val="none"/>
        </w:rPr>
        <w:br w:type="page"/>
      </w:r>
    </w:p>
    <w:p>
      <w:pPr>
        <w:pStyle w:val="2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第二章</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lang w:eastAsia="zh-CN"/>
        </w:rPr>
        <w:t>投标人</w:t>
      </w:r>
      <w:r>
        <w:rPr>
          <w:rFonts w:hint="eastAsia" w:ascii="宋体" w:hAnsi="宋体" w:eastAsia="宋体" w:cs="宋体"/>
          <w:b/>
          <w:color w:val="auto"/>
          <w:sz w:val="32"/>
          <w:szCs w:val="32"/>
          <w:highlight w:val="none"/>
        </w:rPr>
        <w:t>须知前附表</w:t>
      </w:r>
      <w:bookmarkEnd w:id="3"/>
    </w:p>
    <w:p>
      <w:pPr>
        <w:pStyle w:val="2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rPr>
        <w:t>一、投标人须知前附表1</w:t>
      </w:r>
    </w:p>
    <w:tbl>
      <w:tblPr>
        <w:tblStyle w:val="1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7"/>
        <w:gridCol w:w="1429"/>
        <w:gridCol w:w="71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9322"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bCs/>
                <w:color w:val="auto"/>
                <w:sz w:val="24"/>
                <w:szCs w:val="24"/>
                <w:highlight w:val="none"/>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717"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429"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招标文件</w:t>
            </w:r>
          </w:p>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第三章</w:t>
            </w:r>
            <w:r>
              <w:rPr>
                <w:rFonts w:hint="eastAsia" w:ascii="宋体" w:hAnsi="宋体" w:eastAsia="宋体" w:cs="宋体"/>
                <w:b/>
                <w:bCs/>
                <w:color w:val="auto"/>
                <w:sz w:val="24"/>
                <w:szCs w:val="24"/>
                <w:highlight w:val="none"/>
                <w:lang w:eastAsia="zh-CN"/>
              </w:rPr>
              <w:t>）</w:t>
            </w:r>
          </w:p>
        </w:tc>
        <w:tc>
          <w:tcPr>
            <w:tcW w:w="7176"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b/>
                <w:bCs/>
                <w:color w:val="auto"/>
                <w:sz w:val="24"/>
                <w:szCs w:val="24"/>
                <w:highlight w:val="none"/>
              </w:rPr>
            </w:pPr>
            <w:r>
              <w:rPr>
                <w:rFonts w:hint="eastAsia" w:ascii="宋体" w:hAnsi="宋体" w:eastAsia="宋体" w:cs="宋体"/>
                <w:b/>
                <w:bCs/>
                <w:color w:val="auto"/>
                <w:sz w:val="24"/>
                <w:szCs w:val="24"/>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717"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429"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6.1</w:t>
            </w:r>
          </w:p>
        </w:tc>
        <w:tc>
          <w:tcPr>
            <w:tcW w:w="7176" w:type="dxa"/>
            <w:vAlign w:val="center"/>
          </w:tcPr>
          <w:p>
            <w:pPr>
              <w:pStyle w:val="14"/>
              <w:keepNext w:val="0"/>
              <w:keepLines w:val="0"/>
              <w:pageBreakBefore w:val="0"/>
              <w:widowControl w:val="0"/>
              <w:suppressLineNumbers w:val="0"/>
              <w:kinsoku/>
              <w:overflowPunct/>
              <w:topLinePunct w:val="0"/>
              <w:autoSpaceDE/>
              <w:bidi w:val="0"/>
              <w:adjustRightInd/>
              <w:spacing w:before="0" w:beforeAutospacing="0" w:after="0" w:afterAutospacing="0" w:line="500" w:lineRule="exact"/>
              <w:ind w:left="0" w:right="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是否组织现场考察或召开开标前答疑会：</w:t>
            </w:r>
          </w:p>
          <w:p>
            <w:pPr>
              <w:pStyle w:val="14"/>
              <w:keepNext w:val="0"/>
              <w:keepLines w:val="0"/>
              <w:pageBreakBefore w:val="0"/>
              <w:widowControl w:val="0"/>
              <w:suppressLineNumbers w:val="0"/>
              <w:kinsoku/>
              <w:overflowPunct/>
              <w:topLinePunct w:val="0"/>
              <w:autoSpaceDE/>
              <w:bidi w:val="0"/>
              <w:adjustRightInd/>
              <w:spacing w:before="0" w:beforeAutospacing="0" w:after="0" w:afterAutospacing="0" w:line="500" w:lineRule="exact"/>
              <w:ind w:left="0" w:right="0"/>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color w:val="auto"/>
                <w:sz w:val="24"/>
                <w:szCs w:val="24"/>
                <w:highlight w:val="none"/>
                <w:lang w:val="en-US" w:eastAsia="zh-CN"/>
              </w:rPr>
              <w:t>采购包1：</w:t>
            </w:r>
            <w:r>
              <w:rPr>
                <w:rFonts w:hint="eastAsia" w:ascii="宋体" w:hAnsi="宋体" w:eastAsia="宋体" w:cs="宋体"/>
                <w:b/>
                <w:bCs/>
                <w:color w:val="auto"/>
                <w:sz w:val="24"/>
                <w:szCs w:val="24"/>
                <w:highlight w:val="none"/>
                <w:lang w:val="en-US" w:eastAsia="zh-CN"/>
              </w:rPr>
              <w:t>不组织</w:t>
            </w:r>
            <w:r>
              <w:rPr>
                <w:rFonts w:hint="eastAsia" w:ascii="宋体" w:hAnsi="宋体" w:eastAsia="宋体" w:cs="宋体"/>
                <w:b w:val="0"/>
                <w:bCs/>
                <w:color w:val="auto"/>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717"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1429"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10.4</w:t>
            </w:r>
          </w:p>
        </w:tc>
        <w:tc>
          <w:tcPr>
            <w:tcW w:w="7176"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投标文件的份数：</w:t>
            </w:r>
          </w:p>
          <w:p>
            <w:pPr>
              <w:pStyle w:val="21"/>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（1）可读介质（光盘或U盘）</w:t>
            </w:r>
            <w:r>
              <w:rPr>
                <w:rFonts w:hint="eastAsia" w:ascii="宋体" w:hAnsi="宋体" w:eastAsia="宋体" w:cs="宋体"/>
                <w:color w:val="auto"/>
                <w:kern w:val="0"/>
                <w:sz w:val="24"/>
                <w:szCs w:val="24"/>
                <w:highlight w:val="none"/>
                <w:u w:val="single"/>
                <w:lang w:val="en-US" w:eastAsia="zh-CN" w:bidi="ar"/>
              </w:rPr>
              <w:t xml:space="preserve"> 0 </w:t>
            </w:r>
            <w:r>
              <w:rPr>
                <w:rFonts w:hint="eastAsia" w:ascii="宋体" w:hAnsi="宋体" w:eastAsia="宋体" w:cs="宋体"/>
                <w:color w:val="auto"/>
                <w:kern w:val="0"/>
                <w:sz w:val="24"/>
                <w:szCs w:val="24"/>
                <w:highlight w:val="none"/>
                <w:lang w:val="en-US" w:eastAsia="zh-CN" w:bidi="ar"/>
              </w:rPr>
              <w:t>份：投标人应将其上传至福建省政府采购网上公开信息系统的电子投标文件在该可读介质中另存</w:t>
            </w:r>
            <w:r>
              <w:rPr>
                <w:rFonts w:hint="eastAsia" w:ascii="宋体" w:hAnsi="宋体" w:eastAsia="宋体" w:cs="宋体"/>
                <w:color w:val="auto"/>
                <w:kern w:val="0"/>
                <w:sz w:val="24"/>
                <w:szCs w:val="24"/>
                <w:highlight w:val="none"/>
                <w:u w:val="single"/>
                <w:lang w:val="en-US" w:eastAsia="zh-CN" w:bidi="ar"/>
              </w:rPr>
              <w:t xml:space="preserve"> 0 </w:t>
            </w:r>
            <w:r>
              <w:rPr>
                <w:rFonts w:hint="eastAsia" w:ascii="宋体" w:hAnsi="宋体" w:eastAsia="宋体" w:cs="宋体"/>
                <w:color w:val="auto"/>
                <w:kern w:val="0"/>
                <w:sz w:val="24"/>
                <w:szCs w:val="24"/>
                <w:highlight w:val="none"/>
                <w:lang w:val="en-US" w:eastAsia="zh-CN" w:bidi="ar"/>
              </w:rPr>
              <w:t>份。</w:t>
            </w:r>
          </w:p>
          <w:p>
            <w:pPr>
              <w:pStyle w:val="21"/>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717" w:type="dxa"/>
            <w:vAlign w:val="center"/>
          </w:tcPr>
          <w:p>
            <w:pPr>
              <w:pStyle w:val="21"/>
              <w:keepNext w:val="0"/>
              <w:keepLines w:val="0"/>
              <w:pageBreakBefore w:val="0"/>
              <w:widowControl w:val="0"/>
              <w:kinsoku/>
              <w:overflowPunct/>
              <w:topLinePunct w:val="0"/>
              <w:autoSpaceDE/>
              <w:bidi w:val="0"/>
              <w:adjustRightInd/>
              <w:spacing w:line="500" w:lineRule="exact"/>
              <w:jc w:val="center"/>
              <w:textAlignment w:val="auto"/>
              <w:rPr>
                <w:rFonts w:hint="eastAsia" w:ascii="宋体" w:hAnsi="宋体" w:eastAsia="宋体" w:cs="宋体"/>
                <w:b w:val="0"/>
                <w:bCs/>
                <w:color w:val="auto"/>
                <w:sz w:val="24"/>
                <w:szCs w:val="24"/>
                <w:highlight w:val="none"/>
              </w:rPr>
            </w:pPr>
            <w:r>
              <w:rPr>
                <w:rFonts w:ascii="宋体" w:hAnsi="宋体" w:eastAsia="宋体" w:cs="宋体"/>
                <w:bCs/>
                <w:color w:val="auto"/>
                <w:sz w:val="24"/>
                <w:szCs w:val="24"/>
                <w:highlight w:val="none"/>
              </w:rPr>
              <w:t>3</w:t>
            </w:r>
          </w:p>
        </w:tc>
        <w:tc>
          <w:tcPr>
            <w:tcW w:w="1429" w:type="dxa"/>
            <w:vAlign w:val="center"/>
          </w:tcPr>
          <w:p>
            <w:pPr>
              <w:pStyle w:val="21"/>
              <w:keepNext w:val="0"/>
              <w:keepLines w:val="0"/>
              <w:pageBreakBefore w:val="0"/>
              <w:widowControl w:val="0"/>
              <w:kinsoku/>
              <w:overflowPunct/>
              <w:topLinePunct w:val="0"/>
              <w:autoSpaceDE/>
              <w:bidi w:val="0"/>
              <w:adjustRightInd/>
              <w:spacing w:line="500" w:lineRule="exact"/>
              <w:jc w:val="center"/>
              <w:textAlignment w:val="auto"/>
              <w:rPr>
                <w:rFonts w:hint="eastAsia" w:ascii="宋体" w:hAnsi="宋体" w:eastAsia="宋体" w:cs="宋体"/>
                <w:b w:val="0"/>
                <w:bCs/>
                <w:color w:val="auto"/>
                <w:sz w:val="24"/>
                <w:szCs w:val="24"/>
                <w:highlight w:val="none"/>
                <w:lang w:eastAsia="zh-CN"/>
              </w:rPr>
            </w:pPr>
            <w:r>
              <w:rPr>
                <w:rFonts w:ascii="宋体" w:hAnsi="宋体" w:eastAsia="宋体" w:cs="宋体"/>
                <w:bCs/>
                <w:color w:val="auto"/>
                <w:sz w:val="24"/>
                <w:szCs w:val="24"/>
                <w:highlight w:val="none"/>
              </w:rPr>
              <w:t>10.7-</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w:t>
            </w:r>
          </w:p>
        </w:tc>
        <w:tc>
          <w:tcPr>
            <w:tcW w:w="7176" w:type="dxa"/>
            <w:vAlign w:val="center"/>
          </w:tcPr>
          <w:p>
            <w:pPr>
              <w:pStyle w:val="21"/>
              <w:keepNext w:val="0"/>
              <w:keepLines w:val="0"/>
              <w:pageBreakBefore w:val="0"/>
              <w:widowControl w:val="0"/>
              <w:kinsoku/>
              <w:overflowPunct/>
              <w:topLinePunct w:val="0"/>
              <w:autoSpaceDE/>
              <w:bidi w:val="0"/>
              <w:adjustRightInd/>
              <w:spacing w:line="500" w:lineRule="exact"/>
              <w:jc w:val="both"/>
              <w:textAlignment w:val="auto"/>
              <w:rPr>
                <w:rFonts w:ascii="宋体" w:hAnsi="宋体" w:eastAsia="宋体" w:cs="宋体"/>
                <w:b/>
                <w:color w:val="auto"/>
                <w:sz w:val="24"/>
                <w:szCs w:val="24"/>
                <w:highlight w:val="none"/>
              </w:rPr>
            </w:pPr>
            <w:r>
              <w:rPr>
                <w:rFonts w:ascii="宋体" w:hAnsi="宋体" w:eastAsia="宋体" w:cs="宋体"/>
                <w:b/>
                <w:color w:val="auto"/>
                <w:sz w:val="24"/>
                <w:szCs w:val="24"/>
                <w:highlight w:val="none"/>
              </w:rPr>
              <w:t>是否允许中标人将本项目的非主体、非关键性工作进行分包：</w:t>
            </w:r>
          </w:p>
          <w:p>
            <w:pPr>
              <w:pStyle w:val="21"/>
              <w:keepNext w:val="0"/>
              <w:keepLines w:val="0"/>
              <w:pageBreakBefore w:val="0"/>
              <w:widowControl w:val="0"/>
              <w:kinsoku/>
              <w:overflowPunct/>
              <w:topLinePunct w:val="0"/>
              <w:autoSpaceDE/>
              <w:bidi w:val="0"/>
              <w:adjustRightInd/>
              <w:spacing w:line="500" w:lineRule="exact"/>
              <w:jc w:val="both"/>
              <w:textAlignment w:val="auto"/>
              <w:rPr>
                <w:rFonts w:hint="eastAsia" w:ascii="宋体" w:hAnsi="宋体" w:eastAsia="宋体" w:cs="宋体"/>
                <w:color w:val="auto"/>
                <w:sz w:val="24"/>
                <w:szCs w:val="24"/>
                <w:highlight w:val="none"/>
                <w:lang w:eastAsia="zh-CN"/>
              </w:rPr>
            </w:pPr>
            <w:r>
              <w:rPr>
                <w:rFonts w:ascii="宋体" w:hAnsi="宋体" w:eastAsia="宋体" w:cs="宋体"/>
                <w:bCs/>
                <w:color w:val="auto"/>
                <w:sz w:val="24"/>
                <w:szCs w:val="24"/>
                <w:highlight w:val="none"/>
              </w:rPr>
              <w:t>采购包1：不允许</w:t>
            </w:r>
            <w:r>
              <w:rPr>
                <w:rFonts w:ascii="宋体" w:hAnsi="宋体" w:eastAsia="宋体" w:cs="宋体"/>
                <w:bCs/>
                <w:color w:val="auto"/>
                <w:sz w:val="24"/>
                <w:szCs w:val="24"/>
                <w:highlight w:val="none"/>
                <w:lang w:eastAsia="zh-CN"/>
              </w:rPr>
              <w:t>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717" w:type="dxa"/>
            <w:vAlign w:val="center"/>
          </w:tcPr>
          <w:p>
            <w:pPr>
              <w:pStyle w:val="21"/>
              <w:keepNext w:val="0"/>
              <w:keepLines w:val="0"/>
              <w:pageBreakBefore w:val="0"/>
              <w:widowControl w:val="0"/>
              <w:kinsoku/>
              <w:overflowPunct/>
              <w:topLinePunct w:val="0"/>
              <w:autoSpaceDE/>
              <w:bidi w:val="0"/>
              <w:adjustRightInd/>
              <w:spacing w:line="500" w:lineRule="exact"/>
              <w:jc w:val="center"/>
              <w:textAlignment w:val="auto"/>
              <w:rPr>
                <w:rFonts w:hint="eastAsia" w:ascii="宋体" w:hAnsi="宋体" w:eastAsia="宋体" w:cs="宋体"/>
                <w:b w:val="0"/>
                <w:bCs/>
                <w:color w:val="auto"/>
                <w:sz w:val="24"/>
                <w:szCs w:val="24"/>
                <w:highlight w:val="none"/>
                <w:lang w:eastAsia="zh-CN"/>
              </w:rPr>
            </w:pPr>
            <w:r>
              <w:rPr>
                <w:rFonts w:ascii="宋体" w:hAnsi="宋体" w:eastAsia="宋体" w:cs="宋体"/>
                <w:bCs/>
                <w:color w:val="auto"/>
                <w:sz w:val="24"/>
                <w:szCs w:val="24"/>
                <w:highlight w:val="none"/>
              </w:rPr>
              <w:t>4</w:t>
            </w:r>
          </w:p>
        </w:tc>
        <w:tc>
          <w:tcPr>
            <w:tcW w:w="1429" w:type="dxa"/>
            <w:vAlign w:val="center"/>
          </w:tcPr>
          <w:p>
            <w:pPr>
              <w:pStyle w:val="21"/>
              <w:keepNext w:val="0"/>
              <w:keepLines w:val="0"/>
              <w:pageBreakBefore w:val="0"/>
              <w:widowControl w:val="0"/>
              <w:kinsoku/>
              <w:overflowPunct/>
              <w:topLinePunct w:val="0"/>
              <w:autoSpaceDE/>
              <w:bidi w:val="0"/>
              <w:adjustRightInd/>
              <w:spacing w:line="500" w:lineRule="exact"/>
              <w:jc w:val="center"/>
              <w:textAlignment w:val="auto"/>
              <w:rPr>
                <w:rFonts w:hint="eastAsia" w:ascii="宋体" w:hAnsi="宋体" w:eastAsia="宋体" w:cs="宋体"/>
                <w:b w:val="0"/>
                <w:bCs/>
                <w:color w:val="auto"/>
                <w:sz w:val="24"/>
                <w:szCs w:val="24"/>
                <w:highlight w:val="none"/>
                <w:lang w:eastAsia="zh-CN"/>
              </w:rPr>
            </w:pPr>
            <w:r>
              <w:rPr>
                <w:rFonts w:ascii="宋体" w:hAnsi="宋体" w:eastAsia="宋体" w:cs="宋体"/>
                <w:bCs/>
                <w:color w:val="auto"/>
                <w:sz w:val="24"/>
                <w:szCs w:val="24"/>
                <w:highlight w:val="none"/>
              </w:rPr>
              <w:t>10.8-</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w:t>
            </w:r>
          </w:p>
        </w:tc>
        <w:tc>
          <w:tcPr>
            <w:tcW w:w="7176" w:type="dxa"/>
            <w:vAlign w:val="center"/>
          </w:tcPr>
          <w:p>
            <w:pPr>
              <w:pStyle w:val="21"/>
              <w:keepNext w:val="0"/>
              <w:keepLines w:val="0"/>
              <w:pageBreakBefore w:val="0"/>
              <w:widowControl w:val="0"/>
              <w:kinsoku/>
              <w:overflowPunct/>
              <w:topLinePunct w:val="0"/>
              <w:autoSpaceDE/>
              <w:bidi w:val="0"/>
              <w:adjustRightInd/>
              <w:spacing w:line="500" w:lineRule="exact"/>
              <w:jc w:val="both"/>
              <w:textAlignment w:val="auto"/>
              <w:rPr>
                <w:rFonts w:hint="eastAsia" w:ascii="宋体" w:hAnsi="宋体" w:eastAsia="宋体" w:cs="宋体"/>
                <w:b w:val="0"/>
                <w:bCs/>
                <w:color w:val="auto"/>
                <w:sz w:val="24"/>
                <w:szCs w:val="24"/>
                <w:highlight w:val="none"/>
                <w:lang w:eastAsia="zh-CN"/>
              </w:rPr>
            </w:pPr>
            <w:r>
              <w:rPr>
                <w:rFonts w:ascii="宋体" w:hAnsi="宋体" w:eastAsia="宋体" w:cs="宋体"/>
                <w:b/>
                <w:color w:val="auto"/>
                <w:sz w:val="24"/>
                <w:szCs w:val="24"/>
                <w:highlight w:val="none"/>
              </w:rPr>
              <w:t>投标有效期：</w:t>
            </w:r>
            <w:r>
              <w:rPr>
                <w:rFonts w:ascii="宋体" w:hAnsi="宋体" w:eastAsia="宋体" w:cs="宋体"/>
                <w:bCs/>
                <w:color w:val="auto"/>
                <w:sz w:val="24"/>
                <w:szCs w:val="24"/>
                <w:highlight w:val="none"/>
              </w:rPr>
              <w:t>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717" w:type="dxa"/>
            <w:vAlign w:val="center"/>
          </w:tcPr>
          <w:p>
            <w:pPr>
              <w:pStyle w:val="21"/>
              <w:keepNext w:val="0"/>
              <w:keepLines w:val="0"/>
              <w:pageBreakBefore w:val="0"/>
              <w:widowControl w:val="0"/>
              <w:kinsoku/>
              <w:overflowPunct/>
              <w:topLinePunct w:val="0"/>
              <w:autoSpaceDE/>
              <w:bidi w:val="0"/>
              <w:adjustRightInd/>
              <w:spacing w:line="500" w:lineRule="exact"/>
              <w:jc w:val="center"/>
              <w:textAlignment w:val="auto"/>
              <w:rPr>
                <w:rFonts w:hint="eastAsia" w:ascii="宋体" w:hAnsi="宋体" w:eastAsia="宋体" w:cs="宋体"/>
                <w:b w:val="0"/>
                <w:bCs/>
                <w:color w:val="auto"/>
                <w:sz w:val="24"/>
                <w:szCs w:val="24"/>
                <w:highlight w:val="none"/>
                <w:lang w:val="en-US" w:eastAsia="zh-CN"/>
              </w:rPr>
            </w:pPr>
            <w:r>
              <w:rPr>
                <w:rFonts w:ascii="宋体" w:hAnsi="宋体" w:eastAsia="宋体" w:cs="宋体"/>
                <w:bCs/>
                <w:color w:val="auto"/>
                <w:sz w:val="24"/>
                <w:szCs w:val="24"/>
                <w:highlight w:val="none"/>
              </w:rPr>
              <w:t>5</w:t>
            </w:r>
          </w:p>
        </w:tc>
        <w:tc>
          <w:tcPr>
            <w:tcW w:w="1429" w:type="dxa"/>
            <w:vAlign w:val="center"/>
          </w:tcPr>
          <w:p>
            <w:pPr>
              <w:pStyle w:val="21"/>
              <w:keepNext w:val="0"/>
              <w:keepLines w:val="0"/>
              <w:pageBreakBefore w:val="0"/>
              <w:widowControl w:val="0"/>
              <w:kinsoku/>
              <w:overflowPunct/>
              <w:topLinePunct w:val="0"/>
              <w:autoSpaceDE/>
              <w:bidi w:val="0"/>
              <w:adjustRightInd/>
              <w:spacing w:line="500" w:lineRule="exact"/>
              <w:jc w:val="center"/>
              <w:textAlignment w:val="auto"/>
              <w:rPr>
                <w:rFonts w:hint="eastAsia" w:ascii="宋体" w:hAnsi="宋体" w:eastAsia="宋体" w:cs="宋体"/>
                <w:b w:val="0"/>
                <w:bCs/>
                <w:color w:val="auto"/>
                <w:sz w:val="24"/>
                <w:szCs w:val="24"/>
                <w:highlight w:val="none"/>
                <w:lang w:val="en-US" w:eastAsia="zh-Hans"/>
              </w:rPr>
            </w:pPr>
            <w:r>
              <w:rPr>
                <w:rFonts w:ascii="宋体" w:hAnsi="宋体" w:eastAsia="宋体" w:cs="宋体"/>
                <w:bCs/>
                <w:color w:val="auto"/>
                <w:sz w:val="24"/>
                <w:szCs w:val="24"/>
                <w:highlight w:val="none"/>
              </w:rPr>
              <w:t>12.1</w:t>
            </w:r>
          </w:p>
        </w:tc>
        <w:tc>
          <w:tcPr>
            <w:tcW w:w="7176" w:type="dxa"/>
            <w:vAlign w:val="center"/>
          </w:tcPr>
          <w:p>
            <w:pPr>
              <w:pStyle w:val="21"/>
              <w:keepNext w:val="0"/>
              <w:keepLines w:val="0"/>
              <w:pageBreakBefore w:val="0"/>
              <w:widowControl w:val="0"/>
              <w:kinsoku/>
              <w:overflowPunct/>
              <w:topLinePunct w:val="0"/>
              <w:autoSpaceDE/>
              <w:bidi w:val="0"/>
              <w:adjustRightInd/>
              <w:spacing w:line="500" w:lineRule="exact"/>
              <w:jc w:val="both"/>
              <w:textAlignment w:val="auto"/>
              <w:rPr>
                <w:rFonts w:ascii="宋体" w:hAnsi="宋体" w:eastAsia="宋体" w:cs="宋体"/>
                <w:b/>
                <w:color w:val="auto"/>
                <w:sz w:val="24"/>
                <w:szCs w:val="24"/>
                <w:highlight w:val="none"/>
              </w:rPr>
            </w:pPr>
            <w:r>
              <w:rPr>
                <w:rFonts w:ascii="宋体" w:hAnsi="宋体" w:eastAsia="宋体" w:cs="宋体"/>
                <w:b/>
                <w:color w:val="auto"/>
                <w:sz w:val="24"/>
                <w:szCs w:val="24"/>
                <w:highlight w:val="none"/>
              </w:rPr>
              <w:t>确定中标候选人名单：</w:t>
            </w:r>
          </w:p>
          <w:p>
            <w:pPr>
              <w:pStyle w:val="21"/>
              <w:keepNext w:val="0"/>
              <w:keepLines w:val="0"/>
              <w:pageBreakBefore w:val="0"/>
              <w:widowControl w:val="0"/>
              <w:kinsoku/>
              <w:overflowPunct/>
              <w:topLinePunct w:val="0"/>
              <w:autoSpaceDE/>
              <w:bidi w:val="0"/>
              <w:adjustRightInd/>
              <w:spacing w:line="500" w:lineRule="exact"/>
              <w:jc w:val="both"/>
              <w:textAlignment w:val="auto"/>
              <w:rPr>
                <w:rFonts w:hint="eastAsia" w:ascii="宋体" w:hAnsi="宋体" w:eastAsia="宋体" w:cs="宋体"/>
                <w:b w:val="0"/>
                <w:bCs/>
                <w:color w:val="auto"/>
                <w:sz w:val="24"/>
                <w:szCs w:val="24"/>
                <w:highlight w:val="none"/>
                <w:lang w:val="en-US" w:eastAsia="zh-CN"/>
              </w:rPr>
            </w:pPr>
            <w:r>
              <w:rPr>
                <w:rFonts w:ascii="宋体" w:hAnsi="宋体" w:eastAsia="宋体" w:cs="宋体"/>
                <w:bCs/>
                <w:color w:val="auto"/>
                <w:sz w:val="24"/>
                <w:szCs w:val="24"/>
                <w:highlight w:val="none"/>
              </w:rPr>
              <w:t>采购包1：1名</w:t>
            </w:r>
            <w:r>
              <w:rPr>
                <w:rFonts w:ascii="宋体" w:hAnsi="宋体" w:eastAsia="宋体" w:cs="宋体"/>
                <w:bCs/>
                <w:color w:val="auto"/>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717" w:type="dxa"/>
            <w:vAlign w:val="center"/>
          </w:tcPr>
          <w:p>
            <w:pPr>
              <w:pStyle w:val="21"/>
              <w:keepNext w:val="0"/>
              <w:keepLines w:val="0"/>
              <w:pageBreakBefore w:val="0"/>
              <w:widowControl w:val="0"/>
              <w:kinsoku/>
              <w:overflowPunct/>
              <w:topLinePunct w:val="0"/>
              <w:autoSpaceDE/>
              <w:bidi w:val="0"/>
              <w:adjustRightInd/>
              <w:spacing w:line="500" w:lineRule="exact"/>
              <w:jc w:val="center"/>
              <w:textAlignment w:val="auto"/>
              <w:rPr>
                <w:rFonts w:hint="eastAsia" w:ascii="宋体" w:hAnsi="宋体" w:eastAsia="宋体" w:cs="宋体"/>
                <w:b w:val="0"/>
                <w:bCs/>
                <w:color w:val="auto"/>
                <w:kern w:val="0"/>
                <w:sz w:val="24"/>
                <w:szCs w:val="24"/>
                <w:highlight w:val="none"/>
                <w:lang w:val="en-US" w:eastAsia="zh-CN" w:bidi="ar"/>
              </w:rPr>
            </w:pPr>
            <w:r>
              <w:rPr>
                <w:rFonts w:ascii="宋体" w:hAnsi="宋体" w:eastAsia="宋体" w:cs="宋体"/>
                <w:bCs/>
                <w:color w:val="auto"/>
                <w:sz w:val="24"/>
                <w:szCs w:val="24"/>
                <w:highlight w:val="none"/>
              </w:rPr>
              <w:t>6</w:t>
            </w:r>
          </w:p>
        </w:tc>
        <w:tc>
          <w:tcPr>
            <w:tcW w:w="1429" w:type="dxa"/>
            <w:vAlign w:val="center"/>
          </w:tcPr>
          <w:p>
            <w:pPr>
              <w:pStyle w:val="21"/>
              <w:keepNext w:val="0"/>
              <w:keepLines w:val="0"/>
              <w:pageBreakBefore w:val="0"/>
              <w:widowControl w:val="0"/>
              <w:kinsoku/>
              <w:overflowPunct/>
              <w:topLinePunct w:val="0"/>
              <w:autoSpaceDE/>
              <w:bidi w:val="0"/>
              <w:adjustRightInd/>
              <w:spacing w:line="500" w:lineRule="exact"/>
              <w:jc w:val="center"/>
              <w:textAlignment w:val="auto"/>
              <w:rPr>
                <w:rFonts w:hint="eastAsia" w:ascii="宋体" w:hAnsi="宋体" w:eastAsia="宋体" w:cs="宋体"/>
                <w:b w:val="0"/>
                <w:bCs/>
                <w:color w:val="auto"/>
                <w:kern w:val="0"/>
                <w:sz w:val="24"/>
                <w:szCs w:val="24"/>
                <w:highlight w:val="none"/>
                <w:lang w:val="en-US" w:eastAsia="zh-CN" w:bidi="ar"/>
              </w:rPr>
            </w:pPr>
            <w:r>
              <w:rPr>
                <w:rFonts w:ascii="宋体" w:hAnsi="宋体" w:eastAsia="宋体" w:cs="宋体"/>
                <w:bCs/>
                <w:color w:val="auto"/>
                <w:sz w:val="24"/>
                <w:szCs w:val="24"/>
                <w:highlight w:val="none"/>
              </w:rPr>
              <w:t>12.2</w:t>
            </w:r>
          </w:p>
        </w:tc>
        <w:tc>
          <w:tcPr>
            <w:tcW w:w="7176" w:type="dxa"/>
            <w:vAlign w:val="center"/>
          </w:tcPr>
          <w:p>
            <w:pPr>
              <w:pStyle w:val="21"/>
              <w:keepNext w:val="0"/>
              <w:keepLines w:val="0"/>
              <w:pageBreakBefore w:val="0"/>
              <w:widowControl w:val="0"/>
              <w:kinsoku/>
              <w:overflowPunct/>
              <w:topLinePunct w:val="0"/>
              <w:autoSpaceDE/>
              <w:bidi w:val="0"/>
              <w:adjustRightInd/>
              <w:spacing w:line="500" w:lineRule="exact"/>
              <w:jc w:val="both"/>
              <w:textAlignment w:val="auto"/>
              <w:rPr>
                <w:rFonts w:ascii="宋体" w:hAnsi="宋体" w:eastAsia="宋体" w:cs="宋体"/>
                <w:b/>
                <w:color w:val="auto"/>
                <w:sz w:val="24"/>
                <w:szCs w:val="24"/>
                <w:highlight w:val="none"/>
              </w:rPr>
            </w:pPr>
            <w:r>
              <w:rPr>
                <w:rFonts w:ascii="宋体" w:hAnsi="宋体" w:eastAsia="宋体" w:cs="宋体"/>
                <w:b/>
                <w:color w:val="auto"/>
                <w:sz w:val="24"/>
                <w:szCs w:val="24"/>
                <w:highlight w:val="none"/>
              </w:rPr>
              <w:t>本项目中标人的确定</w:t>
            </w:r>
            <w:r>
              <w:rPr>
                <w:rFonts w:hint="eastAsia" w:ascii="宋体" w:hAnsi="宋体" w:eastAsia="宋体" w:cs="宋体"/>
                <w:b/>
                <w:color w:val="auto"/>
                <w:sz w:val="24"/>
                <w:szCs w:val="24"/>
                <w:highlight w:val="none"/>
                <w:lang w:eastAsia="zh-CN"/>
              </w:rPr>
              <w:t>（</w:t>
            </w:r>
            <w:r>
              <w:rPr>
                <w:rFonts w:ascii="宋体" w:hAnsi="宋体" w:eastAsia="宋体" w:cs="宋体"/>
                <w:b/>
                <w:color w:val="auto"/>
                <w:sz w:val="24"/>
                <w:szCs w:val="24"/>
                <w:highlight w:val="none"/>
              </w:rPr>
              <w:t>以采购包为单位</w:t>
            </w:r>
            <w:r>
              <w:rPr>
                <w:rFonts w:hint="eastAsia" w:ascii="宋体" w:hAnsi="宋体" w:eastAsia="宋体" w:cs="宋体"/>
                <w:b/>
                <w:color w:val="auto"/>
                <w:sz w:val="24"/>
                <w:szCs w:val="24"/>
                <w:highlight w:val="none"/>
                <w:lang w:eastAsia="zh-CN"/>
              </w:rPr>
              <w:t>）</w:t>
            </w:r>
            <w:r>
              <w:rPr>
                <w:rFonts w:ascii="宋体" w:hAnsi="宋体" w:eastAsia="宋体" w:cs="宋体"/>
                <w:b/>
                <w:color w:val="auto"/>
                <w:sz w:val="24"/>
                <w:szCs w:val="24"/>
                <w:highlight w:val="none"/>
              </w:rPr>
              <w:t>：</w:t>
            </w:r>
          </w:p>
          <w:p>
            <w:pPr>
              <w:pStyle w:val="21"/>
              <w:keepNext w:val="0"/>
              <w:keepLines w:val="0"/>
              <w:pageBreakBefore w:val="0"/>
              <w:widowControl w:val="0"/>
              <w:kinsoku/>
              <w:overflowPunct/>
              <w:topLinePunct w:val="0"/>
              <w:autoSpaceDE/>
              <w:bidi w:val="0"/>
              <w:adjustRightInd/>
              <w:spacing w:line="500" w:lineRule="exact"/>
              <w:jc w:val="both"/>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w:t>
            </w:r>
            <w:r>
              <w:rPr>
                <w:rFonts w:ascii="宋体" w:hAnsi="宋体" w:eastAsia="宋体" w:cs="宋体"/>
                <w:color w:val="auto"/>
                <w:sz w:val="24"/>
                <w:szCs w:val="24"/>
                <w:highlight w:val="none"/>
              </w:rPr>
              <w:t>采购人应在政府采购招投标管理办法规定的时限内确定中标人</w:t>
            </w:r>
            <w:r>
              <w:rPr>
                <w:rFonts w:ascii="宋体" w:hAnsi="宋体" w:eastAsia="宋体" w:cs="宋体"/>
                <w:bCs/>
                <w:color w:val="auto"/>
                <w:sz w:val="24"/>
                <w:szCs w:val="24"/>
                <w:highlight w:val="none"/>
              </w:rPr>
              <w:t>。</w:t>
            </w:r>
          </w:p>
          <w:p>
            <w:pPr>
              <w:pStyle w:val="21"/>
              <w:keepNext w:val="0"/>
              <w:keepLines w:val="0"/>
              <w:pageBreakBefore w:val="0"/>
              <w:widowControl w:val="0"/>
              <w:kinsoku/>
              <w:overflowPunct/>
              <w:topLinePunct w:val="0"/>
              <w:autoSpaceDE/>
              <w:bidi w:val="0"/>
              <w:adjustRightInd/>
              <w:spacing w:line="500" w:lineRule="exact"/>
              <w:jc w:val="both"/>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若出现中标候选人并列情形，则按照下列方式确定中标人：</w:t>
            </w:r>
          </w:p>
          <w:p>
            <w:pPr>
              <w:pStyle w:val="21"/>
              <w:keepNext w:val="0"/>
              <w:keepLines w:val="0"/>
              <w:pageBreakBefore w:val="0"/>
              <w:widowControl w:val="0"/>
              <w:kinsoku/>
              <w:overflowPunct/>
              <w:topLinePunct w:val="0"/>
              <w:autoSpaceDE/>
              <w:bidi w:val="0"/>
              <w:adjustRightInd/>
              <w:spacing w:line="500" w:lineRule="exact"/>
              <w:jc w:val="both"/>
              <w:textAlignment w:val="auto"/>
              <w:rPr>
                <w:rFonts w:hint="eastAsia"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rPr>
              <w:t>①招标文件规定的方式：无。</w:t>
            </w:r>
          </w:p>
          <w:p>
            <w:pPr>
              <w:pStyle w:val="21"/>
              <w:keepNext w:val="0"/>
              <w:keepLines w:val="0"/>
              <w:pageBreakBefore w:val="0"/>
              <w:widowControl w:val="0"/>
              <w:kinsoku/>
              <w:overflowPunct/>
              <w:topLinePunct w:val="0"/>
              <w:autoSpaceDE/>
              <w:bidi w:val="0"/>
              <w:adjustRightInd/>
              <w:spacing w:line="500" w:lineRule="exact"/>
              <w:jc w:val="both"/>
              <w:textAlignment w:val="auto"/>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rPr>
              <w:t>②若本款第①点规定方式为“无”，则按照下列方式确定：无。</w:t>
            </w:r>
          </w:p>
          <w:p>
            <w:pPr>
              <w:pStyle w:val="21"/>
              <w:keepNext w:val="0"/>
              <w:keepLines w:val="0"/>
              <w:pageBreakBefore w:val="0"/>
              <w:widowControl w:val="0"/>
              <w:kinsoku/>
              <w:overflowPunct/>
              <w:topLinePunct w:val="0"/>
              <w:autoSpaceDE/>
              <w:bidi w:val="0"/>
              <w:adjustRightInd/>
              <w:spacing w:line="500" w:lineRule="exact"/>
              <w:jc w:val="both"/>
              <w:textAlignment w:val="auto"/>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rPr>
              <w:t>③若本款第①、②点规定方式均为“无”，则按照下列方式确定：随机抽取</w:t>
            </w:r>
            <w:r>
              <w:rPr>
                <w:rFonts w:ascii="宋体" w:hAnsi="宋体" w:eastAsia="宋体" w:cs="宋体"/>
                <w:bCs/>
                <w:color w:val="auto"/>
                <w:sz w:val="24"/>
                <w:szCs w:val="24"/>
                <w:highlight w:val="none"/>
                <w:lang w:eastAsia="zh-CN"/>
              </w:rPr>
              <w:t>。</w:t>
            </w:r>
          </w:p>
          <w:p>
            <w:pPr>
              <w:pStyle w:val="21"/>
              <w:keepNext w:val="0"/>
              <w:keepLines w:val="0"/>
              <w:pageBreakBefore w:val="0"/>
              <w:widowControl w:val="0"/>
              <w:kinsoku/>
              <w:overflowPunct/>
              <w:topLinePunct w:val="0"/>
              <w:autoSpaceDE/>
              <w:bidi w:val="0"/>
              <w:adjustRightInd/>
              <w:spacing w:line="500" w:lineRule="exact"/>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本项目确定的中标人家数：采购包1：1名</w:t>
            </w:r>
            <w:r>
              <w:rPr>
                <w:rFonts w:ascii="宋体" w:hAnsi="宋体" w:eastAsia="宋体" w:cs="宋体"/>
                <w:bCs/>
                <w:color w:val="auto"/>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717" w:type="dxa"/>
            <w:vAlign w:val="center"/>
          </w:tcPr>
          <w:p>
            <w:pPr>
              <w:pStyle w:val="21"/>
              <w:keepNext w:val="0"/>
              <w:keepLines w:val="0"/>
              <w:pageBreakBefore w:val="0"/>
              <w:widowControl w:val="0"/>
              <w:kinsoku/>
              <w:overflowPunct/>
              <w:topLinePunct w:val="0"/>
              <w:autoSpaceDE/>
              <w:bidi w:val="0"/>
              <w:adjustRightInd/>
              <w:spacing w:line="500" w:lineRule="exact"/>
              <w:jc w:val="center"/>
              <w:textAlignment w:val="auto"/>
              <w:rPr>
                <w:rFonts w:hint="eastAsia" w:ascii="宋体" w:hAnsi="宋体" w:eastAsia="宋体" w:cs="宋体"/>
                <w:b w:val="0"/>
                <w:bCs/>
                <w:color w:val="auto"/>
                <w:sz w:val="24"/>
                <w:szCs w:val="24"/>
                <w:highlight w:val="none"/>
                <w:lang w:val="en-US" w:eastAsia="zh-Hans"/>
              </w:rPr>
            </w:pPr>
            <w:r>
              <w:rPr>
                <w:rFonts w:ascii="宋体" w:hAnsi="宋体" w:eastAsia="宋体" w:cs="宋体"/>
                <w:bCs/>
                <w:color w:val="auto"/>
                <w:sz w:val="24"/>
                <w:szCs w:val="24"/>
                <w:highlight w:val="none"/>
              </w:rPr>
              <w:t>7</w:t>
            </w:r>
          </w:p>
        </w:tc>
        <w:tc>
          <w:tcPr>
            <w:tcW w:w="1429" w:type="dxa"/>
            <w:vAlign w:val="center"/>
          </w:tcPr>
          <w:p>
            <w:pPr>
              <w:pStyle w:val="21"/>
              <w:keepNext w:val="0"/>
              <w:keepLines w:val="0"/>
              <w:pageBreakBefore w:val="0"/>
              <w:widowControl w:val="0"/>
              <w:kinsoku/>
              <w:overflowPunct/>
              <w:topLinePunct w:val="0"/>
              <w:autoSpaceDE/>
              <w:bidi w:val="0"/>
              <w:adjustRightInd/>
              <w:spacing w:line="500" w:lineRule="exact"/>
              <w:jc w:val="center"/>
              <w:textAlignment w:val="auto"/>
              <w:rPr>
                <w:rFonts w:hint="eastAsia" w:ascii="宋体" w:hAnsi="宋体" w:eastAsia="宋体" w:cs="宋体"/>
                <w:b w:val="0"/>
                <w:bCs/>
                <w:color w:val="auto"/>
                <w:sz w:val="24"/>
                <w:szCs w:val="24"/>
                <w:highlight w:val="none"/>
                <w:lang w:val="en-US" w:eastAsia="zh-CN"/>
              </w:rPr>
            </w:pPr>
            <w:r>
              <w:rPr>
                <w:rFonts w:ascii="宋体" w:hAnsi="宋体" w:eastAsia="宋体" w:cs="宋体"/>
                <w:bCs/>
                <w:color w:val="auto"/>
                <w:sz w:val="24"/>
                <w:szCs w:val="24"/>
                <w:highlight w:val="none"/>
              </w:rPr>
              <w:t>13.2</w:t>
            </w:r>
          </w:p>
        </w:tc>
        <w:tc>
          <w:tcPr>
            <w:tcW w:w="7176" w:type="dxa"/>
            <w:vAlign w:val="center"/>
          </w:tcPr>
          <w:p>
            <w:pPr>
              <w:pStyle w:val="21"/>
              <w:keepNext w:val="0"/>
              <w:keepLines w:val="0"/>
              <w:pageBreakBefore w:val="0"/>
              <w:widowControl w:val="0"/>
              <w:kinsoku/>
              <w:overflowPunct/>
              <w:topLinePunct w:val="0"/>
              <w:autoSpaceDE/>
              <w:bidi w:val="0"/>
              <w:adjustRightInd/>
              <w:spacing w:line="500" w:lineRule="exact"/>
              <w:jc w:val="both"/>
              <w:textAlignment w:val="auto"/>
              <w:rPr>
                <w:rFonts w:hint="eastAsia" w:ascii="宋体" w:hAnsi="宋体" w:eastAsia="宋体" w:cs="宋体"/>
                <w:b/>
                <w:bCs w:val="0"/>
                <w:color w:val="auto"/>
                <w:sz w:val="24"/>
                <w:szCs w:val="24"/>
                <w:highlight w:val="none"/>
                <w:lang w:eastAsia="zh-CN"/>
              </w:rPr>
            </w:pPr>
            <w:r>
              <w:rPr>
                <w:rFonts w:ascii="宋体" w:hAnsi="宋体" w:eastAsia="宋体" w:cs="宋体"/>
                <w:b/>
                <w:color w:val="auto"/>
                <w:sz w:val="24"/>
                <w:szCs w:val="24"/>
                <w:highlight w:val="none"/>
              </w:rPr>
              <w:t>合同签订时限：</w:t>
            </w:r>
            <w:r>
              <w:rPr>
                <w:rFonts w:ascii="宋体" w:hAnsi="宋体" w:eastAsia="宋体" w:cs="宋体"/>
                <w:bCs/>
                <w:color w:val="auto"/>
                <w:sz w:val="24"/>
                <w:szCs w:val="24"/>
                <w:highlight w:val="none"/>
              </w:rPr>
              <w:t>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717" w:type="dxa"/>
            <w:vAlign w:val="center"/>
          </w:tcPr>
          <w:p>
            <w:pPr>
              <w:pStyle w:val="21"/>
              <w:keepNext w:val="0"/>
              <w:keepLines w:val="0"/>
              <w:pageBreakBefore w:val="0"/>
              <w:widowControl w:val="0"/>
              <w:kinsoku/>
              <w:overflowPunct/>
              <w:topLinePunct w:val="0"/>
              <w:autoSpaceDE/>
              <w:bidi w:val="0"/>
              <w:adjustRightInd/>
              <w:spacing w:line="500" w:lineRule="exact"/>
              <w:jc w:val="center"/>
              <w:textAlignment w:val="auto"/>
              <w:rPr>
                <w:rFonts w:hint="eastAsia" w:ascii="宋体" w:hAnsi="宋体" w:eastAsia="宋体" w:cs="宋体"/>
                <w:b w:val="0"/>
                <w:bCs/>
                <w:color w:val="auto"/>
                <w:sz w:val="24"/>
                <w:szCs w:val="24"/>
                <w:highlight w:val="none"/>
                <w:lang w:val="en-US" w:eastAsia="zh-Hans"/>
              </w:rPr>
            </w:pPr>
            <w:r>
              <w:rPr>
                <w:rFonts w:ascii="宋体" w:hAnsi="宋体" w:eastAsia="宋体" w:cs="宋体"/>
                <w:bCs/>
                <w:color w:val="auto"/>
                <w:sz w:val="24"/>
                <w:szCs w:val="24"/>
                <w:highlight w:val="none"/>
              </w:rPr>
              <w:t>8</w:t>
            </w:r>
          </w:p>
        </w:tc>
        <w:tc>
          <w:tcPr>
            <w:tcW w:w="1429" w:type="dxa"/>
            <w:vAlign w:val="center"/>
          </w:tcPr>
          <w:p>
            <w:pPr>
              <w:pStyle w:val="21"/>
              <w:keepNext w:val="0"/>
              <w:keepLines w:val="0"/>
              <w:pageBreakBefore w:val="0"/>
              <w:widowControl w:val="0"/>
              <w:kinsoku/>
              <w:overflowPunct/>
              <w:topLinePunct w:val="0"/>
              <w:autoSpaceDE/>
              <w:bidi w:val="0"/>
              <w:adjustRightInd/>
              <w:spacing w:line="500" w:lineRule="exact"/>
              <w:jc w:val="center"/>
              <w:textAlignment w:val="auto"/>
              <w:rPr>
                <w:rFonts w:hint="eastAsia" w:ascii="宋体" w:hAnsi="宋体" w:eastAsia="宋体" w:cs="宋体"/>
                <w:b w:val="0"/>
                <w:bCs/>
                <w:color w:val="auto"/>
                <w:sz w:val="24"/>
                <w:szCs w:val="24"/>
                <w:highlight w:val="none"/>
                <w:lang w:val="en-US" w:eastAsia="zh-CN"/>
              </w:rPr>
            </w:pPr>
            <w:r>
              <w:rPr>
                <w:rFonts w:ascii="宋体" w:hAnsi="宋体" w:eastAsia="宋体" w:cs="宋体"/>
                <w:bCs/>
                <w:color w:val="auto"/>
                <w:sz w:val="24"/>
                <w:szCs w:val="24"/>
                <w:highlight w:val="none"/>
              </w:rPr>
              <w:t>15.1-</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w:t>
            </w:r>
          </w:p>
        </w:tc>
        <w:tc>
          <w:tcPr>
            <w:tcW w:w="7176" w:type="dxa"/>
            <w:vAlign w:val="center"/>
          </w:tcPr>
          <w:p>
            <w:pPr>
              <w:pStyle w:val="21"/>
              <w:keepNext w:val="0"/>
              <w:keepLines w:val="0"/>
              <w:pageBreakBefore w:val="0"/>
              <w:widowControl w:val="0"/>
              <w:kinsoku/>
              <w:overflowPunct/>
              <w:topLinePunct w:val="0"/>
              <w:autoSpaceDE/>
              <w:bidi w:val="0"/>
              <w:adjustRightInd/>
              <w:spacing w:line="500" w:lineRule="exact"/>
              <w:jc w:val="both"/>
              <w:textAlignment w:val="auto"/>
              <w:rPr>
                <w:rFonts w:hint="eastAsia" w:ascii="宋体" w:hAnsi="宋体" w:eastAsia="宋体" w:cs="宋体"/>
                <w:b w:val="0"/>
                <w:bCs/>
                <w:color w:val="auto"/>
                <w:sz w:val="24"/>
                <w:szCs w:val="24"/>
                <w:highlight w:val="none"/>
              </w:rPr>
            </w:pPr>
            <w:r>
              <w:rPr>
                <w:rFonts w:ascii="宋体" w:hAnsi="宋体" w:eastAsia="宋体" w:cs="宋体"/>
                <w:b/>
                <w:color w:val="auto"/>
                <w:sz w:val="24"/>
                <w:szCs w:val="24"/>
                <w:highlight w:val="none"/>
              </w:rPr>
              <w:t>质疑函原件应采用下列方式提交：</w:t>
            </w:r>
            <w:r>
              <w:rPr>
                <w:rFonts w:ascii="宋体" w:hAnsi="宋体" w:eastAsia="宋体" w:cs="宋体"/>
                <w:bCs/>
                <w:color w:val="auto"/>
                <w:sz w:val="24"/>
                <w:szCs w:val="24"/>
                <w:highlight w:val="none"/>
              </w:rPr>
              <w:t>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717" w:type="dxa"/>
            <w:vAlign w:val="center"/>
          </w:tcPr>
          <w:p>
            <w:pPr>
              <w:pStyle w:val="21"/>
              <w:keepNext w:val="0"/>
              <w:keepLines w:val="0"/>
              <w:pageBreakBefore w:val="0"/>
              <w:widowControl w:val="0"/>
              <w:kinsoku/>
              <w:overflowPunct/>
              <w:topLinePunct w:val="0"/>
              <w:autoSpaceDE/>
              <w:bidi w:val="0"/>
              <w:adjustRightInd/>
              <w:spacing w:line="500" w:lineRule="exact"/>
              <w:jc w:val="center"/>
              <w:textAlignment w:val="auto"/>
              <w:rPr>
                <w:rFonts w:hint="eastAsia" w:ascii="宋体" w:hAnsi="宋体" w:eastAsia="宋体" w:cs="宋体"/>
                <w:b w:val="0"/>
                <w:bCs/>
                <w:color w:val="auto"/>
                <w:sz w:val="24"/>
                <w:szCs w:val="24"/>
                <w:highlight w:val="none"/>
                <w:lang w:val="en-US" w:eastAsia="zh-CN"/>
              </w:rPr>
            </w:pPr>
            <w:r>
              <w:rPr>
                <w:rFonts w:ascii="宋体" w:hAnsi="宋体" w:eastAsia="宋体" w:cs="宋体"/>
                <w:bCs/>
                <w:color w:val="auto"/>
                <w:sz w:val="24"/>
                <w:szCs w:val="24"/>
                <w:highlight w:val="none"/>
              </w:rPr>
              <w:t>9</w:t>
            </w:r>
          </w:p>
        </w:tc>
        <w:tc>
          <w:tcPr>
            <w:tcW w:w="1429" w:type="dxa"/>
            <w:vAlign w:val="center"/>
          </w:tcPr>
          <w:p>
            <w:pPr>
              <w:pStyle w:val="21"/>
              <w:keepNext w:val="0"/>
              <w:keepLines w:val="0"/>
              <w:pageBreakBefore w:val="0"/>
              <w:widowControl w:val="0"/>
              <w:kinsoku/>
              <w:overflowPunct/>
              <w:topLinePunct w:val="0"/>
              <w:autoSpaceDE/>
              <w:bidi w:val="0"/>
              <w:adjustRightInd/>
              <w:spacing w:line="500" w:lineRule="exact"/>
              <w:jc w:val="center"/>
              <w:textAlignment w:val="auto"/>
              <w:rPr>
                <w:rFonts w:hint="eastAsia" w:ascii="宋体" w:hAnsi="宋体" w:eastAsia="宋体" w:cs="宋体"/>
                <w:b w:val="0"/>
                <w:bCs/>
                <w:color w:val="auto"/>
                <w:sz w:val="24"/>
                <w:szCs w:val="24"/>
                <w:highlight w:val="none"/>
                <w:lang w:val="en-US" w:eastAsia="zh-CN"/>
              </w:rPr>
            </w:pPr>
            <w:r>
              <w:rPr>
                <w:rFonts w:ascii="宋体" w:hAnsi="宋体" w:eastAsia="宋体" w:cs="宋体"/>
                <w:bCs/>
                <w:color w:val="auto"/>
                <w:sz w:val="24"/>
                <w:szCs w:val="24"/>
                <w:highlight w:val="none"/>
              </w:rPr>
              <w:t>15.4</w:t>
            </w:r>
          </w:p>
        </w:tc>
        <w:tc>
          <w:tcPr>
            <w:tcW w:w="7176" w:type="dxa"/>
            <w:vAlign w:val="center"/>
          </w:tcPr>
          <w:p>
            <w:pPr>
              <w:pStyle w:val="21"/>
              <w:keepNext w:val="0"/>
              <w:keepLines w:val="0"/>
              <w:pageBreakBefore w:val="0"/>
              <w:widowControl w:val="0"/>
              <w:kinsoku/>
              <w:overflowPunct/>
              <w:topLinePunct w:val="0"/>
              <w:autoSpaceDE/>
              <w:bidi w:val="0"/>
              <w:adjustRightInd/>
              <w:spacing w:line="500" w:lineRule="exact"/>
              <w:jc w:val="both"/>
              <w:textAlignment w:val="auto"/>
              <w:rPr>
                <w:rFonts w:ascii="宋体" w:hAnsi="宋体" w:eastAsia="宋体" w:cs="宋体"/>
                <w:b/>
                <w:color w:val="auto"/>
                <w:sz w:val="24"/>
                <w:szCs w:val="24"/>
                <w:highlight w:val="none"/>
                <w:lang w:eastAsia="zh-CN"/>
              </w:rPr>
            </w:pPr>
            <w:r>
              <w:rPr>
                <w:rFonts w:ascii="宋体" w:hAnsi="宋体" w:eastAsia="宋体" w:cs="宋体"/>
                <w:b/>
                <w:color w:val="auto"/>
                <w:sz w:val="24"/>
                <w:szCs w:val="24"/>
                <w:highlight w:val="none"/>
              </w:rPr>
              <w:t>招标文件的质疑</w:t>
            </w:r>
            <w:r>
              <w:rPr>
                <w:rFonts w:ascii="宋体" w:hAnsi="宋体" w:eastAsia="宋体" w:cs="宋体"/>
                <w:b/>
                <w:color w:val="auto"/>
                <w:sz w:val="24"/>
                <w:szCs w:val="24"/>
                <w:highlight w:val="none"/>
                <w:lang w:eastAsia="zh-CN"/>
              </w:rPr>
              <w:t>：</w:t>
            </w:r>
          </w:p>
          <w:p>
            <w:pPr>
              <w:pStyle w:val="21"/>
              <w:keepNext w:val="0"/>
              <w:keepLines w:val="0"/>
              <w:pageBreakBefore w:val="0"/>
              <w:widowControl w:val="0"/>
              <w:kinsoku/>
              <w:overflowPunct/>
              <w:topLinePunct w:val="0"/>
              <w:autoSpaceDE/>
              <w:bidi w:val="0"/>
              <w:adjustRightInd/>
              <w:spacing w:line="500" w:lineRule="exact"/>
              <w:jc w:val="both"/>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lang w:eastAsia="zh-CN"/>
              </w:rPr>
              <w:t>1</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潜在</w:t>
            </w:r>
            <w:r>
              <w:rPr>
                <w:rFonts w:ascii="宋体" w:hAnsi="宋体" w:eastAsia="宋体" w:cs="宋体"/>
                <w:bCs/>
                <w:color w:val="auto"/>
                <w:sz w:val="24"/>
                <w:szCs w:val="24"/>
                <w:highlight w:val="none"/>
                <w:lang w:eastAsia="zh-CN"/>
              </w:rPr>
              <w:t>投标人</w:t>
            </w:r>
            <w:r>
              <w:rPr>
                <w:rFonts w:ascii="宋体" w:hAnsi="宋体" w:eastAsia="宋体" w:cs="宋体"/>
                <w:bCs/>
                <w:color w:val="auto"/>
                <w:sz w:val="24"/>
                <w:szCs w:val="24"/>
                <w:highlight w:val="none"/>
              </w:rPr>
              <w:t>可在质疑时效期间内对招标文件以书面形式提出质疑。</w:t>
            </w:r>
          </w:p>
          <w:p>
            <w:pPr>
              <w:pStyle w:val="21"/>
              <w:keepNext w:val="0"/>
              <w:keepLines w:val="0"/>
              <w:pageBreakBefore w:val="0"/>
              <w:widowControl w:val="0"/>
              <w:kinsoku/>
              <w:overflowPunct/>
              <w:topLinePunct w:val="0"/>
              <w:autoSpaceDE/>
              <w:bidi w:val="0"/>
              <w:adjustRightInd/>
              <w:spacing w:line="500" w:lineRule="exact"/>
              <w:jc w:val="both"/>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lang w:eastAsia="zh-CN"/>
              </w:rPr>
              <w:t>2</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质疑时效期间：应在依法获取招标文件之日起7个工作日内向</w:t>
            </w:r>
            <w:r>
              <w:rPr>
                <w:rFonts w:ascii="宋体" w:hAnsi="宋体" w:eastAsia="宋体" w:cs="宋体"/>
                <w:bCs/>
                <w:color w:val="auto"/>
                <w:sz w:val="24"/>
                <w:szCs w:val="24"/>
                <w:highlight w:val="none"/>
                <w:lang w:eastAsia="zh-CN"/>
              </w:rPr>
              <w:t>卓知项目管理顾问有限公司</w:t>
            </w:r>
            <w:r>
              <w:rPr>
                <w:rFonts w:ascii="宋体" w:hAnsi="宋体" w:eastAsia="宋体" w:cs="宋体"/>
                <w:bCs/>
                <w:color w:val="auto"/>
                <w:sz w:val="24"/>
                <w:szCs w:val="24"/>
                <w:highlight w:val="none"/>
              </w:rPr>
              <w:t>提出，依法获取招标文件的时间以福建省政府采购网上公开信息系统记载的为准。</w:t>
            </w:r>
          </w:p>
          <w:p>
            <w:pPr>
              <w:pStyle w:val="21"/>
              <w:keepNext w:val="0"/>
              <w:keepLines w:val="0"/>
              <w:pageBreakBefore w:val="0"/>
              <w:widowControl w:val="0"/>
              <w:kinsoku/>
              <w:overflowPunct/>
              <w:topLinePunct w:val="0"/>
              <w:autoSpaceDE/>
              <w:bidi w:val="0"/>
              <w:adjustRightInd/>
              <w:spacing w:line="500" w:lineRule="exact"/>
              <w:jc w:val="both"/>
              <w:textAlignment w:val="auto"/>
              <w:rPr>
                <w:rFonts w:hint="eastAsia" w:ascii="宋体" w:hAnsi="宋体" w:eastAsia="宋体" w:cs="宋体"/>
                <w:b w:val="0"/>
                <w:bCs/>
                <w:color w:val="auto"/>
                <w:sz w:val="24"/>
                <w:szCs w:val="24"/>
                <w:highlight w:val="none"/>
                <w:lang w:val="en-US" w:eastAsia="zh-CN"/>
              </w:rPr>
            </w:pPr>
            <w:r>
              <w:rPr>
                <w:rFonts w:ascii="宋体" w:hAnsi="宋体" w:eastAsia="宋体" w:cs="宋体"/>
                <w:b/>
                <w:color w:val="auto"/>
                <w:sz w:val="24"/>
                <w:szCs w:val="24"/>
                <w:highlight w:val="none"/>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717" w:type="dxa"/>
            <w:vAlign w:val="center"/>
          </w:tcPr>
          <w:p>
            <w:pPr>
              <w:pStyle w:val="21"/>
              <w:keepNext w:val="0"/>
              <w:keepLines w:val="0"/>
              <w:pageBreakBefore w:val="0"/>
              <w:widowControl w:val="0"/>
              <w:kinsoku/>
              <w:overflowPunct/>
              <w:topLinePunct w:val="0"/>
              <w:autoSpaceDE/>
              <w:bidi w:val="0"/>
              <w:adjustRightInd/>
              <w:spacing w:line="500" w:lineRule="exact"/>
              <w:jc w:val="center"/>
              <w:textAlignment w:val="auto"/>
              <w:rPr>
                <w:rFonts w:hint="eastAsia" w:ascii="宋体" w:hAnsi="宋体" w:eastAsia="宋体" w:cs="宋体"/>
                <w:b w:val="0"/>
                <w:bCs/>
                <w:color w:val="auto"/>
                <w:sz w:val="24"/>
                <w:szCs w:val="24"/>
                <w:highlight w:val="none"/>
                <w:lang w:val="en-US" w:eastAsia="zh-CN"/>
              </w:rPr>
            </w:pPr>
            <w:r>
              <w:rPr>
                <w:rFonts w:ascii="宋体" w:hAnsi="宋体" w:eastAsia="宋体" w:cs="宋体"/>
                <w:bCs/>
                <w:color w:val="auto"/>
                <w:sz w:val="24"/>
                <w:szCs w:val="24"/>
                <w:highlight w:val="none"/>
              </w:rPr>
              <w:t>10</w:t>
            </w:r>
          </w:p>
        </w:tc>
        <w:tc>
          <w:tcPr>
            <w:tcW w:w="1429" w:type="dxa"/>
            <w:vAlign w:val="center"/>
          </w:tcPr>
          <w:p>
            <w:pPr>
              <w:pStyle w:val="21"/>
              <w:keepNext w:val="0"/>
              <w:keepLines w:val="0"/>
              <w:pageBreakBefore w:val="0"/>
              <w:widowControl w:val="0"/>
              <w:kinsoku/>
              <w:overflowPunct/>
              <w:topLinePunct w:val="0"/>
              <w:autoSpaceDE/>
              <w:bidi w:val="0"/>
              <w:adjustRightInd/>
              <w:spacing w:line="500" w:lineRule="exact"/>
              <w:jc w:val="center"/>
              <w:textAlignment w:val="auto"/>
              <w:rPr>
                <w:rFonts w:hint="eastAsia" w:ascii="宋体" w:hAnsi="宋体" w:eastAsia="宋体" w:cs="宋体"/>
                <w:b w:val="0"/>
                <w:bCs/>
                <w:color w:val="auto"/>
                <w:sz w:val="24"/>
                <w:szCs w:val="24"/>
                <w:highlight w:val="none"/>
                <w:lang w:val="en-US" w:eastAsia="zh-CN"/>
              </w:rPr>
            </w:pPr>
            <w:r>
              <w:rPr>
                <w:rFonts w:ascii="宋体" w:hAnsi="宋体" w:eastAsia="宋体" w:cs="宋体"/>
                <w:bCs/>
                <w:color w:val="auto"/>
                <w:sz w:val="24"/>
                <w:szCs w:val="24"/>
                <w:highlight w:val="none"/>
              </w:rPr>
              <w:t>16.1</w:t>
            </w:r>
          </w:p>
        </w:tc>
        <w:tc>
          <w:tcPr>
            <w:tcW w:w="7176" w:type="dxa"/>
            <w:vAlign w:val="center"/>
          </w:tcPr>
          <w:p>
            <w:pPr>
              <w:pStyle w:val="21"/>
              <w:keepNext w:val="0"/>
              <w:keepLines w:val="0"/>
              <w:pageBreakBefore w:val="0"/>
              <w:widowControl w:val="0"/>
              <w:kinsoku/>
              <w:overflowPunct/>
              <w:topLinePunct w:val="0"/>
              <w:autoSpaceDE/>
              <w:bidi w:val="0"/>
              <w:adjustRightInd/>
              <w:spacing w:line="500" w:lineRule="exact"/>
              <w:jc w:val="both"/>
              <w:textAlignment w:val="auto"/>
              <w:rPr>
                <w:rFonts w:hint="eastAsia" w:ascii="宋体" w:hAnsi="宋体" w:eastAsia="宋体" w:cs="宋体"/>
                <w:b w:val="0"/>
                <w:bCs/>
                <w:color w:val="auto"/>
                <w:sz w:val="24"/>
                <w:szCs w:val="24"/>
                <w:highlight w:val="none"/>
                <w:lang w:val="en-US" w:eastAsia="zh-CN"/>
              </w:rPr>
            </w:pPr>
            <w:r>
              <w:rPr>
                <w:rFonts w:ascii="宋体" w:hAnsi="宋体" w:eastAsia="宋体" w:cs="宋体"/>
                <w:b/>
                <w:color w:val="auto"/>
                <w:sz w:val="24"/>
                <w:szCs w:val="24"/>
                <w:highlight w:val="none"/>
              </w:rPr>
              <w:t>监督管理部门：</w:t>
            </w:r>
            <w:r>
              <w:rPr>
                <w:rFonts w:hint="eastAsia" w:ascii="宋体" w:hAnsi="宋体" w:eastAsia="宋体" w:cs="宋体"/>
                <w:color w:val="auto"/>
                <w:sz w:val="24"/>
                <w:szCs w:val="24"/>
                <w:highlight w:val="none"/>
              </w:rPr>
              <w:t>福建省财政厅政府采购监督管理办公室</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仅限依法进行政府采购的货物或服务类项目</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717" w:type="dxa"/>
            <w:vAlign w:val="center"/>
          </w:tcPr>
          <w:p>
            <w:pPr>
              <w:pStyle w:val="21"/>
              <w:keepNext w:val="0"/>
              <w:keepLines w:val="0"/>
              <w:pageBreakBefore w:val="0"/>
              <w:widowControl w:val="0"/>
              <w:kinsoku/>
              <w:overflowPunct/>
              <w:topLinePunct w:val="0"/>
              <w:autoSpaceDE/>
              <w:bidi w:val="0"/>
              <w:adjustRightInd/>
              <w:spacing w:line="500" w:lineRule="exact"/>
              <w:jc w:val="center"/>
              <w:textAlignment w:val="auto"/>
              <w:rPr>
                <w:rFonts w:hint="eastAsia" w:ascii="宋体" w:hAnsi="宋体" w:eastAsia="宋体" w:cs="宋体"/>
                <w:b w:val="0"/>
                <w:bCs/>
                <w:color w:val="auto"/>
                <w:sz w:val="24"/>
                <w:szCs w:val="24"/>
                <w:highlight w:val="none"/>
                <w:lang w:val="en-US" w:eastAsia="zh-CN"/>
              </w:rPr>
            </w:pPr>
            <w:r>
              <w:rPr>
                <w:rFonts w:ascii="宋体" w:hAnsi="宋体" w:eastAsia="宋体" w:cs="宋体"/>
                <w:bCs/>
                <w:color w:val="auto"/>
                <w:sz w:val="24"/>
                <w:szCs w:val="24"/>
                <w:highlight w:val="none"/>
              </w:rPr>
              <w:t>11</w:t>
            </w:r>
          </w:p>
        </w:tc>
        <w:tc>
          <w:tcPr>
            <w:tcW w:w="1429" w:type="dxa"/>
            <w:vAlign w:val="center"/>
          </w:tcPr>
          <w:p>
            <w:pPr>
              <w:pStyle w:val="21"/>
              <w:keepNext w:val="0"/>
              <w:keepLines w:val="0"/>
              <w:pageBreakBefore w:val="0"/>
              <w:widowControl w:val="0"/>
              <w:kinsoku/>
              <w:overflowPunct/>
              <w:topLinePunct w:val="0"/>
              <w:autoSpaceDE/>
              <w:bidi w:val="0"/>
              <w:adjustRightInd/>
              <w:spacing w:line="500" w:lineRule="exact"/>
              <w:jc w:val="center"/>
              <w:textAlignment w:val="auto"/>
              <w:rPr>
                <w:rFonts w:hint="eastAsia" w:ascii="宋体" w:hAnsi="宋体" w:eastAsia="宋体" w:cs="宋体"/>
                <w:b w:val="0"/>
                <w:bCs/>
                <w:color w:val="auto"/>
                <w:sz w:val="24"/>
                <w:szCs w:val="24"/>
                <w:highlight w:val="none"/>
                <w:lang w:val="en-US" w:eastAsia="zh-CN"/>
              </w:rPr>
            </w:pPr>
            <w:r>
              <w:rPr>
                <w:rFonts w:ascii="宋体" w:hAnsi="宋体" w:eastAsia="宋体" w:cs="宋体"/>
                <w:bCs/>
                <w:color w:val="auto"/>
                <w:sz w:val="24"/>
                <w:szCs w:val="24"/>
                <w:highlight w:val="none"/>
              </w:rPr>
              <w:t>18.1</w:t>
            </w:r>
          </w:p>
        </w:tc>
        <w:tc>
          <w:tcPr>
            <w:tcW w:w="7176" w:type="dxa"/>
            <w:vAlign w:val="center"/>
          </w:tcPr>
          <w:p>
            <w:pPr>
              <w:pStyle w:val="21"/>
              <w:keepNext w:val="0"/>
              <w:keepLines w:val="0"/>
              <w:pageBreakBefore w:val="0"/>
              <w:widowControl w:val="0"/>
              <w:kinsoku/>
              <w:overflowPunct/>
              <w:topLinePunct w:val="0"/>
              <w:autoSpaceDE/>
              <w:bidi w:val="0"/>
              <w:adjustRightInd/>
              <w:spacing w:line="500" w:lineRule="exact"/>
              <w:jc w:val="both"/>
              <w:textAlignment w:val="auto"/>
              <w:rPr>
                <w:rFonts w:ascii="宋体" w:hAnsi="宋体" w:eastAsia="宋体" w:cs="宋体"/>
                <w:b/>
                <w:color w:val="auto"/>
                <w:sz w:val="24"/>
                <w:szCs w:val="24"/>
                <w:highlight w:val="none"/>
              </w:rPr>
            </w:pPr>
            <w:r>
              <w:rPr>
                <w:rFonts w:ascii="宋体" w:hAnsi="宋体" w:eastAsia="宋体" w:cs="宋体"/>
                <w:b/>
                <w:color w:val="auto"/>
                <w:sz w:val="24"/>
                <w:szCs w:val="24"/>
                <w:highlight w:val="none"/>
              </w:rPr>
              <w:t>财政部和福建省财政厅指定的政府采购信息发布媒体</w:t>
            </w:r>
            <w:r>
              <w:rPr>
                <w:rFonts w:hint="eastAsia" w:ascii="宋体" w:hAnsi="宋体" w:eastAsia="宋体" w:cs="宋体"/>
                <w:b/>
                <w:color w:val="auto"/>
                <w:sz w:val="24"/>
                <w:szCs w:val="24"/>
                <w:highlight w:val="none"/>
                <w:lang w:eastAsia="zh-CN"/>
              </w:rPr>
              <w:t>（</w:t>
            </w:r>
            <w:r>
              <w:rPr>
                <w:rFonts w:ascii="宋体" w:hAnsi="宋体" w:eastAsia="宋体" w:cs="宋体"/>
                <w:b/>
                <w:color w:val="auto"/>
                <w:sz w:val="24"/>
                <w:szCs w:val="24"/>
                <w:highlight w:val="none"/>
              </w:rPr>
              <w:t>以下简称：“指定媒体”</w:t>
            </w:r>
            <w:r>
              <w:rPr>
                <w:rFonts w:hint="eastAsia" w:ascii="宋体" w:hAnsi="宋体" w:eastAsia="宋体" w:cs="宋体"/>
                <w:b/>
                <w:color w:val="auto"/>
                <w:sz w:val="24"/>
                <w:szCs w:val="24"/>
                <w:highlight w:val="none"/>
                <w:lang w:eastAsia="zh-CN"/>
              </w:rPr>
              <w:t>）</w:t>
            </w:r>
            <w:r>
              <w:rPr>
                <w:rFonts w:ascii="宋体" w:hAnsi="宋体" w:eastAsia="宋体" w:cs="宋体"/>
                <w:b/>
                <w:color w:val="auto"/>
                <w:sz w:val="24"/>
                <w:szCs w:val="24"/>
                <w:highlight w:val="none"/>
              </w:rPr>
              <w:t>：</w:t>
            </w:r>
          </w:p>
          <w:p>
            <w:pPr>
              <w:pStyle w:val="21"/>
              <w:keepNext w:val="0"/>
              <w:keepLines w:val="0"/>
              <w:pageBreakBefore w:val="0"/>
              <w:widowControl w:val="0"/>
              <w:kinsoku/>
              <w:overflowPunct/>
              <w:topLinePunct w:val="0"/>
              <w:autoSpaceDE/>
              <w:bidi w:val="0"/>
              <w:adjustRightInd/>
              <w:spacing w:line="500" w:lineRule="exact"/>
              <w:jc w:val="both"/>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中国政府采购网，网址www.ccgp.gov.cn。</w:t>
            </w:r>
          </w:p>
          <w:p>
            <w:pPr>
              <w:pStyle w:val="21"/>
              <w:keepNext w:val="0"/>
              <w:keepLines w:val="0"/>
              <w:pageBreakBefore w:val="0"/>
              <w:widowControl w:val="0"/>
              <w:kinsoku/>
              <w:overflowPunct/>
              <w:topLinePunct w:val="0"/>
              <w:autoSpaceDE/>
              <w:bidi w:val="0"/>
              <w:adjustRightInd/>
              <w:spacing w:line="500" w:lineRule="exact"/>
              <w:jc w:val="both"/>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中国政府采购网福建分网</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福建省政府采购网</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，网址zfcg.czt.fujian.gov.cn。</w:t>
            </w:r>
          </w:p>
          <w:p>
            <w:pPr>
              <w:pStyle w:val="21"/>
              <w:keepNext w:val="0"/>
              <w:keepLines w:val="0"/>
              <w:pageBreakBefore w:val="0"/>
              <w:widowControl w:val="0"/>
              <w:kinsoku/>
              <w:overflowPunct/>
              <w:topLinePunct w:val="0"/>
              <w:autoSpaceDE/>
              <w:bidi w:val="0"/>
              <w:adjustRightInd/>
              <w:spacing w:line="500" w:lineRule="exact"/>
              <w:jc w:val="both"/>
              <w:textAlignment w:val="auto"/>
              <w:rPr>
                <w:rFonts w:hint="eastAsia" w:ascii="宋体" w:hAnsi="宋体" w:eastAsia="宋体" w:cs="宋体"/>
                <w:b w:val="0"/>
                <w:bCs/>
                <w:color w:val="auto"/>
                <w:sz w:val="24"/>
                <w:szCs w:val="24"/>
                <w:highlight w:val="none"/>
                <w:lang w:val="en-US" w:eastAsia="zh-CN"/>
              </w:rPr>
            </w:pPr>
            <w:r>
              <w:rPr>
                <w:rFonts w:ascii="宋体" w:hAnsi="宋体" w:eastAsia="宋体" w:cs="宋体"/>
                <w:b/>
                <w:color w:val="auto"/>
                <w:sz w:val="24"/>
                <w:szCs w:val="24"/>
                <w:highlight w:val="none"/>
              </w:rPr>
              <w:t>※若出现上述指定媒体信息不一致情形，应以中国政府采购网福建分网</w:t>
            </w:r>
            <w:r>
              <w:rPr>
                <w:rFonts w:hint="eastAsia" w:ascii="宋体" w:hAnsi="宋体" w:eastAsia="宋体" w:cs="宋体"/>
                <w:b/>
                <w:color w:val="auto"/>
                <w:sz w:val="24"/>
                <w:szCs w:val="24"/>
                <w:highlight w:val="none"/>
                <w:lang w:eastAsia="zh-CN"/>
              </w:rPr>
              <w:t>（</w:t>
            </w:r>
            <w:r>
              <w:rPr>
                <w:rFonts w:ascii="宋体" w:hAnsi="宋体" w:eastAsia="宋体" w:cs="宋体"/>
                <w:b/>
                <w:color w:val="auto"/>
                <w:sz w:val="24"/>
                <w:szCs w:val="24"/>
                <w:highlight w:val="none"/>
              </w:rPr>
              <w:t>福建省政府采购网</w:t>
            </w:r>
            <w:r>
              <w:rPr>
                <w:rFonts w:hint="eastAsia" w:ascii="宋体" w:hAnsi="宋体" w:eastAsia="宋体" w:cs="宋体"/>
                <w:b/>
                <w:color w:val="auto"/>
                <w:sz w:val="24"/>
                <w:szCs w:val="24"/>
                <w:highlight w:val="none"/>
                <w:lang w:eastAsia="zh-CN"/>
              </w:rPr>
              <w:t>）</w:t>
            </w:r>
            <w:r>
              <w:rPr>
                <w:rFonts w:ascii="宋体" w:hAnsi="宋体" w:eastAsia="宋体" w:cs="宋体"/>
                <w:b/>
                <w:color w:val="auto"/>
                <w:sz w:val="24"/>
                <w:szCs w:val="24"/>
                <w:highlight w:val="none"/>
              </w:rPr>
              <w:t>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717" w:type="dxa"/>
            <w:vAlign w:val="center"/>
          </w:tcPr>
          <w:p>
            <w:pPr>
              <w:pStyle w:val="21"/>
              <w:keepNext w:val="0"/>
              <w:keepLines w:val="0"/>
              <w:pageBreakBefore w:val="0"/>
              <w:widowControl w:val="0"/>
              <w:kinsoku/>
              <w:overflowPunct/>
              <w:topLinePunct w:val="0"/>
              <w:autoSpaceDE/>
              <w:bidi w:val="0"/>
              <w:adjustRightInd/>
              <w:spacing w:line="500" w:lineRule="exact"/>
              <w:jc w:val="center"/>
              <w:textAlignment w:val="auto"/>
              <w:rPr>
                <w:rFonts w:hint="eastAsia" w:ascii="宋体" w:hAnsi="宋体" w:eastAsia="宋体" w:cs="宋体"/>
                <w:b w:val="0"/>
                <w:bCs/>
                <w:color w:val="auto"/>
                <w:sz w:val="24"/>
                <w:szCs w:val="24"/>
                <w:highlight w:val="none"/>
                <w:lang w:val="en-US" w:eastAsia="zh-CN"/>
              </w:rPr>
            </w:pPr>
            <w:r>
              <w:rPr>
                <w:rFonts w:ascii="宋体" w:hAnsi="宋体" w:eastAsia="宋体" w:cs="宋体"/>
                <w:bCs/>
                <w:color w:val="auto"/>
                <w:sz w:val="24"/>
                <w:szCs w:val="24"/>
                <w:highlight w:val="none"/>
                <w:lang w:eastAsia="zh-CN"/>
              </w:rPr>
              <w:t>12</w:t>
            </w:r>
          </w:p>
        </w:tc>
        <w:tc>
          <w:tcPr>
            <w:tcW w:w="1429" w:type="dxa"/>
            <w:vAlign w:val="center"/>
          </w:tcPr>
          <w:p>
            <w:pPr>
              <w:pStyle w:val="21"/>
              <w:keepNext w:val="0"/>
              <w:keepLines w:val="0"/>
              <w:pageBreakBefore w:val="0"/>
              <w:widowControl w:val="0"/>
              <w:kinsoku/>
              <w:overflowPunct/>
              <w:topLinePunct w:val="0"/>
              <w:autoSpaceDE/>
              <w:bidi w:val="0"/>
              <w:adjustRightInd/>
              <w:spacing w:line="500" w:lineRule="exact"/>
              <w:jc w:val="center"/>
              <w:textAlignment w:val="auto"/>
              <w:rPr>
                <w:rFonts w:hint="eastAsia" w:ascii="宋体" w:hAnsi="宋体" w:eastAsia="宋体" w:cs="宋体"/>
                <w:b w:val="0"/>
                <w:bCs/>
                <w:color w:val="auto"/>
                <w:sz w:val="24"/>
                <w:szCs w:val="24"/>
                <w:highlight w:val="none"/>
                <w:lang w:val="en-US" w:eastAsia="zh-CN"/>
              </w:rPr>
            </w:pPr>
            <w:r>
              <w:rPr>
                <w:rFonts w:ascii="宋体" w:hAnsi="宋体" w:eastAsia="宋体" w:cs="宋体"/>
                <w:bCs/>
                <w:color w:val="auto"/>
                <w:sz w:val="24"/>
                <w:szCs w:val="24"/>
                <w:highlight w:val="none"/>
              </w:rPr>
              <w:t>19</w:t>
            </w:r>
          </w:p>
        </w:tc>
        <w:tc>
          <w:tcPr>
            <w:tcW w:w="7176" w:type="dxa"/>
            <w:vAlign w:val="center"/>
          </w:tcPr>
          <w:p>
            <w:pPr>
              <w:pStyle w:val="21"/>
              <w:keepNext w:val="0"/>
              <w:keepLines w:val="0"/>
              <w:pageBreakBefore w:val="0"/>
              <w:widowControl w:val="0"/>
              <w:kinsoku/>
              <w:overflowPunct/>
              <w:topLinePunct w:val="0"/>
              <w:autoSpaceDE/>
              <w:bidi w:val="0"/>
              <w:adjustRightInd/>
              <w:spacing w:line="500" w:lineRule="exact"/>
              <w:jc w:val="both"/>
              <w:textAlignment w:val="auto"/>
              <w:rPr>
                <w:rFonts w:ascii="宋体" w:hAnsi="宋体" w:eastAsia="宋体" w:cs="宋体"/>
                <w:b/>
                <w:color w:val="auto"/>
                <w:sz w:val="24"/>
                <w:szCs w:val="24"/>
                <w:highlight w:val="none"/>
              </w:rPr>
            </w:pPr>
            <w:r>
              <w:rPr>
                <w:rFonts w:ascii="宋体" w:hAnsi="宋体" w:eastAsia="宋体" w:cs="宋体"/>
                <w:b/>
                <w:color w:val="auto"/>
                <w:sz w:val="24"/>
                <w:szCs w:val="24"/>
                <w:highlight w:val="none"/>
              </w:rPr>
              <w:t>其他事项：</w:t>
            </w:r>
          </w:p>
          <w:p>
            <w:pPr>
              <w:pStyle w:val="21"/>
              <w:keepNext w:val="0"/>
              <w:keepLines w:val="0"/>
              <w:pageBreakBefore w:val="0"/>
              <w:widowControl w:val="0"/>
              <w:kinsoku/>
              <w:overflowPunct/>
              <w:topLinePunct w:val="0"/>
              <w:autoSpaceDE/>
              <w:bidi w:val="0"/>
              <w:adjustRightInd/>
              <w:spacing w:line="500" w:lineRule="exact"/>
              <w:jc w:val="both"/>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lang w:eastAsia="zh-CN"/>
              </w:rPr>
              <w:t>1</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本项目代理服务费：</w:t>
            </w:r>
          </w:p>
          <w:p>
            <w:pPr>
              <w:pStyle w:val="21"/>
              <w:keepNext w:val="0"/>
              <w:keepLines w:val="0"/>
              <w:pageBreakBefore w:val="0"/>
              <w:widowControl w:val="0"/>
              <w:kinsoku/>
              <w:overflowPunct/>
              <w:topLinePunct w:val="0"/>
              <w:autoSpaceDE/>
              <w:bidi w:val="0"/>
              <w:adjustRightInd/>
              <w:spacing w:line="500" w:lineRule="exact"/>
              <w:ind w:firstLine="480" w:firstLineChars="20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本项目收取代理服务费</w:t>
            </w:r>
          </w:p>
          <w:p>
            <w:pPr>
              <w:pStyle w:val="21"/>
              <w:keepNext w:val="0"/>
              <w:keepLines w:val="0"/>
              <w:pageBreakBefore w:val="0"/>
              <w:widowControl w:val="0"/>
              <w:kinsoku/>
              <w:overflowPunct/>
              <w:topLinePunct w:val="0"/>
              <w:autoSpaceDE/>
              <w:bidi w:val="0"/>
              <w:adjustRightInd/>
              <w:spacing w:line="50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rPr>
              <w:t>代理服务费用收取对象：中标/</w:t>
            </w:r>
            <w:r>
              <w:rPr>
                <w:rFonts w:hint="eastAsia" w:ascii="宋体" w:hAnsi="宋体" w:eastAsia="宋体" w:cs="宋体"/>
                <w:bCs/>
                <w:color w:val="auto"/>
                <w:sz w:val="24"/>
                <w:szCs w:val="24"/>
                <w:highlight w:val="none"/>
                <w:lang w:eastAsia="zh-CN"/>
              </w:rPr>
              <w:t>中标人</w:t>
            </w:r>
          </w:p>
          <w:p>
            <w:pPr>
              <w:pStyle w:val="21"/>
              <w:keepNext w:val="0"/>
              <w:keepLines w:val="0"/>
              <w:pageBreakBefore w:val="0"/>
              <w:widowControl w:val="0"/>
              <w:kinsoku/>
              <w:overflowPunct/>
              <w:topLinePunct w:val="0"/>
              <w:autoSpaceDE/>
              <w:bidi w:val="0"/>
              <w:adjustRightInd/>
              <w:spacing w:line="500" w:lineRule="exact"/>
              <w:ind w:firstLine="480" w:firstLineChars="200"/>
              <w:jc w:val="both"/>
              <w:textAlignment w:val="auto"/>
              <w:rPr>
                <w:rFonts w:hint="default" w:ascii="宋体" w:hAnsi="宋体" w:eastAsia="宋体" w:cs="宋体"/>
                <w:color w:val="auto"/>
                <w:sz w:val="24"/>
                <w:szCs w:val="24"/>
                <w:highlight w:val="none"/>
                <w:shd w:val="clear" w:color="auto" w:fill="FFFFFF"/>
                <w:lang w:val="en-US" w:eastAsia="zh-CN"/>
              </w:rPr>
            </w:pPr>
            <w:r>
              <w:rPr>
                <w:rFonts w:ascii="宋体" w:hAnsi="宋体" w:eastAsia="宋体" w:cs="宋体"/>
                <w:color w:val="auto"/>
                <w:sz w:val="24"/>
                <w:szCs w:val="24"/>
                <w:highlight w:val="none"/>
                <w:shd w:val="clear" w:color="auto" w:fill="FFFFFF"/>
              </w:rPr>
              <w:t>代理服务费收费标准：</w:t>
            </w:r>
            <w:r>
              <w:rPr>
                <w:rFonts w:hint="eastAsia" w:ascii="宋体" w:hAnsi="宋体" w:eastAsia="宋体" w:cs="宋体"/>
                <w:color w:val="auto"/>
                <w:sz w:val="24"/>
                <w:szCs w:val="24"/>
                <w:highlight w:val="none"/>
                <w:shd w:val="clear" w:color="auto" w:fill="FFFFFF"/>
              </w:rPr>
              <w:t>①</w:t>
            </w:r>
            <w:r>
              <w:rPr>
                <w:rFonts w:ascii="宋体" w:hAnsi="宋体" w:eastAsia="宋体" w:cs="宋体"/>
                <w:bCs/>
                <w:color w:val="auto"/>
                <w:sz w:val="24"/>
                <w:szCs w:val="24"/>
                <w:highlight w:val="none"/>
              </w:rPr>
              <w:t>100万元以下</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含100万元</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w:t>
            </w:r>
            <w:r>
              <w:rPr>
                <w:rFonts w:ascii="宋体" w:hAnsi="宋体" w:eastAsia="宋体" w:cs="宋体"/>
                <w:bCs/>
                <w:color w:val="auto"/>
                <w:sz w:val="24"/>
                <w:szCs w:val="24"/>
                <w:highlight w:val="none"/>
                <w:lang w:eastAsia="zh-CN"/>
              </w:rPr>
              <w:t>1.</w:t>
            </w:r>
            <w:r>
              <w:rPr>
                <w:rFonts w:hint="eastAsia" w:ascii="宋体" w:hAnsi="宋体" w:eastAsia="宋体" w:cs="宋体"/>
                <w:bCs/>
                <w:color w:val="auto"/>
                <w:sz w:val="24"/>
                <w:szCs w:val="24"/>
                <w:highlight w:val="none"/>
                <w:lang w:val="en-US" w:eastAsia="zh-CN"/>
              </w:rPr>
              <w:t>5</w:t>
            </w:r>
            <w:r>
              <w:rPr>
                <w:rFonts w:ascii="宋体" w:hAnsi="宋体" w:eastAsia="宋体" w:cs="宋体"/>
                <w:bCs/>
                <w:color w:val="auto"/>
                <w:sz w:val="24"/>
                <w:szCs w:val="24"/>
                <w:highlight w:val="none"/>
              </w:rPr>
              <w:t>％</w:t>
            </w:r>
            <w:r>
              <w:rPr>
                <w:rFonts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②</w:t>
            </w:r>
            <w:r>
              <w:rPr>
                <w:rFonts w:ascii="宋体" w:hAnsi="宋体" w:eastAsia="宋体" w:cs="宋体"/>
                <w:bCs/>
                <w:color w:val="auto"/>
                <w:sz w:val="24"/>
                <w:szCs w:val="24"/>
                <w:highlight w:val="none"/>
                <w:lang w:eastAsia="zh-CN"/>
              </w:rPr>
              <w:t>100万元-500万元</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含</w:t>
            </w:r>
            <w:r>
              <w:rPr>
                <w:rFonts w:ascii="宋体" w:hAnsi="宋体" w:eastAsia="宋体" w:cs="宋体"/>
                <w:bCs/>
                <w:color w:val="auto"/>
                <w:sz w:val="24"/>
                <w:szCs w:val="24"/>
                <w:highlight w:val="none"/>
                <w:lang w:eastAsia="zh-CN"/>
              </w:rPr>
              <w:t>5</w:t>
            </w:r>
            <w:r>
              <w:rPr>
                <w:rFonts w:ascii="宋体" w:hAnsi="宋体" w:eastAsia="宋体" w:cs="宋体"/>
                <w:bCs/>
                <w:color w:val="auto"/>
                <w:sz w:val="24"/>
                <w:szCs w:val="24"/>
                <w:highlight w:val="none"/>
              </w:rPr>
              <w:t>00万元</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lang w:eastAsia="zh-CN"/>
              </w:rPr>
              <w:t>：0.</w:t>
            </w:r>
            <w:r>
              <w:rPr>
                <w:rFonts w:hint="eastAsia" w:ascii="宋体" w:hAnsi="宋体" w:eastAsia="宋体" w:cs="宋体"/>
                <w:bCs/>
                <w:color w:val="auto"/>
                <w:sz w:val="24"/>
                <w:szCs w:val="24"/>
                <w:highlight w:val="none"/>
                <w:lang w:val="en-US" w:eastAsia="zh-CN"/>
              </w:rPr>
              <w:t>8</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；③500-1000万元（含1000万元）：0.45％</w:t>
            </w:r>
          </w:p>
          <w:p>
            <w:pPr>
              <w:pStyle w:val="21"/>
              <w:keepNext w:val="0"/>
              <w:keepLines w:val="0"/>
              <w:pageBreakBefore w:val="0"/>
              <w:widowControl w:val="0"/>
              <w:kinsoku/>
              <w:overflowPunct/>
              <w:topLinePunct w:val="0"/>
              <w:autoSpaceDE/>
              <w:bidi w:val="0"/>
              <w:adjustRightInd/>
              <w:spacing w:line="500" w:lineRule="exact"/>
              <w:jc w:val="both"/>
              <w:textAlignment w:val="auto"/>
              <w:rPr>
                <w:rFonts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lang w:eastAsia="zh-CN"/>
              </w:rPr>
              <w:t>2</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lang w:eastAsia="zh-CN"/>
              </w:rPr>
              <w:t>其他</w:t>
            </w:r>
          </w:p>
          <w:p>
            <w:pPr>
              <w:pStyle w:val="21"/>
              <w:keepNext w:val="0"/>
              <w:keepLines w:val="0"/>
              <w:pageBreakBefore w:val="0"/>
              <w:widowControl w:val="0"/>
              <w:kinsoku/>
              <w:overflowPunct/>
              <w:topLinePunct w:val="0"/>
              <w:autoSpaceDE/>
              <w:bidi w:val="0"/>
              <w:adjustRightInd/>
              <w:spacing w:line="500" w:lineRule="exact"/>
              <w:ind w:firstLine="480" w:firstLineChars="200"/>
              <w:jc w:val="both"/>
              <w:textAlignment w:val="auto"/>
              <w:rPr>
                <w:rFonts w:ascii="宋体" w:hAnsi="宋体" w:eastAsia="宋体" w:cs="宋体"/>
                <w:bCs/>
                <w:color w:val="auto"/>
                <w:sz w:val="24"/>
                <w:szCs w:val="24"/>
                <w:highlight w:val="none"/>
                <w:lang w:eastAsia="zh-CN"/>
              </w:rPr>
            </w:pPr>
            <w:r>
              <w:rPr>
                <w:rFonts w:ascii="宋体" w:hAnsi="宋体" w:eastAsia="宋体" w:cs="宋体"/>
                <w:color w:val="auto"/>
                <w:sz w:val="24"/>
                <w:szCs w:val="24"/>
                <w:highlight w:val="none"/>
                <w:shd w:val="clear" w:color="auto" w:fill="FFFFFF"/>
                <w:lang w:eastAsia="zh-CN"/>
              </w:rPr>
              <w:t>2.1、</w:t>
            </w:r>
            <w:r>
              <w:rPr>
                <w:rFonts w:ascii="宋体" w:hAnsi="宋体" w:eastAsia="宋体" w:cs="宋体"/>
                <w:color w:val="auto"/>
                <w:sz w:val="24"/>
                <w:szCs w:val="24"/>
                <w:highlight w:val="none"/>
                <w:shd w:val="clear" w:color="auto" w:fill="FFFFFF"/>
              </w:rPr>
              <w:t>代理服务费</w:t>
            </w:r>
            <w:r>
              <w:rPr>
                <w:rFonts w:ascii="宋体" w:hAnsi="宋体" w:eastAsia="宋体" w:cs="宋体"/>
                <w:bCs/>
                <w:color w:val="auto"/>
                <w:sz w:val="24"/>
                <w:szCs w:val="24"/>
                <w:highlight w:val="none"/>
                <w:lang w:eastAsia="zh-CN"/>
              </w:rPr>
              <w:t>收费基准：以采购包的中标</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lang w:eastAsia="zh-CN"/>
              </w:rPr>
              <w:t>金额为收费的计算基数，按差额定率累进法计算。</w:t>
            </w:r>
          </w:p>
          <w:p>
            <w:pPr>
              <w:pStyle w:val="14"/>
              <w:keepNext w:val="0"/>
              <w:keepLines w:val="0"/>
              <w:pageBreakBefore w:val="0"/>
              <w:widowControl w:val="0"/>
              <w:kinsoku/>
              <w:wordWrap w:val="0"/>
              <w:overflowPunct/>
              <w:topLinePunct w:val="0"/>
              <w:autoSpaceDE/>
              <w:bidi w:val="0"/>
              <w:adjustRightInd/>
              <w:spacing w:beforeAutospacing="0" w:afterAutospacing="0" w:line="500" w:lineRule="exact"/>
              <w:ind w:firstLine="480" w:firstLineChars="200"/>
              <w:textAlignment w:val="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2.2、</w:t>
            </w:r>
            <w:r>
              <w:rPr>
                <w:rFonts w:hint="eastAsia" w:ascii="宋体" w:hAnsi="宋体" w:eastAsia="宋体" w:cs="宋体"/>
                <w:color w:val="auto"/>
                <w:highlight w:val="none"/>
                <w:shd w:val="clear" w:color="auto" w:fill="FFFFFF"/>
                <w:lang w:eastAsia="zh-Hans"/>
              </w:rPr>
              <w:t>中标人</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lang w:eastAsia="zh-Hans"/>
              </w:rPr>
              <w:t>成交人</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lang w:eastAsia="zh-Hans"/>
              </w:rPr>
              <w:t>应在领取中标</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lang w:eastAsia="zh-Hans"/>
              </w:rPr>
              <w:t>成交</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lang w:eastAsia="zh-Hans"/>
              </w:rPr>
              <w:t>通知书前应先以转帐或电汇付款方式一次性向代理机构缴纳代理服务费。</w:t>
            </w:r>
          </w:p>
          <w:p>
            <w:pPr>
              <w:pStyle w:val="14"/>
              <w:keepNext w:val="0"/>
              <w:keepLines w:val="0"/>
              <w:pageBreakBefore w:val="0"/>
              <w:widowControl w:val="0"/>
              <w:kinsoku/>
              <w:wordWrap w:val="0"/>
              <w:overflowPunct/>
              <w:topLinePunct w:val="0"/>
              <w:autoSpaceDE/>
              <w:bidi w:val="0"/>
              <w:adjustRightInd/>
              <w:spacing w:beforeAutospacing="0" w:afterAutospacing="0" w:line="5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2.3、代理服务费</w:t>
            </w:r>
            <w:r>
              <w:rPr>
                <w:rFonts w:hint="eastAsia" w:ascii="宋体" w:hAnsi="宋体" w:eastAsia="宋体" w:cs="宋体"/>
                <w:color w:val="auto"/>
                <w:highlight w:val="none"/>
                <w:lang w:bidi="ar"/>
              </w:rPr>
              <w:t>银行账号：</w:t>
            </w:r>
          </w:p>
          <w:p>
            <w:pPr>
              <w:pStyle w:val="14"/>
              <w:keepNext w:val="0"/>
              <w:keepLines w:val="0"/>
              <w:pageBreakBefore w:val="0"/>
              <w:widowControl w:val="0"/>
              <w:kinsoku/>
              <w:wordWrap w:val="0"/>
              <w:overflowPunct/>
              <w:topLinePunct w:val="0"/>
              <w:autoSpaceDE/>
              <w:bidi w:val="0"/>
              <w:adjustRightInd/>
              <w:spacing w:beforeAutospacing="0" w:afterAutospacing="0" w:line="5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开户名称</w:t>
            </w:r>
            <w:r>
              <w:rPr>
                <w:rFonts w:hint="eastAsia" w:ascii="宋体" w:hAnsi="宋体" w:eastAsia="宋体" w:cs="宋体"/>
                <w:color w:val="auto"/>
                <w:highlight w:val="none"/>
                <w:lang w:bidi="ar"/>
              </w:rPr>
              <w:t>：卓知项目管理顾问有限公司福州分公司；</w:t>
            </w:r>
          </w:p>
          <w:p>
            <w:pPr>
              <w:pStyle w:val="14"/>
              <w:keepNext w:val="0"/>
              <w:keepLines w:val="0"/>
              <w:pageBreakBefore w:val="0"/>
              <w:widowControl w:val="0"/>
              <w:kinsoku/>
              <w:wordWrap w:val="0"/>
              <w:overflowPunct/>
              <w:topLinePunct w:val="0"/>
              <w:autoSpaceDE/>
              <w:bidi w:val="0"/>
              <w:adjustRightInd/>
              <w:spacing w:beforeAutospacing="0" w:afterAutospacing="0" w:line="5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开户银行</w:t>
            </w:r>
            <w:r>
              <w:rPr>
                <w:rFonts w:hint="eastAsia" w:ascii="宋体" w:hAnsi="宋体" w:eastAsia="宋体" w:cs="宋体"/>
                <w:color w:val="auto"/>
                <w:highlight w:val="none"/>
                <w:lang w:bidi="ar"/>
              </w:rPr>
              <w:t>：中国民生银行福州</w:t>
            </w:r>
            <w:r>
              <w:rPr>
                <w:rFonts w:hint="eastAsia" w:ascii="宋体" w:hAnsi="宋体" w:eastAsia="宋体" w:cs="宋体"/>
                <w:color w:val="auto"/>
                <w:highlight w:val="none"/>
                <w:lang w:val="en-US" w:eastAsia="zh-CN" w:bidi="ar"/>
              </w:rPr>
              <w:t>晋安</w:t>
            </w:r>
            <w:r>
              <w:rPr>
                <w:rFonts w:hint="eastAsia" w:ascii="宋体" w:hAnsi="宋体" w:eastAsia="宋体" w:cs="宋体"/>
                <w:color w:val="auto"/>
                <w:highlight w:val="none"/>
                <w:lang w:bidi="ar"/>
              </w:rPr>
              <w:t>支行；</w:t>
            </w:r>
          </w:p>
          <w:p>
            <w:pPr>
              <w:pStyle w:val="14"/>
              <w:keepNext w:val="0"/>
              <w:keepLines w:val="0"/>
              <w:pageBreakBefore w:val="0"/>
              <w:widowControl w:val="0"/>
              <w:kinsoku/>
              <w:wordWrap w:val="0"/>
              <w:overflowPunct/>
              <w:topLinePunct w:val="0"/>
              <w:autoSpaceDE/>
              <w:bidi w:val="0"/>
              <w:adjustRightInd/>
              <w:spacing w:beforeAutospacing="0" w:afterAutospacing="0" w:line="5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银行账号</w:t>
            </w:r>
            <w:r>
              <w:rPr>
                <w:rFonts w:hint="eastAsia" w:ascii="宋体" w:hAnsi="宋体" w:eastAsia="宋体" w:cs="宋体"/>
                <w:color w:val="auto"/>
                <w:highlight w:val="none"/>
                <w:lang w:bidi="ar"/>
              </w:rPr>
              <w:t>：1510012830002079。</w:t>
            </w:r>
          </w:p>
          <w:p>
            <w:pPr>
              <w:pStyle w:val="14"/>
              <w:keepNext w:val="0"/>
              <w:keepLines w:val="0"/>
              <w:pageBreakBefore w:val="0"/>
              <w:widowControl w:val="0"/>
              <w:kinsoku/>
              <w:wordWrap w:val="0"/>
              <w:overflowPunct/>
              <w:topLinePunct w:val="0"/>
              <w:autoSpaceDE/>
              <w:bidi w:val="0"/>
              <w:adjustRightInd/>
              <w:spacing w:beforeAutospacing="0" w:afterAutospacing="0" w:line="5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bidi="ar"/>
              </w:rPr>
              <w:t>2.4、投标文件</w:t>
            </w:r>
            <w:r>
              <w:rPr>
                <w:rFonts w:hint="eastAsia" w:ascii="宋体" w:hAnsi="宋体" w:eastAsia="宋体" w:cs="宋体"/>
                <w:color w:val="auto"/>
                <w:highlight w:val="none"/>
                <w:lang w:eastAsia="zh-CN" w:bidi="ar"/>
              </w:rPr>
              <w:t>（</w:t>
            </w:r>
            <w:r>
              <w:rPr>
                <w:rFonts w:hint="eastAsia" w:ascii="宋体" w:hAnsi="宋体" w:eastAsia="宋体" w:cs="宋体"/>
                <w:color w:val="auto"/>
                <w:highlight w:val="none"/>
                <w:lang w:bidi="ar"/>
              </w:rPr>
              <w:t>将</w:t>
            </w:r>
            <w:r>
              <w:rPr>
                <w:rFonts w:hint="eastAsia" w:ascii="宋体" w:hAnsi="宋体" w:eastAsia="宋体" w:cs="宋体"/>
                <w:color w:val="auto"/>
                <w:highlight w:val="none"/>
                <w:lang w:eastAsia="zh-CN" w:bidi="ar"/>
              </w:rPr>
              <w:t>）</w:t>
            </w:r>
            <w:r>
              <w:rPr>
                <w:rFonts w:hint="eastAsia" w:ascii="宋体" w:hAnsi="宋体" w:eastAsia="宋体" w:cs="宋体"/>
                <w:color w:val="auto"/>
                <w:highlight w:val="none"/>
                <w:lang w:bidi="ar"/>
              </w:rPr>
              <w:t>被拒绝或拒收、投标文件无效及否决等相关条款：</w:t>
            </w:r>
          </w:p>
          <w:p>
            <w:pPr>
              <w:pStyle w:val="14"/>
              <w:keepNext w:val="0"/>
              <w:keepLines w:val="0"/>
              <w:pageBreakBefore w:val="0"/>
              <w:widowControl w:val="0"/>
              <w:kinsoku/>
              <w:wordWrap w:val="0"/>
              <w:overflowPunct/>
              <w:topLinePunct w:val="0"/>
              <w:autoSpaceDE/>
              <w:bidi w:val="0"/>
              <w:adjustRightInd/>
              <w:spacing w:beforeAutospacing="0" w:afterAutospacing="0" w:line="500" w:lineRule="exact"/>
              <w:ind w:firstLine="480" w:firstLineChars="200"/>
              <w:textAlignment w:val="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①不符合第一章邀请书第7.2、8.2条款中“投标文件</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rPr>
              <w:t>将</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rPr>
              <w:t>被拒绝或拒收”规定的；</w:t>
            </w:r>
          </w:p>
          <w:p>
            <w:pPr>
              <w:pStyle w:val="14"/>
              <w:keepNext w:val="0"/>
              <w:keepLines w:val="0"/>
              <w:pageBreakBefore w:val="0"/>
              <w:widowControl w:val="0"/>
              <w:kinsoku/>
              <w:wordWrap w:val="0"/>
              <w:overflowPunct/>
              <w:topLinePunct w:val="0"/>
              <w:autoSpaceDE/>
              <w:bidi w:val="0"/>
              <w:adjustRightInd/>
              <w:spacing w:beforeAutospacing="0" w:afterAutospacing="0" w:line="500" w:lineRule="exact"/>
              <w:ind w:firstLine="480" w:firstLineChars="200"/>
              <w:textAlignment w:val="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②出现第二章须知前附表表2中“否决”或“无效”或“投标文件</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rPr>
              <w:t>将</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rPr>
              <w:t>被拒绝或拒收”条款规定的；</w:t>
            </w:r>
          </w:p>
          <w:p>
            <w:pPr>
              <w:pStyle w:val="14"/>
              <w:keepNext w:val="0"/>
              <w:keepLines w:val="0"/>
              <w:pageBreakBefore w:val="0"/>
              <w:widowControl w:val="0"/>
              <w:kinsoku/>
              <w:wordWrap w:val="0"/>
              <w:overflowPunct/>
              <w:topLinePunct w:val="0"/>
              <w:autoSpaceDE/>
              <w:bidi w:val="0"/>
              <w:adjustRightInd/>
              <w:spacing w:beforeAutospacing="0" w:afterAutospacing="0" w:line="500" w:lineRule="exact"/>
              <w:ind w:firstLine="480" w:firstLineChars="200"/>
              <w:textAlignment w:val="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③出现第三章须知第3.2</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rPr>
              <w:t>6</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rPr>
              <w:t>、9、10.6、10.8</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rPr>
              <w:t>、10.9</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rPr>
              <w:t>、10.9</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rPr>
              <w:t>、10.11</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rPr>
              <w:t>、10.12、11.4</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rPr>
              <w:t>条款中“否决”或“无效”条款规定的；</w:t>
            </w:r>
          </w:p>
          <w:p>
            <w:pPr>
              <w:pStyle w:val="14"/>
              <w:keepNext w:val="0"/>
              <w:keepLines w:val="0"/>
              <w:pageBreakBefore w:val="0"/>
              <w:widowControl w:val="0"/>
              <w:kinsoku/>
              <w:wordWrap w:val="0"/>
              <w:overflowPunct/>
              <w:topLinePunct w:val="0"/>
              <w:autoSpaceDE/>
              <w:bidi w:val="0"/>
              <w:adjustRightInd/>
              <w:spacing w:beforeAutospacing="0" w:afterAutospacing="0" w:line="500" w:lineRule="exact"/>
              <w:ind w:firstLine="480" w:firstLineChars="200"/>
              <w:textAlignment w:val="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④出现第四章资格审查与评标中规定的“否决”或“无效”条款的；</w:t>
            </w:r>
          </w:p>
          <w:p>
            <w:pPr>
              <w:pStyle w:val="14"/>
              <w:keepNext w:val="0"/>
              <w:keepLines w:val="0"/>
              <w:pageBreakBefore w:val="0"/>
              <w:widowControl w:val="0"/>
              <w:kinsoku/>
              <w:wordWrap w:val="0"/>
              <w:overflowPunct/>
              <w:topLinePunct w:val="0"/>
              <w:autoSpaceDE/>
              <w:bidi w:val="0"/>
              <w:adjustRightInd/>
              <w:spacing w:beforeAutospacing="0" w:afterAutospacing="0" w:line="500" w:lineRule="exact"/>
              <w:ind w:firstLine="480" w:firstLineChars="200"/>
              <w:textAlignment w:val="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⑤出现第五章招标内容及要求中“否决或无效”条款规定的或“★”标注的内容为负偏离的；</w:t>
            </w:r>
          </w:p>
          <w:p>
            <w:pPr>
              <w:pStyle w:val="14"/>
              <w:keepNext w:val="0"/>
              <w:keepLines w:val="0"/>
              <w:pageBreakBefore w:val="0"/>
              <w:widowControl w:val="0"/>
              <w:kinsoku/>
              <w:wordWrap w:val="0"/>
              <w:overflowPunct/>
              <w:topLinePunct w:val="0"/>
              <w:autoSpaceDE/>
              <w:bidi w:val="0"/>
              <w:adjustRightInd/>
              <w:spacing w:beforeAutospacing="0" w:afterAutospacing="0" w:line="500" w:lineRule="exact"/>
              <w:ind w:firstLine="480" w:firstLineChars="200"/>
              <w:textAlignment w:val="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⑥出现第七章电子投标文件格式中“否决”或“无效”条款规定的。</w:t>
            </w:r>
          </w:p>
          <w:p>
            <w:pPr>
              <w:pStyle w:val="14"/>
              <w:keepNext w:val="0"/>
              <w:keepLines w:val="0"/>
              <w:pageBreakBefore w:val="0"/>
              <w:widowControl w:val="0"/>
              <w:kinsoku/>
              <w:wordWrap w:val="0"/>
              <w:overflowPunct/>
              <w:topLinePunct w:val="0"/>
              <w:autoSpaceDE/>
              <w:bidi w:val="0"/>
              <w:adjustRightInd/>
              <w:spacing w:beforeAutospacing="0" w:afterAutospacing="0" w:line="500" w:lineRule="exact"/>
              <w:ind w:firstLine="480" w:firstLineChars="200"/>
              <w:textAlignment w:val="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2.5、远程开标的规定：</w:t>
            </w:r>
          </w:p>
          <w:p>
            <w:pPr>
              <w:pStyle w:val="14"/>
              <w:keepNext w:val="0"/>
              <w:keepLines w:val="0"/>
              <w:pageBreakBefore w:val="0"/>
              <w:widowControl w:val="0"/>
              <w:kinsoku/>
              <w:wordWrap w:val="0"/>
              <w:overflowPunct/>
              <w:topLinePunct w:val="0"/>
              <w:autoSpaceDE/>
              <w:bidi w:val="0"/>
              <w:adjustRightInd/>
              <w:spacing w:beforeAutospacing="0" w:afterAutospacing="0" w:line="500" w:lineRule="exact"/>
              <w:ind w:firstLine="480" w:firstLineChars="200"/>
              <w:textAlignment w:val="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①本项目支持远程开标，投标人可通过远程线上参与开标，具体系统操作指南详见福建省政府采购网首页上相关操作手册。</w:t>
            </w:r>
          </w:p>
          <w:p>
            <w:pPr>
              <w:pStyle w:val="14"/>
              <w:keepNext w:val="0"/>
              <w:keepLines w:val="0"/>
              <w:pageBreakBefore w:val="0"/>
              <w:widowControl w:val="0"/>
              <w:kinsoku/>
              <w:wordWrap w:val="0"/>
              <w:overflowPunct/>
              <w:topLinePunct w:val="0"/>
              <w:autoSpaceDE/>
              <w:bidi w:val="0"/>
              <w:adjustRightInd/>
              <w:spacing w:beforeAutospacing="0" w:afterAutospacing="0" w:line="500" w:lineRule="exact"/>
              <w:ind w:firstLine="480" w:firstLineChars="200"/>
              <w:textAlignment w:val="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②本项目开标过程中解密的操作时限为30分钟，远程签章的操作时限为</w:t>
            </w:r>
            <w:r>
              <w:rPr>
                <w:rFonts w:hint="eastAsia" w:ascii="宋体" w:hAnsi="宋体" w:eastAsia="宋体" w:cs="宋体"/>
                <w:color w:val="auto"/>
                <w:highlight w:val="none"/>
                <w:shd w:val="clear" w:color="auto" w:fill="FFFFFF"/>
                <w:lang w:val="en-US" w:eastAsia="zh-CN"/>
              </w:rPr>
              <w:t>15</w:t>
            </w:r>
            <w:r>
              <w:rPr>
                <w:rFonts w:hint="eastAsia" w:ascii="宋体" w:hAnsi="宋体" w:eastAsia="宋体" w:cs="宋体"/>
                <w:color w:val="auto"/>
                <w:highlight w:val="none"/>
                <w:shd w:val="clear" w:color="auto" w:fill="FFFFFF"/>
              </w:rPr>
              <w:t>分钟。请投标人务必密切关注实时开标流程，完成远程解密、远程签章。</w:t>
            </w:r>
          </w:p>
          <w:p>
            <w:pPr>
              <w:pStyle w:val="14"/>
              <w:keepNext w:val="0"/>
              <w:keepLines w:val="0"/>
              <w:pageBreakBefore w:val="0"/>
              <w:widowControl w:val="0"/>
              <w:kinsoku/>
              <w:wordWrap w:val="0"/>
              <w:overflowPunct/>
              <w:topLinePunct w:val="0"/>
              <w:autoSpaceDE/>
              <w:bidi w:val="0"/>
              <w:adjustRightInd/>
              <w:spacing w:beforeAutospacing="0" w:afterAutospacing="0" w:line="500" w:lineRule="exact"/>
              <w:ind w:firstLine="480" w:firstLineChars="200"/>
              <w:textAlignment w:val="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③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w:t>
            </w:r>
          </w:p>
          <w:p>
            <w:pPr>
              <w:pStyle w:val="14"/>
              <w:keepNext w:val="0"/>
              <w:keepLines w:val="0"/>
              <w:pageBreakBefore w:val="0"/>
              <w:widowControl w:val="0"/>
              <w:kinsoku/>
              <w:wordWrap w:val="0"/>
              <w:overflowPunct/>
              <w:topLinePunct w:val="0"/>
              <w:autoSpaceDE/>
              <w:bidi w:val="0"/>
              <w:adjustRightInd/>
              <w:spacing w:beforeAutospacing="0" w:afterAutospacing="0" w:line="500" w:lineRule="exact"/>
              <w:ind w:left="0" w:leftChars="0" w:right="0" w:rightChars="0" w:firstLine="480" w:firstLineChars="200"/>
              <w:textAlignment w:val="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④在开标过程中，因系统故障等导致无法继续进行开标的，投标人须配合等待故障处理，待故障解除后继续开标。</w:t>
            </w:r>
          </w:p>
          <w:p>
            <w:pPr>
              <w:pStyle w:val="14"/>
              <w:keepNext w:val="0"/>
              <w:keepLines w:val="0"/>
              <w:pageBreakBefore w:val="0"/>
              <w:widowControl w:val="0"/>
              <w:kinsoku/>
              <w:wordWrap w:val="0"/>
              <w:overflowPunct/>
              <w:topLinePunct w:val="0"/>
              <w:autoSpaceDE/>
              <w:bidi w:val="0"/>
              <w:adjustRightInd/>
              <w:spacing w:beforeAutospacing="0" w:afterAutospacing="0" w:line="500" w:lineRule="exact"/>
              <w:ind w:left="0" w:leftChars="0" w:right="0" w:rightChars="0" w:firstLine="482" w:firstLineChars="200"/>
              <w:textAlignment w:val="auto"/>
              <w:rPr>
                <w:rFonts w:hint="eastAsia" w:ascii="宋体" w:hAnsi="宋体" w:eastAsia="宋体" w:cs="宋体"/>
                <w:b/>
                <w:bCs/>
                <w:color w:val="auto"/>
                <w:highlight w:val="none"/>
                <w:shd w:val="clear" w:color="auto" w:fill="FFFFFF"/>
                <w:lang w:val="en-US" w:eastAsia="zh-CN"/>
              </w:rPr>
            </w:pPr>
            <w:r>
              <w:rPr>
                <w:rFonts w:hint="eastAsia" w:ascii="宋体" w:hAnsi="宋体" w:eastAsia="宋体" w:cs="宋体"/>
                <w:b/>
                <w:bCs/>
                <w:color w:val="auto"/>
                <w:highlight w:val="none"/>
                <w:shd w:val="clear" w:color="auto" w:fill="FFFFFF"/>
                <w:lang w:val="en-US" w:eastAsia="zh-CN"/>
              </w:rPr>
              <w:t>2.6、水利水电相关专业包括水利水电工程、水利工程施工、水工、水工建筑、水利水电规划、水利工程、农田水利工程、水电站动力设备、水力学及河流动力学、水文水资源、工程地质及水文地质、水利机械等。</w:t>
            </w:r>
          </w:p>
          <w:p>
            <w:pPr>
              <w:pStyle w:val="14"/>
              <w:keepNext w:val="0"/>
              <w:keepLines w:val="0"/>
              <w:pageBreakBefore w:val="0"/>
              <w:widowControl w:val="0"/>
              <w:kinsoku/>
              <w:wordWrap w:val="0"/>
              <w:overflowPunct/>
              <w:topLinePunct w:val="0"/>
              <w:autoSpaceDE/>
              <w:bidi w:val="0"/>
              <w:adjustRightInd/>
              <w:spacing w:beforeAutospacing="0" w:afterAutospacing="0" w:line="500" w:lineRule="exact"/>
              <w:ind w:left="0" w:leftChars="0" w:right="0" w:rightChars="0"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highlight w:val="none"/>
                <w:shd w:val="clear" w:color="auto" w:fill="FFFFFF"/>
                <w:lang w:val="en-US" w:eastAsia="zh-CN"/>
              </w:rPr>
              <w:t>2.7、采用联合体投标的，联合体数量不超过2家。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2146" w:type="dxa"/>
            <w:gridSpan w:val="2"/>
            <w:vAlign w:val="top"/>
          </w:tcPr>
          <w:p>
            <w:pPr>
              <w:pStyle w:val="21"/>
              <w:keepNext w:val="0"/>
              <w:keepLines w:val="0"/>
              <w:pageBreakBefore w:val="0"/>
              <w:widowControl w:val="0"/>
              <w:kinsoku/>
              <w:overflowPunct/>
              <w:topLinePunct w:val="0"/>
              <w:autoSpaceDE/>
              <w:bidi w:val="0"/>
              <w:adjustRightInd/>
              <w:spacing w:line="500" w:lineRule="exact"/>
              <w:jc w:val="center"/>
              <w:textAlignment w:val="auto"/>
              <w:rPr>
                <w:rFonts w:hint="eastAsia" w:ascii="宋体" w:hAnsi="宋体" w:eastAsia="宋体" w:cs="宋体"/>
                <w:b w:val="0"/>
                <w:bCs/>
                <w:color w:val="auto"/>
                <w:sz w:val="24"/>
                <w:szCs w:val="24"/>
                <w:highlight w:val="none"/>
                <w:lang w:val="en-US" w:eastAsia="zh-CN"/>
              </w:rPr>
            </w:pPr>
            <w:r>
              <w:rPr>
                <w:rFonts w:ascii="宋体" w:hAnsi="宋体" w:eastAsia="宋体" w:cs="宋体"/>
                <w:b/>
                <w:color w:val="auto"/>
                <w:sz w:val="24"/>
                <w:szCs w:val="24"/>
                <w:highlight w:val="none"/>
                <w:lang w:eastAsia="zh-CN"/>
              </w:rPr>
              <w:t>备注</w:t>
            </w:r>
          </w:p>
        </w:tc>
        <w:tc>
          <w:tcPr>
            <w:tcW w:w="7176" w:type="dxa"/>
            <w:vAlign w:val="top"/>
          </w:tcPr>
          <w:p>
            <w:pPr>
              <w:pStyle w:val="21"/>
              <w:keepNext w:val="0"/>
              <w:keepLines w:val="0"/>
              <w:pageBreakBefore w:val="0"/>
              <w:widowControl w:val="0"/>
              <w:kinsoku/>
              <w:overflowPunct/>
              <w:topLinePunct w:val="0"/>
              <w:autoSpaceDE/>
              <w:bidi w:val="0"/>
              <w:adjustRightInd/>
              <w:spacing w:line="500" w:lineRule="exact"/>
              <w:jc w:val="both"/>
              <w:textAlignment w:val="auto"/>
              <w:rPr>
                <w:rFonts w:hint="eastAsia" w:ascii="宋体" w:hAnsi="宋体" w:eastAsia="宋体" w:cs="宋体"/>
                <w:color w:val="auto"/>
                <w:sz w:val="24"/>
                <w:szCs w:val="24"/>
                <w:highlight w:val="none"/>
                <w:lang w:val="en-US" w:eastAsia="zh-CN"/>
              </w:rPr>
            </w:pPr>
            <w:r>
              <w:rPr>
                <w:rFonts w:ascii="宋体" w:hAnsi="宋体" w:eastAsia="宋体" w:cs="宋体"/>
                <w:b/>
                <w:color w:val="auto"/>
                <w:sz w:val="24"/>
                <w:szCs w:val="24"/>
                <w:highlight w:val="none"/>
                <w:lang w:eastAsia="zh-CN"/>
              </w:rPr>
              <w:t>后有投标人须知前附表2，请勿遗漏。</w:t>
            </w:r>
          </w:p>
        </w:tc>
      </w:tr>
    </w:tbl>
    <w:p>
      <w:pPr>
        <w:keepNext w:val="0"/>
        <w:keepLines w:val="0"/>
        <w:pageBreakBefore w:val="0"/>
        <w:widowControl w:val="0"/>
        <w:kinsoku/>
        <w:overflowPunct/>
        <w:topLinePunct w:val="0"/>
        <w:autoSpaceDE/>
        <w:bidi w:val="0"/>
        <w:adjustRightInd/>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21"/>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color w:val="auto"/>
          <w:sz w:val="24"/>
          <w:szCs w:val="24"/>
          <w:highlight w:val="none"/>
        </w:rPr>
      </w:pPr>
      <w:r>
        <w:rPr>
          <w:rFonts w:ascii="宋体" w:hAnsi="宋体" w:eastAsia="宋体" w:cs="宋体"/>
          <w:b/>
          <w:color w:val="auto"/>
          <w:sz w:val="28"/>
          <w:szCs w:val="28"/>
          <w:highlight w:val="none"/>
        </w:rPr>
        <w:t>二、投标人须知前附表2</w:t>
      </w:r>
    </w:p>
    <w:tbl>
      <w:tblPr>
        <w:tblStyle w:val="1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1"/>
        <w:gridCol w:w="85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5000" w:type="pct"/>
            <w:gridSpan w:val="2"/>
          </w:tcPr>
          <w:p>
            <w:pPr>
              <w:pStyle w:val="21"/>
              <w:keepNext w:val="0"/>
              <w:keepLines w:val="0"/>
              <w:pageBreakBefore w:val="0"/>
              <w:widowControl w:val="0"/>
              <w:kinsoku/>
              <w:overflowPunct/>
              <w:topLinePunct w:val="0"/>
              <w:autoSpaceDE/>
              <w:bidi w:val="0"/>
              <w:adjustRightInd/>
              <w:spacing w:line="500" w:lineRule="exact"/>
              <w:jc w:val="center"/>
              <w:textAlignment w:val="auto"/>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03" w:type="pct"/>
          </w:tcPr>
          <w:p>
            <w:pPr>
              <w:pStyle w:val="21"/>
              <w:keepNext w:val="0"/>
              <w:keepLines w:val="0"/>
              <w:pageBreakBefore w:val="0"/>
              <w:widowControl w:val="0"/>
              <w:kinsoku/>
              <w:overflowPunct/>
              <w:topLinePunct w:val="0"/>
              <w:autoSpaceDE/>
              <w:bidi w:val="0"/>
              <w:adjustRightInd/>
              <w:spacing w:line="500" w:lineRule="exact"/>
              <w:jc w:val="center"/>
              <w:textAlignment w:val="auto"/>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序号</w:t>
            </w:r>
          </w:p>
        </w:tc>
        <w:tc>
          <w:tcPr>
            <w:tcW w:w="4596" w:type="pct"/>
          </w:tcPr>
          <w:p>
            <w:pPr>
              <w:pStyle w:val="21"/>
              <w:keepNext w:val="0"/>
              <w:keepLines w:val="0"/>
              <w:pageBreakBefore w:val="0"/>
              <w:widowControl w:val="0"/>
              <w:kinsoku/>
              <w:overflowPunct/>
              <w:topLinePunct w:val="0"/>
              <w:autoSpaceDE/>
              <w:bidi w:val="0"/>
              <w:adjustRightInd/>
              <w:spacing w:line="500" w:lineRule="exact"/>
              <w:jc w:val="center"/>
              <w:textAlignment w:val="auto"/>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03" w:type="pct"/>
            <w:vAlign w:val="center"/>
          </w:tcPr>
          <w:p>
            <w:pPr>
              <w:pStyle w:val="21"/>
              <w:keepNext w:val="0"/>
              <w:keepLines w:val="0"/>
              <w:pageBreakBefore w:val="0"/>
              <w:widowControl w:val="0"/>
              <w:kinsoku/>
              <w:overflowPunct/>
              <w:topLinePunct w:val="0"/>
              <w:autoSpaceDE/>
              <w:bidi w:val="0"/>
              <w:adjustRightInd/>
              <w:spacing w:line="500" w:lineRule="exact"/>
              <w:jc w:val="center"/>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8591" w:type="dxa"/>
            <w:vAlign w:val="center"/>
          </w:tcPr>
          <w:p>
            <w:pPr>
              <w:pStyle w:val="21"/>
              <w:keepNext w:val="0"/>
              <w:keepLines w:val="0"/>
              <w:pageBreakBefore w:val="0"/>
              <w:widowControl w:val="0"/>
              <w:kinsoku/>
              <w:overflowPunct/>
              <w:topLinePunct w:val="0"/>
              <w:autoSpaceDE/>
              <w:bidi w:val="0"/>
              <w:adjustRightInd/>
              <w:spacing w:line="500" w:lineRule="exact"/>
              <w:ind w:firstLine="480" w:firstLineChars="200"/>
              <w:jc w:val="both"/>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电子招标投标活动的专门规定适用本项目电子招标投标活动。</w:t>
            </w:r>
          </w:p>
          <w:p>
            <w:pPr>
              <w:pStyle w:val="21"/>
              <w:keepNext w:val="0"/>
              <w:keepLines w:val="0"/>
              <w:pageBreakBefore w:val="0"/>
              <w:widowControl w:val="0"/>
              <w:kinsoku/>
              <w:overflowPunct/>
              <w:topLinePunct w:val="0"/>
              <w:autoSpaceDE/>
              <w:bidi w:val="0"/>
              <w:adjustRightInd/>
              <w:spacing w:line="500" w:lineRule="exact"/>
              <w:ind w:firstLine="480" w:firstLineChars="200"/>
              <w:jc w:val="both"/>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将招标文件</w:t>
            </w:r>
            <w:r>
              <w:rPr>
                <w:rFonts w:ascii="宋体" w:hAnsi="宋体" w:eastAsia="宋体" w:cs="宋体"/>
                <w:bCs/>
                <w:color w:val="auto"/>
                <w:sz w:val="24"/>
                <w:szCs w:val="24"/>
                <w:highlight w:val="none"/>
                <w:u w:val="single"/>
                <w:lang w:eastAsia="zh-CN"/>
              </w:rPr>
              <w:t xml:space="preserve">  /  </w:t>
            </w:r>
            <w:r>
              <w:rPr>
                <w:rFonts w:ascii="宋体" w:hAnsi="宋体" w:eastAsia="宋体" w:cs="宋体"/>
                <w:bCs/>
                <w:color w:val="auto"/>
                <w:sz w:val="24"/>
                <w:szCs w:val="24"/>
                <w:highlight w:val="none"/>
              </w:rPr>
              <w:t>的内容</w:t>
            </w:r>
            <w:r>
              <w:rPr>
                <w:rFonts w:ascii="宋体" w:hAnsi="宋体" w:eastAsia="宋体" w:cs="宋体"/>
                <w:b/>
                <w:color w:val="auto"/>
                <w:sz w:val="24"/>
                <w:szCs w:val="24"/>
                <w:highlight w:val="none"/>
              </w:rPr>
              <w:t>修正为</w:t>
            </w:r>
            <w:r>
              <w:rPr>
                <w:rFonts w:ascii="宋体" w:hAnsi="宋体" w:eastAsia="宋体" w:cs="宋体"/>
                <w:bCs/>
                <w:color w:val="auto"/>
                <w:sz w:val="24"/>
                <w:szCs w:val="24"/>
                <w:highlight w:val="none"/>
              </w:rPr>
              <w:t>下列内容：</w:t>
            </w:r>
            <w:r>
              <w:rPr>
                <w:rFonts w:ascii="宋体" w:hAnsi="宋体" w:eastAsia="宋体" w:cs="宋体"/>
                <w:bCs/>
                <w:color w:val="auto"/>
                <w:sz w:val="24"/>
                <w:szCs w:val="24"/>
                <w:highlight w:val="none"/>
                <w:u w:val="single"/>
                <w:lang w:eastAsia="zh-CN"/>
              </w:rPr>
              <w:t xml:space="preserve">  /  </w:t>
            </w:r>
            <w:r>
              <w:rPr>
                <w:rFonts w:ascii="宋体" w:hAnsi="宋体" w:eastAsia="宋体" w:cs="宋体"/>
                <w:bCs/>
                <w:color w:val="auto"/>
                <w:sz w:val="24"/>
                <w:szCs w:val="24"/>
                <w:highlight w:val="none"/>
              </w:rPr>
              <w:t>后适用本项目的电子招标投标活动。</w:t>
            </w:r>
          </w:p>
          <w:p>
            <w:pPr>
              <w:pStyle w:val="21"/>
              <w:keepNext w:val="0"/>
              <w:keepLines w:val="0"/>
              <w:pageBreakBefore w:val="0"/>
              <w:widowControl w:val="0"/>
              <w:kinsoku/>
              <w:overflowPunct/>
              <w:topLinePunct w:val="0"/>
              <w:autoSpaceDE/>
              <w:bidi w:val="0"/>
              <w:adjustRightInd/>
              <w:spacing w:line="500" w:lineRule="exact"/>
              <w:ind w:firstLine="480" w:firstLineChars="200"/>
              <w:jc w:val="both"/>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将下列内容</w:t>
            </w:r>
            <w:r>
              <w:rPr>
                <w:rFonts w:ascii="宋体" w:hAnsi="宋体" w:eastAsia="宋体" w:cs="宋体"/>
                <w:b/>
                <w:color w:val="auto"/>
                <w:sz w:val="24"/>
                <w:szCs w:val="24"/>
                <w:highlight w:val="none"/>
              </w:rPr>
              <w:t>增列为</w:t>
            </w:r>
            <w:r>
              <w:rPr>
                <w:rFonts w:ascii="宋体" w:hAnsi="宋体" w:eastAsia="宋体" w:cs="宋体"/>
                <w:bCs/>
                <w:color w:val="auto"/>
                <w:sz w:val="24"/>
                <w:szCs w:val="24"/>
                <w:highlight w:val="none"/>
              </w:rPr>
              <w:t>招标文件的组成部分</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以下简称：“增列内容”</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适用本项目的电子招标投标活动，若增列内容与招标文件其他章节内容有冲突，应以增列内容为准：</w:t>
            </w:r>
          </w:p>
          <w:p>
            <w:pPr>
              <w:pStyle w:val="21"/>
              <w:keepNext w:val="0"/>
              <w:keepLines w:val="0"/>
              <w:pageBreakBefore w:val="0"/>
              <w:widowControl w:val="0"/>
              <w:kinsoku/>
              <w:overflowPunct/>
              <w:topLinePunct w:val="0"/>
              <w:autoSpaceDE/>
              <w:bidi w:val="0"/>
              <w:adjustRightInd/>
              <w:spacing w:line="500" w:lineRule="exact"/>
              <w:ind w:firstLine="480" w:firstLineChars="20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①电子招标投标活动的具体操作流程以福建省政府采购网上公开信息系统设定的为准。</w:t>
            </w:r>
          </w:p>
          <w:p>
            <w:pPr>
              <w:pStyle w:val="21"/>
              <w:keepNext w:val="0"/>
              <w:keepLines w:val="0"/>
              <w:pageBreakBefore w:val="0"/>
              <w:widowControl w:val="0"/>
              <w:kinsoku/>
              <w:overflowPunct/>
              <w:topLinePunct w:val="0"/>
              <w:autoSpaceDE/>
              <w:bidi w:val="0"/>
              <w:adjustRightInd/>
              <w:spacing w:line="500" w:lineRule="exact"/>
              <w:ind w:firstLine="480" w:firstLineChars="20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②关于电子投标文件：</w:t>
            </w:r>
          </w:p>
          <w:p>
            <w:pPr>
              <w:pStyle w:val="21"/>
              <w:keepNext w:val="0"/>
              <w:keepLines w:val="0"/>
              <w:pageBreakBefore w:val="0"/>
              <w:widowControl w:val="0"/>
              <w:kinsoku/>
              <w:overflowPunct/>
              <w:topLinePunct w:val="0"/>
              <w:autoSpaceDE/>
              <w:bidi w:val="0"/>
              <w:adjustRightInd/>
              <w:spacing w:line="500" w:lineRule="exact"/>
              <w:ind w:firstLine="480" w:firstLineChars="200"/>
              <w:jc w:val="both"/>
              <w:textAlignment w:val="auto"/>
              <w:rPr>
                <w:rFonts w:ascii="宋体" w:hAnsi="宋体" w:eastAsia="宋体" w:cs="宋体"/>
                <w:b/>
                <w:color w:val="auto"/>
                <w:sz w:val="24"/>
                <w:szCs w:val="24"/>
                <w:highlight w:val="none"/>
              </w:rPr>
            </w:pPr>
            <w:r>
              <w:rPr>
                <w:rFonts w:ascii="宋体" w:hAnsi="宋体" w:eastAsia="宋体" w:cs="宋体"/>
                <w:bCs/>
                <w:color w:val="auto"/>
                <w:sz w:val="24"/>
                <w:szCs w:val="24"/>
                <w:highlight w:val="none"/>
              </w:rPr>
              <w:t>a.投标人应按照福建省政府采购网上公开信息系统设定的评审节点编制电子投标文件，</w:t>
            </w:r>
            <w:r>
              <w:rPr>
                <w:rFonts w:ascii="宋体" w:hAnsi="宋体" w:eastAsia="宋体" w:cs="宋体"/>
                <w:b/>
                <w:color w:val="auto"/>
                <w:sz w:val="24"/>
                <w:szCs w:val="24"/>
                <w:highlight w:val="none"/>
              </w:rPr>
              <w:t>否则资格审查小组、评标委员会将按照不利于投标人的内容进行认定。</w:t>
            </w:r>
          </w:p>
          <w:p>
            <w:pPr>
              <w:pStyle w:val="21"/>
              <w:keepNext w:val="0"/>
              <w:keepLines w:val="0"/>
              <w:pageBreakBefore w:val="0"/>
              <w:widowControl w:val="0"/>
              <w:kinsoku/>
              <w:overflowPunct/>
              <w:topLinePunct w:val="0"/>
              <w:autoSpaceDE/>
              <w:bidi w:val="0"/>
              <w:adjustRightInd/>
              <w:spacing w:line="500" w:lineRule="exact"/>
              <w:ind w:firstLine="480" w:firstLineChars="20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b.投标人应在投标截止时间前按照福建省政府采购网上公开信息系统设定的操作流程将电子投标文件</w:t>
            </w:r>
            <w:r>
              <w:rPr>
                <w:rFonts w:ascii="宋体" w:hAnsi="宋体" w:eastAsia="宋体" w:cs="宋体"/>
                <w:b/>
                <w:color w:val="auto"/>
                <w:sz w:val="24"/>
                <w:szCs w:val="24"/>
                <w:highlight w:val="none"/>
                <w:u w:val="single"/>
                <w:lang w:eastAsia="zh-CN"/>
              </w:rPr>
              <w:t xml:space="preserve">  1  </w:t>
            </w:r>
            <w:r>
              <w:rPr>
                <w:rFonts w:ascii="宋体" w:hAnsi="宋体" w:eastAsia="宋体" w:cs="宋体"/>
                <w:bCs/>
                <w:color w:val="auto"/>
                <w:sz w:val="24"/>
                <w:szCs w:val="24"/>
                <w:highlight w:val="none"/>
              </w:rPr>
              <w:t>份上传至福建省政府采购网上公开信息系统。电子投标文件的分项报价一览表、投标客户端的分项报价一览表应保持一致，并以投标客户端的分项报价一览表为准。</w:t>
            </w:r>
          </w:p>
          <w:p>
            <w:pPr>
              <w:pStyle w:val="21"/>
              <w:keepNext w:val="0"/>
              <w:keepLines w:val="0"/>
              <w:pageBreakBefore w:val="0"/>
              <w:widowControl w:val="0"/>
              <w:kinsoku/>
              <w:overflowPunct/>
              <w:topLinePunct w:val="0"/>
              <w:autoSpaceDE/>
              <w:bidi w:val="0"/>
              <w:adjustRightInd/>
              <w:spacing w:line="500" w:lineRule="exact"/>
              <w:ind w:firstLine="480" w:firstLineChars="20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③关于证明材料或资料：</w:t>
            </w:r>
          </w:p>
          <w:p>
            <w:pPr>
              <w:pStyle w:val="21"/>
              <w:keepNext w:val="0"/>
              <w:keepLines w:val="0"/>
              <w:pageBreakBefore w:val="0"/>
              <w:widowControl w:val="0"/>
              <w:kinsoku/>
              <w:overflowPunct/>
              <w:topLinePunct w:val="0"/>
              <w:autoSpaceDE/>
              <w:bidi w:val="0"/>
              <w:adjustRightInd/>
              <w:spacing w:line="500" w:lineRule="exact"/>
              <w:ind w:firstLine="480" w:firstLineChars="20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a.招标文件要求原件的，投标人在电子投标文件中可提供复印件</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含扫描件</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，但同时应准备好原件备查</w:t>
            </w:r>
            <w:r>
              <w:rPr>
                <w:rFonts w:hint="eastAsia" w:ascii="宋体" w:hAnsi="宋体" w:eastAsia="宋体" w:cs="宋体"/>
                <w:b/>
                <w:color w:val="auto"/>
                <w:sz w:val="24"/>
                <w:szCs w:val="24"/>
                <w:highlight w:val="none"/>
                <w:lang w:eastAsia="zh-CN"/>
              </w:rPr>
              <w:t>（</w:t>
            </w:r>
            <w:r>
              <w:rPr>
                <w:rFonts w:ascii="宋体" w:hAnsi="宋体" w:eastAsia="宋体" w:cs="宋体"/>
                <w:b/>
                <w:color w:val="auto"/>
                <w:sz w:val="24"/>
                <w:szCs w:val="24"/>
                <w:highlight w:val="none"/>
              </w:rPr>
              <w:t>未能在规定时间内提供原件核查的，将按不利于投标人进行评审</w:t>
            </w:r>
            <w:r>
              <w:rPr>
                <w:rFonts w:hint="eastAsia" w:ascii="宋体" w:hAnsi="宋体" w:eastAsia="宋体" w:cs="宋体"/>
                <w:b/>
                <w:color w:val="auto"/>
                <w:sz w:val="24"/>
                <w:szCs w:val="24"/>
                <w:highlight w:val="none"/>
                <w:lang w:eastAsia="zh-CN"/>
              </w:rPr>
              <w:t>）</w:t>
            </w:r>
            <w:r>
              <w:rPr>
                <w:rFonts w:ascii="宋体" w:hAnsi="宋体" w:eastAsia="宋体" w:cs="宋体"/>
                <w:bCs/>
                <w:color w:val="auto"/>
                <w:sz w:val="24"/>
                <w:szCs w:val="24"/>
                <w:highlight w:val="none"/>
              </w:rPr>
              <w:t>；招标文件要求复印件的，投标人在电子投标文件中提供原件、复印件</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含扫描件</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皆可；招标文件对原件、复印件未作要求的，投标人在电子投标文件中提供原件、复印件</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含扫描件</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皆可。</w:t>
            </w:r>
          </w:p>
          <w:p>
            <w:pPr>
              <w:pStyle w:val="21"/>
              <w:keepNext w:val="0"/>
              <w:keepLines w:val="0"/>
              <w:pageBreakBefore w:val="0"/>
              <w:widowControl w:val="0"/>
              <w:kinsoku/>
              <w:overflowPunct/>
              <w:topLinePunct w:val="0"/>
              <w:autoSpaceDE/>
              <w:bidi w:val="0"/>
              <w:adjustRightInd/>
              <w:spacing w:line="500" w:lineRule="exact"/>
              <w:ind w:firstLine="480" w:firstLineChars="20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b.若投标人提供注明“复印件无效”或“复印无效”的证明材料或资料，应结合上文a条款进行判定，若招标文件未要求投标人提供原件，投标人提供原件，复印件</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含扫描件</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均视为满足招标文件要求。</w:t>
            </w:r>
          </w:p>
          <w:p>
            <w:pPr>
              <w:pStyle w:val="21"/>
              <w:keepNext w:val="0"/>
              <w:keepLines w:val="0"/>
              <w:pageBreakBefore w:val="0"/>
              <w:widowControl w:val="0"/>
              <w:kinsoku/>
              <w:overflowPunct/>
              <w:topLinePunct w:val="0"/>
              <w:autoSpaceDE/>
              <w:bidi w:val="0"/>
              <w:adjustRightInd/>
              <w:spacing w:line="500" w:lineRule="exact"/>
              <w:ind w:firstLine="480" w:firstLineChars="20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④关于“全称”、“投标人代表签字”及“加盖单位公章”：</w:t>
            </w:r>
          </w:p>
          <w:p>
            <w:pPr>
              <w:pStyle w:val="21"/>
              <w:keepNext w:val="0"/>
              <w:keepLines w:val="0"/>
              <w:pageBreakBefore w:val="0"/>
              <w:widowControl w:val="0"/>
              <w:kinsoku/>
              <w:overflowPunct/>
              <w:topLinePunct w:val="0"/>
              <w:autoSpaceDE/>
              <w:bidi w:val="0"/>
              <w:adjustRightInd/>
              <w:spacing w:line="500" w:lineRule="exact"/>
              <w:ind w:firstLine="480" w:firstLineChars="20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a.在电子投标文件中，涉及“全称”和“投标人代表签字”的内容可使用打字录入方式完成。</w:t>
            </w:r>
          </w:p>
          <w:p>
            <w:pPr>
              <w:pStyle w:val="21"/>
              <w:keepNext w:val="0"/>
              <w:keepLines w:val="0"/>
              <w:pageBreakBefore w:val="0"/>
              <w:widowControl w:val="0"/>
              <w:kinsoku/>
              <w:overflowPunct/>
              <w:topLinePunct w:val="0"/>
              <w:autoSpaceDE/>
              <w:bidi w:val="0"/>
              <w:adjustRightInd/>
              <w:spacing w:line="500" w:lineRule="exact"/>
              <w:ind w:firstLine="480" w:firstLineChars="20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b.在电子投标文件中，涉及“加盖单位公章”的内容应使用投标人的CA证书完成，</w:t>
            </w:r>
            <w:r>
              <w:rPr>
                <w:rFonts w:ascii="宋体" w:hAnsi="宋体" w:eastAsia="宋体" w:cs="宋体"/>
                <w:b/>
                <w:color w:val="auto"/>
                <w:sz w:val="24"/>
                <w:szCs w:val="24"/>
                <w:highlight w:val="none"/>
              </w:rPr>
              <w:t>否则投标无效。</w:t>
            </w:r>
          </w:p>
          <w:p>
            <w:pPr>
              <w:pStyle w:val="21"/>
              <w:keepNext w:val="0"/>
              <w:keepLines w:val="0"/>
              <w:pageBreakBefore w:val="0"/>
              <w:widowControl w:val="0"/>
              <w:kinsoku/>
              <w:overflowPunct/>
              <w:topLinePunct w:val="0"/>
              <w:autoSpaceDE/>
              <w:bidi w:val="0"/>
              <w:adjustRightInd/>
              <w:spacing w:line="500" w:lineRule="exact"/>
              <w:ind w:firstLine="480" w:firstLineChars="20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c.在电子投标文件中，若投标人按照本增列内容第④点第b项规定加盖其单位公章，则出现无全称、或投标人代表未签字等情形，</w:t>
            </w:r>
            <w:r>
              <w:rPr>
                <w:rFonts w:ascii="宋体" w:hAnsi="宋体" w:eastAsia="宋体" w:cs="宋体"/>
                <w:b/>
                <w:color w:val="auto"/>
                <w:sz w:val="24"/>
                <w:szCs w:val="24"/>
                <w:highlight w:val="none"/>
              </w:rPr>
              <w:t>不视为投标无效。</w:t>
            </w:r>
          </w:p>
          <w:p>
            <w:pPr>
              <w:pStyle w:val="21"/>
              <w:keepNext w:val="0"/>
              <w:keepLines w:val="0"/>
              <w:pageBreakBefore w:val="0"/>
              <w:widowControl w:val="0"/>
              <w:kinsoku/>
              <w:overflowPunct/>
              <w:topLinePunct w:val="0"/>
              <w:autoSpaceDE/>
              <w:bidi w:val="0"/>
              <w:adjustRightInd/>
              <w:spacing w:line="500" w:lineRule="exact"/>
              <w:ind w:firstLine="480" w:firstLineChars="20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⑤关于投标人的CA证书：</w:t>
            </w:r>
          </w:p>
          <w:p>
            <w:pPr>
              <w:pStyle w:val="21"/>
              <w:keepNext w:val="0"/>
              <w:keepLines w:val="0"/>
              <w:pageBreakBefore w:val="0"/>
              <w:widowControl w:val="0"/>
              <w:kinsoku/>
              <w:overflowPunct/>
              <w:topLinePunct w:val="0"/>
              <w:autoSpaceDE/>
              <w:bidi w:val="0"/>
              <w:adjustRightInd/>
              <w:spacing w:line="500" w:lineRule="exact"/>
              <w:ind w:firstLine="480" w:firstLineChars="20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a.投标人的CA证书应在系统规定时间内使用CA证书进行电子投标文件的解密操作，逾期未解密的视为放弃投标。</w:t>
            </w:r>
          </w:p>
          <w:p>
            <w:pPr>
              <w:pStyle w:val="21"/>
              <w:keepNext w:val="0"/>
              <w:keepLines w:val="0"/>
              <w:pageBreakBefore w:val="0"/>
              <w:widowControl w:val="0"/>
              <w:kinsoku/>
              <w:overflowPunct/>
              <w:topLinePunct w:val="0"/>
              <w:autoSpaceDE/>
              <w:bidi w:val="0"/>
              <w:adjustRightInd/>
              <w:spacing w:line="500" w:lineRule="exact"/>
              <w:ind w:firstLine="480" w:firstLineChars="20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b.投标人的CA证书可采用信封</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包括但不限于：信封、档案袋、文件袋等</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作为外包装进行单独包装。外包装密封、不密封皆可。</w:t>
            </w:r>
          </w:p>
          <w:p>
            <w:pPr>
              <w:pStyle w:val="21"/>
              <w:keepNext w:val="0"/>
              <w:keepLines w:val="0"/>
              <w:pageBreakBefore w:val="0"/>
              <w:widowControl w:val="0"/>
              <w:kinsoku/>
              <w:overflowPunct/>
              <w:topLinePunct w:val="0"/>
              <w:autoSpaceDE/>
              <w:bidi w:val="0"/>
              <w:adjustRightInd/>
              <w:spacing w:line="500" w:lineRule="exact"/>
              <w:ind w:firstLine="480" w:firstLineChars="20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c.投标人的CA证书或外包装应标记“项目名称、项目编号、投标人的全称”等内容，以方便识别、使用。</w:t>
            </w:r>
          </w:p>
          <w:p>
            <w:pPr>
              <w:pStyle w:val="21"/>
              <w:keepNext w:val="0"/>
              <w:keepLines w:val="0"/>
              <w:pageBreakBefore w:val="0"/>
              <w:widowControl w:val="0"/>
              <w:kinsoku/>
              <w:overflowPunct/>
              <w:topLinePunct w:val="0"/>
              <w:autoSpaceDE/>
              <w:bidi w:val="0"/>
              <w:adjustRightInd/>
              <w:spacing w:line="500" w:lineRule="exact"/>
              <w:ind w:firstLine="480" w:firstLineChars="20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d.投标人的CA证书应能正常、有效使用，否则产生不利后果由投标人承担责任。</w:t>
            </w:r>
          </w:p>
          <w:p>
            <w:pPr>
              <w:pStyle w:val="21"/>
              <w:keepNext w:val="0"/>
              <w:keepLines w:val="0"/>
              <w:pageBreakBefore w:val="0"/>
              <w:widowControl w:val="0"/>
              <w:kinsoku/>
              <w:overflowPunct/>
              <w:topLinePunct w:val="0"/>
              <w:autoSpaceDE/>
              <w:bidi w:val="0"/>
              <w:adjustRightInd/>
              <w:spacing w:line="500" w:lineRule="exact"/>
              <w:ind w:firstLine="480" w:firstLineChars="20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⑥关于投标截止时间过后</w:t>
            </w:r>
          </w:p>
          <w:p>
            <w:pPr>
              <w:pStyle w:val="21"/>
              <w:keepNext w:val="0"/>
              <w:keepLines w:val="0"/>
              <w:pageBreakBefore w:val="0"/>
              <w:widowControl w:val="0"/>
              <w:kinsoku/>
              <w:overflowPunct/>
              <w:topLinePunct w:val="0"/>
              <w:autoSpaceDE/>
              <w:bidi w:val="0"/>
              <w:adjustRightInd/>
              <w:spacing w:line="500" w:lineRule="exact"/>
              <w:ind w:firstLine="480" w:firstLineChars="20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a.未按招标文件规定提交投标保证金的，</w:t>
            </w:r>
            <w:r>
              <w:rPr>
                <w:rFonts w:ascii="宋体" w:hAnsi="宋体" w:eastAsia="宋体" w:cs="宋体"/>
                <w:b/>
                <w:color w:val="auto"/>
                <w:sz w:val="24"/>
                <w:szCs w:val="24"/>
                <w:highlight w:val="none"/>
              </w:rPr>
              <w:t>其投标将按无效投标处理。</w:t>
            </w:r>
          </w:p>
          <w:p>
            <w:pPr>
              <w:pStyle w:val="21"/>
              <w:keepNext w:val="0"/>
              <w:keepLines w:val="0"/>
              <w:pageBreakBefore w:val="0"/>
              <w:widowControl w:val="0"/>
              <w:kinsoku/>
              <w:overflowPunct/>
              <w:topLinePunct w:val="0"/>
              <w:autoSpaceDE/>
              <w:bidi w:val="0"/>
              <w:adjustRightInd/>
              <w:spacing w:line="500" w:lineRule="exact"/>
              <w:ind w:firstLine="480" w:firstLineChars="20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b.有下列情形之一的，</w:t>
            </w:r>
            <w:r>
              <w:rPr>
                <w:rFonts w:ascii="宋体" w:hAnsi="宋体" w:eastAsia="宋体" w:cs="宋体"/>
                <w:b/>
                <w:color w:val="auto"/>
                <w:sz w:val="24"/>
                <w:szCs w:val="24"/>
                <w:highlight w:val="none"/>
              </w:rPr>
              <w:t>其投标无效</w:t>
            </w:r>
            <w:r>
              <w:rPr>
                <w:rFonts w:ascii="宋体" w:hAnsi="宋体" w:eastAsia="宋体" w:cs="宋体"/>
                <w:b/>
                <w:color w:val="auto"/>
                <w:sz w:val="24"/>
                <w:szCs w:val="24"/>
                <w:highlight w:val="none"/>
                <w:lang w:eastAsia="zh-CN"/>
              </w:rPr>
              <w:t>，</w:t>
            </w:r>
            <w:r>
              <w:rPr>
                <w:rFonts w:ascii="宋体" w:hAnsi="宋体" w:eastAsia="宋体" w:cs="宋体"/>
                <w:bCs/>
                <w:color w:val="auto"/>
                <w:sz w:val="24"/>
                <w:szCs w:val="24"/>
                <w:highlight w:val="none"/>
              </w:rPr>
              <w:t>其保证金不予退还或通过投标保函进行索赔：</w:t>
            </w:r>
          </w:p>
          <w:p>
            <w:pPr>
              <w:pStyle w:val="21"/>
              <w:keepNext w:val="0"/>
              <w:keepLines w:val="0"/>
              <w:pageBreakBefore w:val="0"/>
              <w:widowControl w:val="0"/>
              <w:kinsoku/>
              <w:overflowPunct/>
              <w:topLinePunct w:val="0"/>
              <w:autoSpaceDE/>
              <w:bidi w:val="0"/>
              <w:adjustRightInd/>
              <w:spacing w:line="500" w:lineRule="exact"/>
              <w:ind w:firstLine="480" w:firstLineChars="20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b1不同投标人的电子投标文件具有相同内部识别码；</w:t>
            </w:r>
          </w:p>
          <w:p>
            <w:pPr>
              <w:pStyle w:val="21"/>
              <w:keepNext w:val="0"/>
              <w:keepLines w:val="0"/>
              <w:pageBreakBefore w:val="0"/>
              <w:widowControl w:val="0"/>
              <w:kinsoku/>
              <w:overflowPunct/>
              <w:topLinePunct w:val="0"/>
              <w:autoSpaceDE/>
              <w:bidi w:val="0"/>
              <w:adjustRightInd/>
              <w:spacing w:line="500" w:lineRule="exact"/>
              <w:ind w:firstLine="480" w:firstLineChars="20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b2不同投标人的投标保证金从同一单位或个人的账户转出；</w:t>
            </w:r>
          </w:p>
          <w:p>
            <w:pPr>
              <w:pStyle w:val="21"/>
              <w:keepNext w:val="0"/>
              <w:keepLines w:val="0"/>
              <w:pageBreakBefore w:val="0"/>
              <w:widowControl w:val="0"/>
              <w:kinsoku/>
              <w:overflowPunct/>
              <w:topLinePunct w:val="0"/>
              <w:autoSpaceDE/>
              <w:bidi w:val="0"/>
              <w:adjustRightInd/>
              <w:spacing w:line="500" w:lineRule="exact"/>
              <w:ind w:firstLine="480" w:firstLineChars="20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b3投标人的投标保证金同一采购包下有其他投标人提交的投标保证金；</w:t>
            </w:r>
          </w:p>
          <w:p>
            <w:pPr>
              <w:pStyle w:val="21"/>
              <w:keepNext w:val="0"/>
              <w:keepLines w:val="0"/>
              <w:pageBreakBefore w:val="0"/>
              <w:widowControl w:val="0"/>
              <w:kinsoku/>
              <w:overflowPunct/>
              <w:topLinePunct w:val="0"/>
              <w:autoSpaceDE/>
              <w:bidi w:val="0"/>
              <w:adjustRightInd/>
              <w:spacing w:line="500" w:lineRule="exact"/>
              <w:ind w:firstLine="480" w:firstLineChars="20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b4不同投标人存在串通投标的其他情形。</w:t>
            </w:r>
          </w:p>
          <w:p>
            <w:pPr>
              <w:pStyle w:val="21"/>
              <w:keepNext w:val="0"/>
              <w:keepLines w:val="0"/>
              <w:pageBreakBefore w:val="0"/>
              <w:widowControl w:val="0"/>
              <w:kinsoku/>
              <w:overflowPunct/>
              <w:topLinePunct w:val="0"/>
              <w:autoSpaceDE/>
              <w:bidi w:val="0"/>
              <w:adjustRightInd/>
              <w:spacing w:line="500" w:lineRule="exact"/>
              <w:ind w:firstLine="480" w:firstLineChars="20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⑦接受联合体投标且投标人为联合体的，投标人应由“联合体牵头方”完成福建省政府采购网上公开信息系统设定的具体操作流程</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包括但不限于：招标文件获取、提交投标保证金、编制电子投标文件等</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w:t>
            </w:r>
          </w:p>
          <w:p>
            <w:pPr>
              <w:pStyle w:val="21"/>
              <w:keepNext w:val="0"/>
              <w:keepLines w:val="0"/>
              <w:pageBreakBefore w:val="0"/>
              <w:widowControl w:val="0"/>
              <w:kinsoku/>
              <w:overflowPunct/>
              <w:topLinePunct w:val="0"/>
              <w:autoSpaceDE/>
              <w:bidi w:val="0"/>
              <w:adjustRightInd/>
              <w:spacing w:line="500" w:lineRule="exact"/>
              <w:ind w:firstLine="480" w:firstLineChars="200"/>
              <w:jc w:val="both"/>
              <w:textAlignment w:val="auto"/>
              <w:rPr>
                <w:rFonts w:ascii="宋体" w:hAnsi="宋体" w:eastAsia="宋体" w:cs="宋体"/>
                <w:color w:val="auto"/>
                <w:sz w:val="24"/>
                <w:szCs w:val="24"/>
                <w:highlight w:val="none"/>
              </w:rPr>
            </w:pPr>
            <w:r>
              <w:rPr>
                <w:rFonts w:ascii="宋体" w:hAnsi="宋体" w:eastAsia="宋体" w:cs="宋体"/>
                <w:bCs/>
                <w:color w:val="auto"/>
                <w:sz w:val="24"/>
                <w:szCs w:val="24"/>
                <w:highlight w:val="none"/>
              </w:rPr>
              <w:t>⑧其他：电子化招标、非招标项目视为串通情形的认定及处理的相关条款详见《关于福建省财政厅关于电子化政府采购项目中视为串标情形认定与处理的指导意见》</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闽财购[201</w:t>
            </w:r>
            <w:r>
              <w:rPr>
                <w:rFonts w:ascii="宋体" w:hAnsi="宋体" w:eastAsia="宋体" w:cs="宋体"/>
                <w:bCs/>
                <w:color w:val="auto"/>
                <w:sz w:val="24"/>
                <w:szCs w:val="24"/>
                <w:highlight w:val="none"/>
                <w:lang w:eastAsia="zh-CN"/>
              </w:rPr>
              <w:t>8</w:t>
            </w:r>
            <w:r>
              <w:rPr>
                <w:rFonts w:ascii="宋体" w:hAnsi="宋体" w:eastAsia="宋体" w:cs="宋体"/>
                <w:bCs/>
                <w:color w:val="auto"/>
                <w:sz w:val="24"/>
                <w:szCs w:val="24"/>
                <w:highlight w:val="none"/>
              </w:rPr>
              <w:t>]30号</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文件。</w:t>
            </w:r>
          </w:p>
        </w:tc>
      </w:tr>
    </w:tbl>
    <w:p>
      <w:pPr>
        <w:keepNext w:val="0"/>
        <w:keepLines w:val="0"/>
        <w:pageBreakBefore w:val="0"/>
        <w:widowControl w:val="0"/>
        <w:kinsoku/>
        <w:overflowPunct/>
        <w:topLinePunct w:val="0"/>
        <w:autoSpaceDE/>
        <w:bidi w:val="0"/>
        <w:adjustRightInd/>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2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0"/>
        <w:rPr>
          <w:rFonts w:hint="eastAsia" w:ascii="宋体" w:hAnsi="宋体" w:eastAsia="宋体" w:cs="宋体"/>
          <w:color w:val="auto"/>
          <w:sz w:val="24"/>
          <w:szCs w:val="24"/>
          <w:highlight w:val="none"/>
        </w:rPr>
      </w:pPr>
      <w:bookmarkStart w:id="4" w:name="_Toc12486"/>
      <w:r>
        <w:rPr>
          <w:rFonts w:hint="eastAsia" w:ascii="宋体" w:hAnsi="宋体" w:eastAsia="宋体" w:cs="宋体"/>
          <w:b/>
          <w:color w:val="auto"/>
          <w:sz w:val="32"/>
          <w:szCs w:val="32"/>
          <w:highlight w:val="none"/>
        </w:rPr>
        <w:t>第三章</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lang w:eastAsia="zh-CN"/>
        </w:rPr>
        <w:t>投标人</w:t>
      </w:r>
      <w:r>
        <w:rPr>
          <w:rFonts w:hint="eastAsia" w:ascii="宋体" w:hAnsi="宋体" w:eastAsia="宋体" w:cs="宋体"/>
          <w:b/>
          <w:color w:val="auto"/>
          <w:sz w:val="32"/>
          <w:szCs w:val="32"/>
          <w:highlight w:val="none"/>
        </w:rPr>
        <w:t>须知</w:t>
      </w:r>
      <w:bookmarkEnd w:id="4"/>
    </w:p>
    <w:p>
      <w:pPr>
        <w:pStyle w:val="2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1"/>
        <w:rPr>
          <w:rFonts w:hint="eastAsia" w:ascii="宋体" w:hAnsi="宋体" w:eastAsia="宋体" w:cs="宋体"/>
          <w:b w:val="0"/>
          <w:bCs/>
          <w:color w:val="auto"/>
          <w:sz w:val="24"/>
          <w:szCs w:val="24"/>
          <w:highlight w:val="none"/>
        </w:rPr>
      </w:pPr>
      <w:bookmarkStart w:id="5" w:name="_Toc7033"/>
      <w:r>
        <w:rPr>
          <w:rFonts w:hint="eastAsia" w:ascii="宋体" w:hAnsi="宋体" w:eastAsia="宋体" w:cs="宋体"/>
          <w:b/>
          <w:bCs w:val="0"/>
          <w:color w:val="auto"/>
          <w:sz w:val="28"/>
          <w:szCs w:val="28"/>
          <w:highlight w:val="none"/>
        </w:rPr>
        <w:t>一、总则</w:t>
      </w:r>
      <w:bookmarkEnd w:id="5"/>
    </w:p>
    <w:p>
      <w:pPr>
        <w:pStyle w:val="21"/>
        <w:keepNext w:val="0"/>
        <w:keepLines w:val="0"/>
        <w:pageBreakBefore w:val="0"/>
        <w:widowControl w:val="0"/>
        <w:kinsoku/>
        <w:overflowPunct/>
        <w:topLinePunct w:val="0"/>
        <w:autoSpaceDE/>
        <w:bidi w:val="0"/>
        <w:adjustRightInd/>
        <w:spacing w:line="500" w:lineRule="exact"/>
        <w:jc w:val="both"/>
        <w:textAlignment w:val="auto"/>
        <w:rPr>
          <w:rFonts w:ascii="宋体" w:hAnsi="宋体" w:eastAsia="宋体" w:cs="宋体"/>
          <w:bCs/>
          <w:color w:val="auto"/>
          <w:sz w:val="24"/>
          <w:szCs w:val="24"/>
          <w:highlight w:val="none"/>
        </w:rPr>
      </w:pPr>
      <w:r>
        <w:rPr>
          <w:rFonts w:ascii="宋体" w:hAnsi="宋体" w:eastAsia="宋体" w:cs="宋体"/>
          <w:b/>
          <w:color w:val="auto"/>
          <w:sz w:val="24"/>
          <w:szCs w:val="24"/>
          <w:highlight w:val="none"/>
        </w:rPr>
        <w:t>1、适用范围</w:t>
      </w:r>
    </w:p>
    <w:p>
      <w:pPr>
        <w:pStyle w:val="21"/>
        <w:keepNext w:val="0"/>
        <w:keepLines w:val="0"/>
        <w:pageBreakBefore w:val="0"/>
        <w:widowControl w:val="0"/>
        <w:kinsoku/>
        <w:overflowPunct/>
        <w:topLinePunct w:val="0"/>
        <w:autoSpaceDE/>
        <w:bidi w:val="0"/>
        <w:adjustRightInd/>
        <w:spacing w:line="50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1.1</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适用于招标文件载明项目的政府采购活动</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以下简称：“本次采购活动”</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rPr>
        <w:t>。</w:t>
      </w:r>
    </w:p>
    <w:p>
      <w:pPr>
        <w:pStyle w:val="21"/>
        <w:keepNext w:val="0"/>
        <w:keepLines w:val="0"/>
        <w:pageBreakBefore w:val="0"/>
        <w:widowControl w:val="0"/>
        <w:kinsoku/>
        <w:overflowPunct/>
        <w:topLinePunct w:val="0"/>
        <w:autoSpaceDE/>
        <w:bidi w:val="0"/>
        <w:adjustRightInd/>
        <w:spacing w:line="500" w:lineRule="exact"/>
        <w:jc w:val="both"/>
        <w:textAlignment w:val="auto"/>
        <w:rPr>
          <w:rFonts w:ascii="宋体" w:hAnsi="宋体" w:eastAsia="宋体" w:cs="宋体"/>
          <w:b/>
          <w:color w:val="auto"/>
          <w:sz w:val="24"/>
          <w:szCs w:val="24"/>
          <w:highlight w:val="none"/>
        </w:rPr>
      </w:pPr>
      <w:r>
        <w:rPr>
          <w:rFonts w:ascii="宋体" w:hAnsi="宋体" w:eastAsia="宋体" w:cs="宋体"/>
          <w:b/>
          <w:color w:val="auto"/>
          <w:sz w:val="24"/>
          <w:szCs w:val="24"/>
          <w:highlight w:val="none"/>
        </w:rPr>
        <w:t>2、定义</w:t>
      </w:r>
    </w:p>
    <w:p>
      <w:pPr>
        <w:pStyle w:val="21"/>
        <w:keepNext w:val="0"/>
        <w:keepLines w:val="0"/>
        <w:pageBreakBefore w:val="0"/>
        <w:widowControl w:val="0"/>
        <w:kinsoku/>
        <w:overflowPunct/>
        <w:topLinePunct w:val="0"/>
        <w:autoSpaceDE/>
        <w:bidi w:val="0"/>
        <w:adjustRightInd/>
        <w:spacing w:line="50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2.1</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“采购标的”指招标文件载明的需要采购的货物或服务。</w:t>
      </w:r>
    </w:p>
    <w:p>
      <w:pPr>
        <w:pStyle w:val="21"/>
        <w:keepNext w:val="0"/>
        <w:keepLines w:val="0"/>
        <w:pageBreakBefore w:val="0"/>
        <w:widowControl w:val="0"/>
        <w:kinsoku/>
        <w:overflowPunct/>
        <w:topLinePunct w:val="0"/>
        <w:autoSpaceDE/>
        <w:bidi w:val="0"/>
        <w:adjustRightInd/>
        <w:spacing w:line="50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2.2</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“潜在投标人”指按照招标文件第一章第7条规定获取招标文件且有意向参加本项目投标的</w:t>
      </w:r>
      <w:r>
        <w:rPr>
          <w:rFonts w:ascii="宋体" w:hAnsi="宋体" w:eastAsia="宋体" w:cs="宋体"/>
          <w:bCs/>
          <w:color w:val="auto"/>
          <w:sz w:val="24"/>
          <w:szCs w:val="24"/>
          <w:highlight w:val="none"/>
          <w:lang w:eastAsia="zh-CN"/>
        </w:rPr>
        <w:t>投标人</w:t>
      </w:r>
      <w:r>
        <w:rPr>
          <w:rFonts w:ascii="宋体" w:hAnsi="宋体" w:eastAsia="宋体" w:cs="宋体"/>
          <w:bCs/>
          <w:color w:val="auto"/>
          <w:sz w:val="24"/>
          <w:szCs w:val="24"/>
          <w:highlight w:val="none"/>
        </w:rPr>
        <w:t>。</w:t>
      </w:r>
    </w:p>
    <w:p>
      <w:pPr>
        <w:pStyle w:val="21"/>
        <w:keepNext w:val="0"/>
        <w:keepLines w:val="0"/>
        <w:pageBreakBefore w:val="0"/>
        <w:widowControl w:val="0"/>
        <w:kinsoku/>
        <w:overflowPunct/>
        <w:topLinePunct w:val="0"/>
        <w:autoSpaceDE/>
        <w:bidi w:val="0"/>
        <w:adjustRightInd/>
        <w:spacing w:line="50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2.3</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“投标人”指按照招标文件第一章第7条规定获取招标文件并参加本项目投标的</w:t>
      </w:r>
      <w:r>
        <w:rPr>
          <w:rFonts w:ascii="宋体" w:hAnsi="宋体" w:eastAsia="宋体" w:cs="宋体"/>
          <w:bCs/>
          <w:color w:val="auto"/>
          <w:sz w:val="24"/>
          <w:szCs w:val="24"/>
          <w:highlight w:val="none"/>
          <w:lang w:eastAsia="zh-CN"/>
        </w:rPr>
        <w:t>投标人</w:t>
      </w:r>
      <w:r>
        <w:rPr>
          <w:rFonts w:ascii="宋体" w:hAnsi="宋体" w:eastAsia="宋体" w:cs="宋体"/>
          <w:bCs/>
          <w:color w:val="auto"/>
          <w:sz w:val="24"/>
          <w:szCs w:val="24"/>
          <w:highlight w:val="none"/>
        </w:rPr>
        <w:t>。</w:t>
      </w:r>
    </w:p>
    <w:p>
      <w:pPr>
        <w:pStyle w:val="21"/>
        <w:keepNext w:val="0"/>
        <w:keepLines w:val="0"/>
        <w:pageBreakBefore w:val="0"/>
        <w:widowControl w:val="0"/>
        <w:kinsoku/>
        <w:overflowPunct/>
        <w:topLinePunct w:val="0"/>
        <w:autoSpaceDE/>
        <w:bidi w:val="0"/>
        <w:adjustRightInd/>
        <w:spacing w:line="500" w:lineRule="exact"/>
        <w:ind w:firstLine="480"/>
        <w:jc w:val="both"/>
        <w:textAlignment w:val="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2.4</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“单位负责人”指单位法定代表人或法律、法规规定代表单位行使职权的主要负责人。</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ascii="宋体" w:hAnsi="宋体" w:eastAsia="宋体" w:cs="宋体"/>
          <w:bCs/>
          <w:color w:val="auto"/>
          <w:sz w:val="24"/>
          <w:szCs w:val="24"/>
          <w:highlight w:val="none"/>
        </w:rPr>
        <w:t>2.5</w:t>
      </w:r>
      <w:r>
        <w:rPr>
          <w:rFonts w:ascii="宋体" w:hAnsi="宋体" w:eastAsia="宋体" w:cs="宋体"/>
          <w:bCs/>
          <w:color w:val="auto"/>
          <w:sz w:val="24"/>
          <w:szCs w:val="24"/>
          <w:highlight w:val="none"/>
          <w:lang w:eastAsia="zh-CN"/>
        </w:rPr>
        <w:t xml:space="preserve"> </w:t>
      </w:r>
      <w:r>
        <w:rPr>
          <w:rFonts w:ascii="宋体" w:hAnsi="宋体" w:eastAsia="宋体" w:cs="宋体"/>
          <w:bCs/>
          <w:color w:val="auto"/>
          <w:sz w:val="24"/>
          <w:szCs w:val="24"/>
          <w:highlight w:val="none"/>
        </w:rPr>
        <w:t>“投标人代表”指投标人的单位负责人或“单位负责人授权书”中载明的接受授权方</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1"/>
        <w:rPr>
          <w:rFonts w:hint="eastAsia" w:ascii="宋体" w:hAnsi="宋体" w:eastAsia="宋体" w:cs="宋体"/>
          <w:b w:val="0"/>
          <w:bCs/>
          <w:color w:val="auto"/>
          <w:sz w:val="24"/>
          <w:szCs w:val="24"/>
          <w:highlight w:val="none"/>
          <w:lang w:eastAsia="zh-CN"/>
        </w:rPr>
      </w:pPr>
      <w:bookmarkStart w:id="6" w:name="_Toc22054"/>
      <w:r>
        <w:rPr>
          <w:rFonts w:hint="eastAsia" w:ascii="宋体" w:hAnsi="宋体" w:eastAsia="宋体" w:cs="宋体"/>
          <w:b/>
          <w:bCs w:val="0"/>
          <w:color w:val="auto"/>
          <w:sz w:val="28"/>
          <w:szCs w:val="28"/>
          <w:highlight w:val="none"/>
        </w:rPr>
        <w:t>二、</w:t>
      </w:r>
      <w:r>
        <w:rPr>
          <w:rFonts w:hint="eastAsia" w:ascii="宋体" w:hAnsi="宋体" w:eastAsia="宋体" w:cs="宋体"/>
          <w:b/>
          <w:bCs w:val="0"/>
          <w:color w:val="auto"/>
          <w:sz w:val="28"/>
          <w:szCs w:val="28"/>
          <w:highlight w:val="none"/>
          <w:lang w:eastAsia="zh-CN"/>
        </w:rPr>
        <w:t>投标人</w:t>
      </w:r>
      <w:bookmarkEnd w:id="6"/>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rPr>
        <w:t>3、合格</w:t>
      </w:r>
      <w:r>
        <w:rPr>
          <w:rFonts w:hint="eastAsia" w:ascii="宋体" w:hAnsi="宋体" w:eastAsia="宋体" w:cs="宋体"/>
          <w:b/>
          <w:bCs w:val="0"/>
          <w:color w:val="auto"/>
          <w:sz w:val="24"/>
          <w:szCs w:val="24"/>
          <w:highlight w:val="none"/>
          <w:lang w:eastAsia="zh-CN"/>
        </w:rPr>
        <w:t>投标人</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一般规定</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投标人对提供福建省政府采购供应商资格承诺函及所承诺事项的真实性、合法性及有效性负责，并已知晓所提供资格承诺函内容不实的，可能涉嫌《中华人民共和国政府采购法》第七十七条第一款第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投标人的资格要求：详见招标文件第一章</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若本项目接受联合体投标且投标人为联合体，则联合体各方应遵守本章第3.1条规定，同时还应遵守下列规定：</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联合体各方应提交联合体协议，联合体协议应符合招标文件规定。</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联合体各方不得再单独参加或与其他供应商另外组成联合体参加同一合同项下的投标。</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联合体各方应共同与采购人签订政府采购合同，就政府采购合同约定的事项对采购人承担连带责任。</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联合体一方放弃中标的，视为联合体整体放弃中标，联合体各方承担连带责任。</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如本项目不接受联合体投标而投标人为联合体的，或者本项目接受联合体投标但投标人组成的联合体不符合本章第3.2条规定的，</w:t>
      </w:r>
      <w:r>
        <w:rPr>
          <w:rFonts w:hint="eastAsia" w:ascii="宋体" w:hAnsi="宋体" w:eastAsia="宋体" w:cs="宋体"/>
          <w:b/>
          <w:bCs/>
          <w:color w:val="auto"/>
          <w:sz w:val="24"/>
          <w:szCs w:val="24"/>
          <w:highlight w:val="none"/>
        </w:rPr>
        <w:t>投标无效。</w:t>
      </w: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4、投标费用</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4.1</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rPr>
        <w:t>除招标文件另有规定外，投标人应自行承担其参加本项目投标所涉及的一切费用</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1"/>
        <w:rPr>
          <w:rFonts w:hint="eastAsia" w:ascii="宋体" w:hAnsi="宋体" w:eastAsia="宋体" w:cs="宋体"/>
          <w:b w:val="0"/>
          <w:bCs/>
          <w:color w:val="auto"/>
          <w:sz w:val="24"/>
          <w:szCs w:val="24"/>
          <w:highlight w:val="none"/>
        </w:rPr>
      </w:pPr>
      <w:bookmarkStart w:id="7" w:name="_Toc5186"/>
      <w:r>
        <w:rPr>
          <w:rFonts w:hint="eastAsia" w:ascii="宋体" w:hAnsi="宋体" w:eastAsia="宋体" w:cs="宋体"/>
          <w:b/>
          <w:bCs w:val="0"/>
          <w:color w:val="auto"/>
          <w:sz w:val="28"/>
          <w:szCs w:val="28"/>
          <w:highlight w:val="none"/>
        </w:rPr>
        <w:t>三、招标</w:t>
      </w:r>
      <w:bookmarkEnd w:id="7"/>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rPr>
        <w:t>5、</w:t>
      </w:r>
      <w:r>
        <w:rPr>
          <w:rFonts w:hint="eastAsia" w:ascii="宋体" w:hAnsi="宋体" w:eastAsia="宋体" w:cs="宋体"/>
          <w:b/>
          <w:bCs w:val="0"/>
          <w:color w:val="auto"/>
          <w:sz w:val="24"/>
          <w:szCs w:val="24"/>
          <w:highlight w:val="none"/>
          <w:lang w:eastAsia="zh-CN"/>
        </w:rPr>
        <w:t>招标文件</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5.1</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eastAsia="zh-CN"/>
        </w:rPr>
        <w:t>招标文件</w:t>
      </w:r>
      <w:r>
        <w:rPr>
          <w:rFonts w:hint="eastAsia" w:ascii="宋体" w:hAnsi="宋体" w:eastAsia="宋体" w:cs="宋体"/>
          <w:b w:val="0"/>
          <w:bCs/>
          <w:color w:val="auto"/>
          <w:sz w:val="24"/>
          <w:szCs w:val="24"/>
          <w:highlight w:val="none"/>
        </w:rPr>
        <w:t>由下述部分组成：</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投标邀请</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投标人须知前附表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表1、2</w:t>
      </w:r>
      <w:r>
        <w:rPr>
          <w:rFonts w:hint="eastAsia" w:ascii="宋体" w:hAnsi="宋体" w:eastAsia="宋体" w:cs="宋体"/>
          <w:color w:val="auto"/>
          <w:sz w:val="24"/>
          <w:szCs w:val="24"/>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投标人须知</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资格审查与评标</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招标内容及要求</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参考文本</w:t>
      </w:r>
      <w:r>
        <w:rPr>
          <w:rFonts w:hint="eastAsia" w:ascii="宋体" w:hAnsi="宋体" w:eastAsia="宋体" w:cs="宋体"/>
          <w:color w:val="auto"/>
          <w:sz w:val="24"/>
          <w:szCs w:val="24"/>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电子投标文件格式</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按照招标文件规定作为招标文件组成部分的其他内容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若有</w:t>
      </w:r>
      <w:r>
        <w:rPr>
          <w:rFonts w:hint="eastAsia" w:ascii="宋体" w:hAnsi="宋体" w:eastAsia="宋体" w:cs="宋体"/>
          <w:color w:val="auto"/>
          <w:sz w:val="24"/>
          <w:szCs w:val="24"/>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5.2</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eastAsia="zh-CN"/>
        </w:rPr>
        <w:t>招标文件</w:t>
      </w:r>
      <w:r>
        <w:rPr>
          <w:rFonts w:hint="eastAsia" w:ascii="宋体" w:hAnsi="宋体" w:eastAsia="宋体" w:cs="宋体"/>
          <w:b w:val="0"/>
          <w:bCs/>
          <w:color w:val="auto"/>
          <w:sz w:val="24"/>
          <w:szCs w:val="24"/>
          <w:highlight w:val="none"/>
        </w:rPr>
        <w:t>的澄清或修改</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）卓知项目管理顾问有限公司</w:t>
      </w:r>
      <w:r>
        <w:rPr>
          <w:rFonts w:hint="eastAsia" w:ascii="宋体" w:hAnsi="宋体" w:eastAsia="宋体" w:cs="宋体"/>
          <w:color w:val="auto"/>
          <w:sz w:val="24"/>
          <w:szCs w:val="24"/>
          <w:highlight w:val="none"/>
        </w:rPr>
        <w:t>可对已发出的招标文件进行必要的澄清或修改，但不得对招标文件载明的采购标的和投标人的资格要求进行改变。</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除本章第5.2条第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款规定情形外，澄清或修改的内容可能影响电子投标文件编制的， </w:t>
      </w:r>
      <w:r>
        <w:rPr>
          <w:rFonts w:hint="eastAsia" w:ascii="宋体" w:hAnsi="宋体" w:eastAsia="宋体" w:cs="宋体"/>
          <w:color w:val="auto"/>
          <w:sz w:val="24"/>
          <w:szCs w:val="24"/>
          <w:highlight w:val="none"/>
          <w:lang w:eastAsia="zh-CN"/>
        </w:rPr>
        <w:t>卓知项目管理顾问有限公司</w:t>
      </w:r>
      <w:r>
        <w:rPr>
          <w:rFonts w:hint="eastAsia" w:ascii="宋体" w:hAnsi="宋体" w:eastAsia="宋体" w:cs="宋体"/>
          <w:color w:val="auto"/>
          <w:sz w:val="24"/>
          <w:szCs w:val="24"/>
          <w:highlight w:val="none"/>
        </w:rPr>
        <w:t xml:space="preserve"> 将在投标截止时间至少15个日历日前，在招标文件载明的指定媒体以更正公告的形式发布澄清或修改的内容。不足15个日历日的， </w:t>
      </w:r>
      <w:r>
        <w:rPr>
          <w:rFonts w:hint="eastAsia" w:ascii="宋体" w:hAnsi="宋体" w:eastAsia="宋体" w:cs="宋体"/>
          <w:color w:val="auto"/>
          <w:sz w:val="24"/>
          <w:szCs w:val="24"/>
          <w:highlight w:val="none"/>
          <w:lang w:eastAsia="zh-CN"/>
        </w:rPr>
        <w:t>卓知项目管理顾问有限公司</w:t>
      </w:r>
      <w:r>
        <w:rPr>
          <w:rFonts w:hint="eastAsia" w:ascii="宋体" w:hAnsi="宋体" w:eastAsia="宋体" w:cs="宋体"/>
          <w:color w:val="auto"/>
          <w:sz w:val="24"/>
          <w:szCs w:val="24"/>
          <w:highlight w:val="none"/>
        </w:rPr>
        <w:t xml:space="preserve"> 将顺延投标截止时间及开标时间， </w:t>
      </w:r>
      <w:r>
        <w:rPr>
          <w:rFonts w:hint="eastAsia" w:ascii="宋体" w:hAnsi="宋体" w:eastAsia="宋体" w:cs="宋体"/>
          <w:color w:val="auto"/>
          <w:sz w:val="24"/>
          <w:szCs w:val="24"/>
          <w:highlight w:val="none"/>
          <w:lang w:eastAsia="zh-CN"/>
        </w:rPr>
        <w:t>卓知项目管理顾问有限公司</w:t>
      </w:r>
      <w:r>
        <w:rPr>
          <w:rFonts w:hint="eastAsia" w:ascii="宋体" w:hAnsi="宋体" w:eastAsia="宋体" w:cs="宋体"/>
          <w:color w:val="auto"/>
          <w:sz w:val="24"/>
          <w:szCs w:val="24"/>
          <w:highlight w:val="none"/>
        </w:rPr>
        <w:t xml:space="preserve"> 和投标人受原投标截止时间及开标时间制约的所有权利和义务均延长至新的投标截止时间及开标时间。</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澄清或修改的内容可能改变招标文件载明的采购标的和投标人的资格要求的，本次采购活动结束， </w:t>
      </w:r>
      <w:r>
        <w:rPr>
          <w:rFonts w:hint="eastAsia" w:ascii="宋体" w:hAnsi="宋体" w:eastAsia="宋体" w:cs="宋体"/>
          <w:color w:val="auto"/>
          <w:sz w:val="24"/>
          <w:szCs w:val="24"/>
          <w:highlight w:val="none"/>
          <w:lang w:eastAsia="zh-CN"/>
        </w:rPr>
        <w:t>卓知项目管理顾问有限公司</w:t>
      </w:r>
      <w:r>
        <w:rPr>
          <w:rFonts w:hint="eastAsia" w:ascii="宋体" w:hAnsi="宋体" w:eastAsia="宋体" w:cs="宋体"/>
          <w:color w:val="auto"/>
          <w:sz w:val="24"/>
          <w:szCs w:val="24"/>
          <w:highlight w:val="none"/>
        </w:rPr>
        <w:t xml:space="preserve"> 将依法组织后续采购活动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包括但不限于：重新招标、采用其他方式采购等</w:t>
      </w:r>
      <w:r>
        <w:rPr>
          <w:rFonts w:hint="eastAsia" w:ascii="宋体" w:hAnsi="宋体" w:eastAsia="宋体" w:cs="宋体"/>
          <w:color w:val="auto"/>
          <w:sz w:val="24"/>
          <w:szCs w:val="24"/>
          <w:highlight w:val="none"/>
          <w:lang w:eastAsia="zh-CN"/>
        </w:rPr>
        <w:t>）</w:t>
      </w:r>
      <w:r>
        <w:rPr>
          <w:rFonts w:hint="eastAsia" w:ascii="宋体" w:hAnsi="宋体" w:eastAsia="宋体" w:cs="宋体"/>
          <w:b w:val="0"/>
          <w:bCs/>
          <w:color w:val="auto"/>
          <w:sz w:val="24"/>
          <w:szCs w:val="24"/>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6、现场考察或开标前答疑会</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6.1</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rPr>
        <w:t>是否组织现场考察或召开开标前答疑会：详见招标文件第二章</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7、更正公告</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7.1</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卓知项目管理顾问有限公司</w:t>
      </w:r>
      <w:r>
        <w:rPr>
          <w:rFonts w:hint="eastAsia" w:ascii="宋体" w:hAnsi="宋体" w:eastAsia="宋体" w:cs="宋体"/>
          <w:color w:val="auto"/>
          <w:sz w:val="24"/>
          <w:szCs w:val="24"/>
          <w:highlight w:val="none"/>
        </w:rPr>
        <w:t>发布更正公告，则更正公告及其所发布的内容或信息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包括但不限于：招标文件的澄清或修改、现场考察或答疑会的有关事宜等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作为招标文件组成部分，对投标人具有约束力</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7.2</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rPr>
        <w:t>更正公告作为</w:t>
      </w:r>
      <w:r>
        <w:rPr>
          <w:rFonts w:hint="eastAsia" w:ascii="宋体" w:hAnsi="宋体" w:eastAsia="宋体" w:cs="宋体"/>
          <w:color w:val="auto"/>
          <w:sz w:val="24"/>
          <w:szCs w:val="24"/>
          <w:highlight w:val="none"/>
          <w:lang w:eastAsia="zh-CN"/>
        </w:rPr>
        <w:t>卓知项目管理顾问有限公司</w:t>
      </w:r>
      <w:r>
        <w:rPr>
          <w:rFonts w:hint="eastAsia" w:ascii="宋体" w:hAnsi="宋体" w:eastAsia="宋体" w:cs="宋体"/>
          <w:color w:val="auto"/>
          <w:sz w:val="24"/>
          <w:szCs w:val="24"/>
          <w:highlight w:val="none"/>
        </w:rPr>
        <w:t>通知所有潜在投标人的书面形式</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8、终止公告</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8.1</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若出现因重大变故导致采购任务取消情形， </w:t>
      </w:r>
      <w:r>
        <w:rPr>
          <w:rFonts w:hint="eastAsia" w:ascii="宋体" w:hAnsi="宋体" w:eastAsia="宋体" w:cs="宋体"/>
          <w:color w:val="auto"/>
          <w:sz w:val="24"/>
          <w:szCs w:val="24"/>
          <w:highlight w:val="none"/>
          <w:lang w:eastAsia="zh-CN"/>
        </w:rPr>
        <w:t>卓知项目管理顾问有限公司</w:t>
      </w:r>
      <w:r>
        <w:rPr>
          <w:rFonts w:hint="eastAsia" w:ascii="宋体" w:hAnsi="宋体" w:eastAsia="宋体" w:cs="宋体"/>
          <w:color w:val="auto"/>
          <w:sz w:val="24"/>
          <w:szCs w:val="24"/>
          <w:highlight w:val="none"/>
        </w:rPr>
        <w:t xml:space="preserve"> 可终止招标并发布终止公告</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8.2</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终止公告作为 </w:t>
      </w:r>
      <w:r>
        <w:rPr>
          <w:rFonts w:hint="eastAsia" w:ascii="宋体" w:hAnsi="宋体" w:eastAsia="宋体" w:cs="宋体"/>
          <w:color w:val="auto"/>
          <w:sz w:val="24"/>
          <w:szCs w:val="24"/>
          <w:highlight w:val="none"/>
          <w:lang w:eastAsia="zh-CN"/>
        </w:rPr>
        <w:t>卓知项目管理顾问有限公司</w:t>
      </w:r>
      <w:r>
        <w:rPr>
          <w:rFonts w:hint="eastAsia" w:ascii="宋体" w:hAnsi="宋体" w:eastAsia="宋体" w:cs="宋体"/>
          <w:color w:val="auto"/>
          <w:sz w:val="24"/>
          <w:szCs w:val="24"/>
          <w:highlight w:val="none"/>
        </w:rPr>
        <w:t xml:space="preserve"> 通知所有潜在投标人的书面形式</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1"/>
        <w:rPr>
          <w:rFonts w:hint="eastAsia" w:ascii="宋体" w:hAnsi="宋体" w:eastAsia="宋体" w:cs="宋体"/>
          <w:b w:val="0"/>
          <w:bCs/>
          <w:color w:val="auto"/>
          <w:sz w:val="24"/>
          <w:szCs w:val="24"/>
          <w:highlight w:val="none"/>
        </w:rPr>
      </w:pPr>
      <w:bookmarkStart w:id="8" w:name="_Toc13369"/>
      <w:r>
        <w:rPr>
          <w:rFonts w:hint="eastAsia" w:ascii="宋体" w:hAnsi="宋体" w:eastAsia="宋体" w:cs="宋体"/>
          <w:b/>
          <w:bCs w:val="0"/>
          <w:color w:val="auto"/>
          <w:sz w:val="28"/>
          <w:szCs w:val="28"/>
          <w:highlight w:val="none"/>
        </w:rPr>
        <w:t>四、投标</w:t>
      </w:r>
      <w:bookmarkEnd w:id="8"/>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9、投标</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9.1</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投标人可对招标文件载明的全部或部分采购包进行投标</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9.2</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投标人应对同一个采购包内的所有内容进行完整投标</w:t>
      </w:r>
      <w:r>
        <w:rPr>
          <w:rFonts w:hint="eastAsia" w:ascii="宋体" w:hAnsi="宋体" w:eastAsia="宋体" w:cs="宋体"/>
          <w:b w:val="0"/>
          <w:bCs/>
          <w:color w:val="auto"/>
          <w:sz w:val="24"/>
          <w:szCs w:val="24"/>
          <w:highlight w:val="none"/>
        </w:rPr>
        <w:t>，</w:t>
      </w:r>
      <w:r>
        <w:rPr>
          <w:rFonts w:hint="eastAsia" w:ascii="宋体" w:hAnsi="宋体" w:eastAsia="宋体" w:cs="宋体"/>
          <w:b/>
          <w:bCs w:val="0"/>
          <w:color w:val="auto"/>
          <w:sz w:val="24"/>
          <w:szCs w:val="24"/>
          <w:highlight w:val="none"/>
        </w:rPr>
        <w:t>否则投标无效。</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9.3</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rPr>
        <w:t>投标人代表只能接受一个投标人的授权参加投标</w:t>
      </w:r>
      <w:r>
        <w:rPr>
          <w:rFonts w:hint="eastAsia" w:ascii="宋体" w:hAnsi="宋体" w:eastAsia="宋体" w:cs="宋体"/>
          <w:b w:val="0"/>
          <w:bCs/>
          <w:color w:val="auto"/>
          <w:sz w:val="24"/>
          <w:szCs w:val="24"/>
          <w:highlight w:val="none"/>
        </w:rPr>
        <w:t>，</w:t>
      </w:r>
      <w:r>
        <w:rPr>
          <w:rFonts w:hint="eastAsia" w:ascii="宋体" w:hAnsi="宋体" w:eastAsia="宋体" w:cs="宋体"/>
          <w:b/>
          <w:bCs w:val="0"/>
          <w:color w:val="auto"/>
          <w:sz w:val="24"/>
          <w:szCs w:val="24"/>
          <w:highlight w:val="none"/>
        </w:rPr>
        <w:t>否则投标无效。</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9.4</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rPr>
        <w:t>单位负责人为同一人或存在直接控股、管理关系的不同供应商，不得同时参加同一合同项下的投标</w:t>
      </w:r>
      <w:r>
        <w:rPr>
          <w:rFonts w:hint="eastAsia" w:ascii="宋体" w:hAnsi="宋体" w:eastAsia="宋体" w:cs="宋体"/>
          <w:b w:val="0"/>
          <w:bCs/>
          <w:color w:val="auto"/>
          <w:sz w:val="24"/>
          <w:szCs w:val="24"/>
          <w:highlight w:val="none"/>
        </w:rPr>
        <w:t>，</w:t>
      </w:r>
      <w:r>
        <w:rPr>
          <w:rFonts w:hint="eastAsia" w:ascii="宋体" w:hAnsi="宋体" w:eastAsia="宋体" w:cs="宋体"/>
          <w:b/>
          <w:bCs w:val="0"/>
          <w:color w:val="auto"/>
          <w:sz w:val="24"/>
          <w:szCs w:val="24"/>
          <w:highlight w:val="none"/>
        </w:rPr>
        <w:t>否则投标无效。</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9.5</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rPr>
        <w:t>为本项目提供整体设计、规范编制或项目管理、监理、检测等服务的供应商，不得参加本项目除整体设计、规范编制和项目管理、监理、检测等服务外的采购活动</w:t>
      </w:r>
      <w:r>
        <w:rPr>
          <w:rFonts w:hint="eastAsia" w:ascii="宋体" w:hAnsi="宋体" w:eastAsia="宋体" w:cs="宋体"/>
          <w:b w:val="0"/>
          <w:bCs/>
          <w:color w:val="auto"/>
          <w:sz w:val="24"/>
          <w:szCs w:val="24"/>
          <w:highlight w:val="none"/>
        </w:rPr>
        <w:t>，</w:t>
      </w:r>
      <w:r>
        <w:rPr>
          <w:rFonts w:hint="eastAsia" w:ascii="宋体" w:hAnsi="宋体" w:eastAsia="宋体" w:cs="宋体"/>
          <w:b/>
          <w:bCs w:val="0"/>
          <w:color w:val="auto"/>
          <w:sz w:val="24"/>
          <w:szCs w:val="24"/>
          <w:highlight w:val="none"/>
        </w:rPr>
        <w:t>否则投标无效。</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val="0"/>
          <w:bCs/>
          <w:color w:val="auto"/>
          <w:sz w:val="24"/>
          <w:szCs w:val="24"/>
          <w:highlight w:val="none"/>
        </w:rPr>
        <w:t>9.6</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rPr>
        <w:t>列入失信被执行人、重大税收违法案件当事人名单、政府采购严重违法失信行为记录名单及其他不符合政府采购法第二十二条规定条件的供应商，不得参加投标</w:t>
      </w:r>
      <w:r>
        <w:rPr>
          <w:rFonts w:hint="eastAsia" w:ascii="宋体" w:hAnsi="宋体" w:eastAsia="宋体" w:cs="宋体"/>
          <w:b w:val="0"/>
          <w:bCs/>
          <w:color w:val="auto"/>
          <w:sz w:val="24"/>
          <w:szCs w:val="24"/>
          <w:highlight w:val="none"/>
        </w:rPr>
        <w:t>，</w:t>
      </w:r>
      <w:r>
        <w:rPr>
          <w:rFonts w:hint="eastAsia" w:ascii="宋体" w:hAnsi="宋体" w:eastAsia="宋体" w:cs="宋体"/>
          <w:b/>
          <w:bCs w:val="0"/>
          <w:color w:val="auto"/>
          <w:sz w:val="24"/>
          <w:szCs w:val="24"/>
          <w:highlight w:val="none"/>
        </w:rPr>
        <w:t>否则投标无效。</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9.7</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有下列情形之一的，视为</w:t>
      </w: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串通投标，</w:t>
      </w:r>
      <w:r>
        <w:rPr>
          <w:rFonts w:hint="eastAsia" w:ascii="宋体" w:hAnsi="宋体" w:eastAsia="宋体" w:cs="宋体"/>
          <w:b/>
          <w:bCs w:val="0"/>
          <w:color w:val="auto"/>
          <w:sz w:val="24"/>
          <w:szCs w:val="24"/>
          <w:highlight w:val="none"/>
        </w:rPr>
        <w:t>其投标无效：</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不同投标人的电子投标文件由同一单位或个人编制；</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不同投标人委托同一单位或个人办理投标事宜；</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不同投标人的电子投标文件载明的项目管理成员或联系人员为同一人；</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不同投标人的电子投标文件异常一致或投标报价呈规律性差异；</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不同投标人的电子投标文件相互混装；</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不同投标人的投标保证金从同一单位或个人的账户转出；</w:t>
      </w:r>
    </w:p>
    <w:p>
      <w:pPr>
        <w:pStyle w:val="14"/>
        <w:keepNext w:val="0"/>
        <w:keepLines w:val="0"/>
        <w:pageBreakBefore w:val="0"/>
        <w:widowControl w:val="0"/>
        <w:kinsoku/>
        <w:overflowPunct/>
        <w:topLinePunct w:val="0"/>
        <w:autoSpaceDE/>
        <w:bidi w:val="0"/>
        <w:adjustRightInd/>
        <w:spacing w:beforeAutospacing="0" w:afterAutospacing="0"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有关法律、法规和规章及招标文件规定的其他串通投标情形</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10、</w:t>
      </w:r>
      <w:r>
        <w:rPr>
          <w:rFonts w:hint="eastAsia" w:ascii="宋体" w:hAnsi="宋体" w:eastAsia="宋体" w:cs="宋体"/>
          <w:b/>
          <w:bCs w:val="0"/>
          <w:color w:val="auto"/>
          <w:sz w:val="24"/>
          <w:szCs w:val="24"/>
          <w:highlight w:val="none"/>
          <w:lang w:val="en-US" w:eastAsia="zh-CN"/>
        </w:rPr>
        <w:t>电子</w:t>
      </w:r>
      <w:r>
        <w:rPr>
          <w:rFonts w:hint="eastAsia" w:ascii="宋体" w:hAnsi="宋体" w:eastAsia="宋体" w:cs="宋体"/>
          <w:b/>
          <w:bCs w:val="0"/>
          <w:color w:val="auto"/>
          <w:sz w:val="24"/>
          <w:szCs w:val="24"/>
          <w:highlight w:val="none"/>
        </w:rPr>
        <w:t>投标文件</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10.1</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rPr>
        <w:t>电子投标文件的编制</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投标人应先仔细阅读招标文件的全部内容后，再进行电子投标文件的编制。</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电子投标文件应按照本章第10.2条规定编制其组成部分。</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电子投标文件应满足招标文件提出的实质性要求和条件，并保证其所提交的全部资料是不可割离且真实、有效、准确、完整和不具有任何误导性的，否则造成不利后果由投标人承担责任。</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电子投标文件由下述部分组成：</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资格及资信证明部分</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①投标函</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②投标人的资格及资信证明文件</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③投标保证金</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报价部分</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一览表</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报价明细表</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③招标文件规定的价格扣除证明材料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若有</w:t>
      </w:r>
      <w:r>
        <w:rPr>
          <w:rFonts w:hint="eastAsia" w:ascii="宋体" w:hAnsi="宋体" w:eastAsia="宋体" w:cs="宋体"/>
          <w:color w:val="auto"/>
          <w:sz w:val="24"/>
          <w:szCs w:val="24"/>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④招标文件规定的加分证明材料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若有</w:t>
      </w:r>
      <w:r>
        <w:rPr>
          <w:rFonts w:hint="eastAsia" w:ascii="宋体" w:hAnsi="宋体" w:eastAsia="宋体" w:cs="宋体"/>
          <w:color w:val="auto"/>
          <w:sz w:val="24"/>
          <w:szCs w:val="24"/>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技术商务部分</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①标的说明一览表</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②技术和服务要求响应表</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③商务条件响应表</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④投标人提交的其他资料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若有</w:t>
      </w:r>
      <w:r>
        <w:rPr>
          <w:rFonts w:hint="eastAsia" w:ascii="宋体" w:hAnsi="宋体" w:eastAsia="宋体" w:cs="宋体"/>
          <w:color w:val="auto"/>
          <w:sz w:val="24"/>
          <w:szCs w:val="24"/>
          <w:highlight w:val="none"/>
          <w:lang w:eastAsia="zh-CN"/>
        </w:rPr>
        <w:t>）</w:t>
      </w:r>
    </w:p>
    <w:p>
      <w:pPr>
        <w:pStyle w:val="14"/>
        <w:keepNext w:val="0"/>
        <w:keepLines w:val="0"/>
        <w:pageBreakBefore w:val="0"/>
        <w:widowControl w:val="0"/>
        <w:kinsoku/>
        <w:overflowPunct/>
        <w:topLinePunct w:val="0"/>
        <w:autoSpaceDE/>
        <w:bidi w:val="0"/>
        <w:adjustRightInd/>
        <w:spacing w:beforeAutospacing="0" w:afterAutospacing="0" w:line="500" w:lineRule="exact"/>
        <w:ind w:firstLine="480" w:firstLineChars="200"/>
        <w:jc w:val="both"/>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rPr>
        <w:t>⑤招标文件规定作为电子投标文件组成部分的其他内容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若有</w:t>
      </w:r>
      <w:r>
        <w:rPr>
          <w:rFonts w:hint="eastAsia" w:ascii="宋体" w:hAnsi="宋体" w:eastAsia="宋体" w:cs="宋体"/>
          <w:color w:val="auto"/>
          <w:sz w:val="24"/>
          <w:szCs w:val="24"/>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电子投标文件的语言</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除招标文件另有规定外，电子投标文件应使用中文文本，若有不同文本，以中文文本为准。</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4"/>
        <w:keepNext w:val="0"/>
        <w:keepLines w:val="0"/>
        <w:pageBreakBefore w:val="0"/>
        <w:widowControl w:val="0"/>
        <w:kinsoku/>
        <w:overflowPunct/>
        <w:topLinePunct w:val="0"/>
        <w:autoSpaceDE/>
        <w:bidi w:val="0"/>
        <w:adjustRightInd/>
        <w:spacing w:beforeAutospacing="0" w:afterAutospacing="0"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10.4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投标文件的份数：详见招标文件第二章</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电子投标文件的格式</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除招标文件另有规定外，电子投标文件应使用招标文件第七章规定的格式。</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除招标文件另有规定外，电子投标文件应使用不能擦去的墨料或墨水打印、书写或复印。</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除招标文件另有规定外，电子投标文件应使用人民币作为计量货币。</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除招标文件另有规定外，签署、盖章应遵守下列规定：</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①电子投标文件应加盖投标人的单位公章。若投标人代表为单位授权的委托代理人，应提供“单位授权书”。</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②电子投标文件应没有涂改或行间插字，除非这些改动是根据 </w:t>
      </w:r>
      <w:r>
        <w:rPr>
          <w:rFonts w:hint="eastAsia" w:ascii="宋体" w:hAnsi="宋体" w:eastAsia="宋体" w:cs="宋体"/>
          <w:color w:val="auto"/>
          <w:sz w:val="24"/>
          <w:szCs w:val="24"/>
          <w:highlight w:val="none"/>
          <w:lang w:eastAsia="zh-CN"/>
        </w:rPr>
        <w:t>卓知项目管理顾问有限公司</w:t>
      </w:r>
      <w:r>
        <w:rPr>
          <w:rFonts w:hint="eastAsia" w:ascii="宋体" w:hAnsi="宋体" w:eastAsia="宋体" w:cs="宋体"/>
          <w:color w:val="auto"/>
          <w:sz w:val="24"/>
          <w:szCs w:val="24"/>
          <w:highlight w:val="none"/>
        </w:rPr>
        <w:t xml:space="preserve"> 的指示进行的，或是为改正投标人造成的应修改的错误而进行的。若有前述改动，应按照下列规定之一对改动处进行处理：</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a.投标人代表签字确认；</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b.加盖投标人的单位公章或校正章。</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10.6</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投标报价</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投标报价超出最高限价将导致</w:t>
      </w:r>
      <w:r>
        <w:rPr>
          <w:rFonts w:hint="eastAsia" w:ascii="宋体" w:hAnsi="宋体" w:eastAsia="宋体" w:cs="宋体"/>
          <w:b/>
          <w:bCs w:val="0"/>
          <w:color w:val="auto"/>
          <w:sz w:val="24"/>
          <w:szCs w:val="24"/>
          <w:highlight w:val="none"/>
        </w:rPr>
        <w:t>投标无效。</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sz w:val="24"/>
          <w:szCs w:val="24"/>
          <w:highlight w:val="none"/>
        </w:rPr>
        <w:t>最高限价由采购人根据价格测算情况，在预算金额的额度内合理设定。最高限价不得超出预算金额</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sz w:val="24"/>
          <w:szCs w:val="24"/>
          <w:highlight w:val="none"/>
        </w:rPr>
        <w:t>除招标文件另有规定外，电子投标文件不能出现任何选择性的投标报价，即每一个采购包和品目号的采购标的都只能有一个投标报价。任何选择性的投标报价将导致</w:t>
      </w:r>
      <w:r>
        <w:rPr>
          <w:rFonts w:hint="eastAsia" w:ascii="宋体" w:hAnsi="宋体" w:eastAsia="宋体" w:cs="宋体"/>
          <w:b/>
          <w:bCs/>
          <w:color w:val="auto"/>
          <w:sz w:val="24"/>
          <w:szCs w:val="24"/>
          <w:highlight w:val="none"/>
        </w:rPr>
        <w:t>投标无效</w:t>
      </w:r>
      <w:r>
        <w:rPr>
          <w:rFonts w:hint="eastAsia" w:ascii="宋体" w:hAnsi="宋体" w:eastAsia="宋体" w:cs="宋体"/>
          <w:b/>
          <w:bCs w:val="0"/>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10.7</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分包</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是否允许中标人将本项目的非主体、非关键性工作进行分包：详见招标文件第二章。</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允许中标人将本项目的非主体、非关键性工作进行分包且投标人拟在中标后进行分包，则应在电子投标文件中提供分包意向协议，同时投标人应在电子投标文件中载明分包承担主体，分包承担主体应具备相应资质条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且不得再次分包。</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招标文件允许中标人将非主体、非关键性工作进行分包的项目，有下列情形之一的，中标人不得分包：</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①电子投标文件中未载明分包承担主体；</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②电子投标文件载明的分包承担主体不具备相应资质条件；</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③电子投标文件载明的分包承担主体拟再次分包；</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④享受中小企业扶持政策获得政府采购合同的，小微企业不得将合同分包给大中型企业，中型企业不得将合同分包给大型企业</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10.8</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投标有效期</w:t>
      </w:r>
    </w:p>
    <w:p>
      <w:pPr>
        <w:pStyle w:val="14"/>
        <w:keepNext w:val="0"/>
        <w:keepLines w:val="0"/>
        <w:pageBreakBefore w:val="0"/>
        <w:widowControl w:val="0"/>
        <w:kinsoku/>
        <w:overflowPunct/>
        <w:topLinePunct w:val="0"/>
        <w:autoSpaceDE/>
        <w:bidi w:val="0"/>
        <w:adjustRightInd/>
        <w:spacing w:beforeAutospacing="0" w:afterAutospacing="0" w:line="500" w:lineRule="exact"/>
        <w:ind w:firstLine="48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sz w:val="24"/>
          <w:szCs w:val="24"/>
          <w:highlight w:val="none"/>
        </w:rPr>
        <w:t>招标文件载明的投标有效期：详见招标文件第二章</w:t>
      </w:r>
      <w:r>
        <w:rPr>
          <w:rFonts w:hint="eastAsia" w:ascii="宋体" w:hAnsi="宋体" w:eastAsia="宋体" w:cs="宋体"/>
          <w:color w:val="auto"/>
          <w:highlight w:val="none"/>
        </w:rPr>
        <w:t>。</w:t>
      </w:r>
    </w:p>
    <w:p>
      <w:pPr>
        <w:pStyle w:val="14"/>
        <w:keepNext w:val="0"/>
        <w:keepLines w:val="0"/>
        <w:pageBreakBefore w:val="0"/>
        <w:widowControl w:val="0"/>
        <w:kinsoku/>
        <w:overflowPunct/>
        <w:topLinePunct w:val="0"/>
        <w:autoSpaceDE/>
        <w:bidi w:val="0"/>
        <w:adjustRightInd/>
        <w:spacing w:beforeAutospacing="0" w:afterAutospacing="0" w:line="500" w:lineRule="exact"/>
        <w:ind w:firstLine="48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sz w:val="24"/>
          <w:szCs w:val="24"/>
          <w:highlight w:val="none"/>
        </w:rPr>
        <w:t>电子投标文件承诺的投标有效期不得少于招标文件载明的投标有效期，</w:t>
      </w:r>
      <w:r>
        <w:rPr>
          <w:rFonts w:hint="eastAsia" w:ascii="宋体" w:hAnsi="宋体" w:eastAsia="宋体" w:cs="宋体"/>
          <w:b/>
          <w:bCs/>
          <w:color w:val="auto"/>
          <w:sz w:val="24"/>
          <w:szCs w:val="24"/>
          <w:highlight w:val="none"/>
        </w:rPr>
        <w:t>否则投标无效</w:t>
      </w:r>
      <w:r>
        <w:rPr>
          <w:rFonts w:hint="eastAsia" w:ascii="宋体" w:hAnsi="宋体" w:eastAsia="宋体" w:cs="宋体"/>
          <w:b/>
          <w:bCs/>
          <w:color w:val="auto"/>
          <w:highlight w:val="none"/>
        </w:rPr>
        <w:t>。</w:t>
      </w:r>
    </w:p>
    <w:p>
      <w:pPr>
        <w:pStyle w:val="14"/>
        <w:keepNext w:val="0"/>
        <w:keepLines w:val="0"/>
        <w:pageBreakBefore w:val="0"/>
        <w:widowControl w:val="0"/>
        <w:kinsoku/>
        <w:overflowPunct/>
        <w:topLinePunct w:val="0"/>
        <w:autoSpaceDE/>
        <w:bidi w:val="0"/>
        <w:adjustRightInd/>
        <w:spacing w:beforeAutospacing="0" w:afterAutospacing="0"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sz w:val="24"/>
          <w:szCs w:val="24"/>
          <w:highlight w:val="none"/>
        </w:rPr>
        <w:t xml:space="preserve">根据本次采购活动的需要， </w:t>
      </w:r>
      <w:r>
        <w:rPr>
          <w:rFonts w:hint="eastAsia" w:ascii="宋体" w:hAnsi="宋体" w:eastAsia="宋体" w:cs="宋体"/>
          <w:color w:val="auto"/>
          <w:sz w:val="24"/>
          <w:szCs w:val="24"/>
          <w:highlight w:val="none"/>
          <w:lang w:eastAsia="zh-CN"/>
        </w:rPr>
        <w:t>卓知项目管理顾问有限公司</w:t>
      </w:r>
      <w:r>
        <w:rPr>
          <w:rFonts w:hint="eastAsia" w:ascii="宋体" w:hAnsi="宋体" w:eastAsia="宋体" w:cs="宋体"/>
          <w:color w:val="auto"/>
          <w:sz w:val="24"/>
          <w:szCs w:val="24"/>
          <w:highlight w:val="none"/>
        </w:rPr>
        <w:t xml:space="preserve"> 可于投标有效期届满之前书面要求投标人延长投标有效期，投标人应在 </w:t>
      </w:r>
      <w:r>
        <w:rPr>
          <w:rFonts w:hint="eastAsia" w:ascii="宋体" w:hAnsi="宋体" w:eastAsia="宋体" w:cs="宋体"/>
          <w:color w:val="auto"/>
          <w:sz w:val="24"/>
          <w:szCs w:val="24"/>
          <w:highlight w:val="none"/>
          <w:lang w:eastAsia="zh-CN"/>
        </w:rPr>
        <w:t>卓知项目管理顾问有限公司</w:t>
      </w:r>
      <w:r>
        <w:rPr>
          <w:rFonts w:hint="eastAsia" w:ascii="宋体" w:hAnsi="宋体" w:eastAsia="宋体" w:cs="宋体"/>
          <w:color w:val="auto"/>
          <w:sz w:val="24"/>
          <w:szCs w:val="24"/>
          <w:highlight w:val="none"/>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10.9</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投标保证金</w:t>
      </w:r>
    </w:p>
    <w:p>
      <w:pPr>
        <w:pStyle w:val="14"/>
        <w:keepNext w:val="0"/>
        <w:keepLines w:val="0"/>
        <w:pageBreakBefore w:val="0"/>
        <w:widowControl w:val="0"/>
        <w:kinsoku/>
        <w:overflowPunct/>
        <w:topLinePunct w:val="0"/>
        <w:autoSpaceDE/>
        <w:bidi w:val="0"/>
        <w:adjustRightInd/>
        <w:spacing w:beforeAutospacing="0" w:afterAutospacing="0" w:line="500" w:lineRule="exact"/>
        <w:ind w:firstLine="48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sz w:val="24"/>
          <w:szCs w:val="24"/>
          <w:highlight w:val="none"/>
        </w:rPr>
        <w:t>投标保证金作为投标人按照招标文件规定履行相应投标责任、义务的约束及担保</w:t>
      </w:r>
      <w:r>
        <w:rPr>
          <w:rFonts w:hint="eastAsia" w:ascii="宋体" w:hAnsi="宋体" w:eastAsia="宋体" w:cs="宋体"/>
          <w:color w:val="auto"/>
          <w:highlight w:val="none"/>
        </w:rPr>
        <w:t>。</w:t>
      </w:r>
    </w:p>
    <w:p>
      <w:pPr>
        <w:pStyle w:val="14"/>
        <w:keepNext w:val="0"/>
        <w:keepLines w:val="0"/>
        <w:pageBreakBefore w:val="0"/>
        <w:widowControl w:val="0"/>
        <w:kinsoku/>
        <w:overflowPunct/>
        <w:topLinePunct w:val="0"/>
        <w:autoSpaceDE/>
        <w:bidi w:val="0"/>
        <w:adjustRightInd/>
        <w:spacing w:beforeAutospacing="0" w:afterAutospacing="0" w:line="500" w:lineRule="exact"/>
        <w:ind w:firstLine="48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sz w:val="24"/>
          <w:szCs w:val="24"/>
          <w:highlight w:val="none"/>
        </w:rPr>
        <w:t>投标人以电子保函形式提交投标保证金的，保函的有效期应等于或长于电子投标文件承诺的投标有效期</w:t>
      </w:r>
      <w:r>
        <w:rPr>
          <w:rFonts w:hint="eastAsia" w:ascii="宋体" w:hAnsi="宋体" w:eastAsia="宋体" w:cs="宋体"/>
          <w:color w:val="auto"/>
          <w:highlight w:val="none"/>
        </w:rPr>
        <w:t>，</w:t>
      </w:r>
      <w:r>
        <w:rPr>
          <w:rFonts w:hint="eastAsia" w:ascii="宋体" w:hAnsi="宋体" w:eastAsia="宋体" w:cs="宋体"/>
          <w:b/>
          <w:bCs/>
          <w:color w:val="auto"/>
          <w:highlight w:val="none"/>
        </w:rPr>
        <w:t>否则</w:t>
      </w:r>
      <w:r>
        <w:rPr>
          <w:rStyle w:val="19"/>
          <w:rFonts w:hint="eastAsia" w:ascii="宋体" w:hAnsi="宋体" w:eastAsia="宋体" w:cs="宋体"/>
          <w:b/>
          <w:bCs/>
          <w:color w:val="auto"/>
          <w:highlight w:val="none"/>
        </w:rPr>
        <w:t>投标无效</w:t>
      </w:r>
      <w:r>
        <w:rPr>
          <w:rFonts w:hint="eastAsia" w:ascii="宋体" w:hAnsi="宋体" w:eastAsia="宋体" w:cs="宋体"/>
          <w:b/>
          <w:bCs/>
          <w:color w:val="auto"/>
          <w:highlight w:val="none"/>
        </w:rPr>
        <w:t>。</w:t>
      </w:r>
    </w:p>
    <w:p>
      <w:pPr>
        <w:pStyle w:val="14"/>
        <w:keepNext w:val="0"/>
        <w:keepLines w:val="0"/>
        <w:pageBreakBefore w:val="0"/>
        <w:widowControl w:val="0"/>
        <w:kinsoku/>
        <w:overflowPunct/>
        <w:topLinePunct w:val="0"/>
        <w:autoSpaceDE/>
        <w:bidi w:val="0"/>
        <w:adjustRightInd/>
        <w:spacing w:beforeAutospacing="0" w:afterAutospacing="0" w:line="500" w:lineRule="exact"/>
        <w:ind w:firstLine="48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提交</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①投标人以汇款形式缴纳投标保证金的，应从其银行账户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基本存款账户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按照下列方式：公对公转账方式向招标文件载明的投标保证金账户提交投标保证金，具体金额详见招标文件第一章。</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②投标人以电子保函形式提交投标保证金的，可在招标文件载明的投标截止时间前通过福建省政府采购平台“保函服务”栏目办理电子保函并在电汇或银行转账单上注明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；在投标截止时间之前将电子保函文件放入投标文件中，</w:t>
      </w:r>
      <w:r>
        <w:rPr>
          <w:rFonts w:hint="eastAsia" w:ascii="宋体" w:hAnsi="宋体" w:eastAsia="宋体" w:cs="宋体"/>
          <w:b/>
          <w:bCs/>
          <w:color w:val="auto"/>
          <w:sz w:val="24"/>
          <w:szCs w:val="24"/>
          <w:highlight w:val="none"/>
        </w:rPr>
        <w:t>否则视为未提交投标保证金。</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③其他形式：</w:t>
      </w:r>
      <w:r>
        <w:rPr>
          <w:rFonts w:hint="eastAsia" w:ascii="宋体" w:hAnsi="宋体" w:eastAsia="宋体" w:cs="宋体"/>
          <w:color w:val="auto"/>
          <w:sz w:val="24"/>
          <w:szCs w:val="24"/>
          <w:highlight w:val="none"/>
          <w:lang w:val="en-US" w:eastAsia="zh-CN"/>
        </w:rPr>
        <w:t>无。</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④若本项目接受联合体投标且投标人为联合体，则联合体中的牵头方应按照本章第10.9条第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款第①、②、③点规定提交投标保证金。</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※除招标文件另有规定外，未按照上述规定提交投标保证金将导致资格审查不合格。</w:t>
      </w:r>
    </w:p>
    <w:p>
      <w:pPr>
        <w:pStyle w:val="14"/>
        <w:keepNext w:val="0"/>
        <w:keepLines w:val="0"/>
        <w:pageBreakBefore w:val="0"/>
        <w:widowControl w:val="0"/>
        <w:kinsoku/>
        <w:overflowPunct/>
        <w:topLinePunct w:val="0"/>
        <w:autoSpaceDE/>
        <w:bidi w:val="0"/>
        <w:adjustRightInd/>
        <w:spacing w:beforeAutospacing="0" w:afterAutospacing="0" w:line="500" w:lineRule="exact"/>
        <w:ind w:firstLine="480"/>
        <w:jc w:val="both"/>
        <w:textAlignment w:val="auto"/>
        <w:outlineLvl w:val="9"/>
        <w:rPr>
          <w:rFonts w:hint="eastAsia" w:ascii="宋体" w:hAnsi="宋体" w:eastAsia="宋体" w:cs="宋体"/>
          <w:color w:val="auto"/>
          <w:highlight w:val="none"/>
          <w:u w:val="none"/>
        </w:rPr>
      </w:pP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4</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退还</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①在投标截止时间前撤回已提交的电子投标文件的投标人，其投标保证金将在 </w:t>
      </w:r>
      <w:r>
        <w:rPr>
          <w:rFonts w:hint="eastAsia" w:ascii="宋体" w:hAnsi="宋体" w:eastAsia="宋体" w:cs="宋体"/>
          <w:color w:val="auto"/>
          <w:sz w:val="24"/>
          <w:szCs w:val="24"/>
          <w:highlight w:val="none"/>
          <w:lang w:eastAsia="zh-CN"/>
        </w:rPr>
        <w:t>卓知项目管理顾问有限公司</w:t>
      </w:r>
      <w:r>
        <w:rPr>
          <w:rFonts w:hint="eastAsia" w:ascii="宋体" w:hAnsi="宋体" w:eastAsia="宋体" w:cs="宋体"/>
          <w:color w:val="auto"/>
          <w:sz w:val="24"/>
          <w:szCs w:val="24"/>
          <w:highlight w:val="none"/>
        </w:rPr>
        <w:t xml:space="preserve"> 收到投标人书面撤回通知之日起5个工作日内退回原账户。</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②未中标人的投标保证金将在中标通知书发出之日起5个工作日内退回原账户。</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③中标人的投标保证金将在政府采购合同签订之日起5个工作日内退回原账户；合同签订之日以福建省政府采购网上公开信息系统记载的为准。</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④终止招标的，</w:t>
      </w:r>
      <w:r>
        <w:rPr>
          <w:rFonts w:hint="eastAsia" w:ascii="宋体" w:hAnsi="宋体" w:eastAsia="宋体" w:cs="宋体"/>
          <w:color w:val="auto"/>
          <w:sz w:val="24"/>
          <w:szCs w:val="24"/>
          <w:highlight w:val="none"/>
          <w:lang w:eastAsia="zh-CN"/>
        </w:rPr>
        <w:t>卓知项目管理顾问有限公司</w:t>
      </w:r>
      <w:r>
        <w:rPr>
          <w:rFonts w:hint="eastAsia" w:ascii="宋体" w:hAnsi="宋体" w:eastAsia="宋体" w:cs="宋体"/>
          <w:color w:val="auto"/>
          <w:sz w:val="24"/>
          <w:szCs w:val="24"/>
          <w:highlight w:val="none"/>
        </w:rPr>
        <w:t>将在终止公告发布之日起5个工作日内退回已收取的投标保证金及其在银行产生的孳息。</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⑤除招标文件另有规定外，质疑或投诉涉及的投标人，若投标保证金尚未退还，则待质疑或投诉处理完毕后不计利息原额退还。</w:t>
      </w:r>
    </w:p>
    <w:p>
      <w:pPr>
        <w:pStyle w:val="21"/>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outlineLvl w:val="9"/>
        <w:rPr>
          <w:rStyle w:val="19"/>
          <w:rFonts w:hint="eastAsia" w:ascii="宋体" w:hAnsi="宋体" w:eastAsia="宋体" w:cs="宋体"/>
          <w:color w:val="auto"/>
          <w:highlight w:val="none"/>
          <w:u w:val="none"/>
          <w:lang w:eastAsia="zh-CN"/>
        </w:rPr>
      </w:pPr>
      <w:r>
        <w:rPr>
          <w:rFonts w:hint="eastAsia" w:ascii="宋体" w:hAnsi="宋体" w:eastAsia="宋体" w:cs="宋体"/>
          <w:b/>
          <w:bCs/>
          <w:color w:val="auto"/>
          <w:sz w:val="24"/>
          <w:szCs w:val="24"/>
          <w:highlight w:val="none"/>
        </w:rPr>
        <w:t>※本章第10.9条第</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款第①、②、③点规定的投标保证金退还时限不包括因投标人自身原因导致无法及时退还而增加的时间。</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若出现本章第10.8条第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有下列情形之一的，投标保证金将不予退还或通过投标保函进行索赔：</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①投标人串通投标；</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②投标人提供虚假材料；</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③投标人采取不正当手段诋毁、排挤其他投标人；</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④投标截止时间后，投标人在投标有效期内撤销电子投标文件；</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⑤招标文件规定的其他不予退还情形；</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⑥中标人有下列情形之一的：</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a.除不可抗力外，因中标人自身原因未在中标通知书要求的期限内与采购人签订政府采购合同；</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b.未按照招标文件、投标文件的约定签订政府采购合同或提交履约保证金。</w:t>
      </w:r>
    </w:p>
    <w:p>
      <w:pPr>
        <w:pStyle w:val="14"/>
        <w:keepNext w:val="0"/>
        <w:keepLines w:val="0"/>
        <w:pageBreakBefore w:val="0"/>
        <w:widowControl w:val="0"/>
        <w:kinsoku/>
        <w:overflowPunct/>
        <w:topLinePunct w:val="0"/>
        <w:autoSpaceDE/>
        <w:bidi w:val="0"/>
        <w:adjustRightInd/>
        <w:spacing w:beforeAutospacing="0" w:afterAutospacing="0" w:line="500" w:lineRule="exact"/>
        <w:ind w:firstLine="48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※若上述投标保证金不予退还情形给采购人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采购代理机构</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造成损失，则投标人还要承担相应的赔偿责任。</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电子投标文件的提交</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一个投标人只能提交一个电子投标文件，并按照招标文件第一章规定在系统上完成上传、解密操作。</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电子投标文件的补充、修改或撤回</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投标截止时间前，投标人可对所提交的电子投标文件进行补充、修改或撤回，并书面通知 </w:t>
      </w:r>
      <w:r>
        <w:rPr>
          <w:rFonts w:hint="eastAsia" w:ascii="宋体" w:hAnsi="宋体" w:eastAsia="宋体" w:cs="宋体"/>
          <w:color w:val="auto"/>
          <w:sz w:val="24"/>
          <w:szCs w:val="24"/>
          <w:highlight w:val="none"/>
          <w:lang w:eastAsia="zh-CN"/>
        </w:rPr>
        <w:t>卓知项目管理顾问有限公司</w:t>
      </w:r>
      <w:r>
        <w:rPr>
          <w:rFonts w:hint="eastAsia" w:ascii="宋体" w:hAnsi="宋体" w:eastAsia="宋体" w:cs="宋体"/>
          <w:color w:val="auto"/>
          <w:sz w:val="24"/>
          <w:szCs w:val="24"/>
          <w:highlight w:val="none"/>
        </w:rPr>
        <w:t xml:space="preserve"> 。</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补充、修改的内容应按照本章第10.5条第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款规定进行签署、盖章，并按照本章第10.10条规定提交，</w:t>
      </w:r>
      <w:r>
        <w:rPr>
          <w:rFonts w:hint="eastAsia" w:ascii="宋体" w:hAnsi="宋体" w:eastAsia="宋体" w:cs="宋体"/>
          <w:b/>
          <w:bCs/>
          <w:color w:val="auto"/>
          <w:sz w:val="24"/>
          <w:szCs w:val="24"/>
          <w:highlight w:val="none"/>
        </w:rPr>
        <w:t>否则将被拒收。</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※按照上述规定提交的补充、修改内容作为电子投标文件组成部分。</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除招标文件另有规定外，有下列情形之一的，</w:t>
      </w:r>
      <w:r>
        <w:rPr>
          <w:rFonts w:hint="eastAsia" w:ascii="宋体" w:hAnsi="宋体" w:eastAsia="宋体" w:cs="宋体"/>
          <w:b/>
          <w:bCs/>
          <w:color w:val="auto"/>
          <w:sz w:val="24"/>
          <w:szCs w:val="24"/>
          <w:highlight w:val="none"/>
        </w:rPr>
        <w:t>投标无效：</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电子投标文件未按照招标文件要求签署、盖章；</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不符合招标文件中规定的资格要求；</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投标报价超过招标文件中规定的预算金额或最高限价；</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电子投标文件含有采购人不能接受的附加条件；</w:t>
      </w:r>
    </w:p>
    <w:p>
      <w:pPr>
        <w:pStyle w:val="14"/>
        <w:keepNext w:val="0"/>
        <w:keepLines w:val="0"/>
        <w:pageBreakBefore w:val="0"/>
        <w:widowControl w:val="0"/>
        <w:kinsoku/>
        <w:overflowPunct/>
        <w:topLinePunct w:val="0"/>
        <w:autoSpaceDE/>
        <w:bidi w:val="0"/>
        <w:adjustRightInd/>
        <w:spacing w:beforeAutospacing="0" w:afterAutospacing="0"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有关法律、法规和规章及招标文件规定的其他无效情形</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1"/>
        <w:rPr>
          <w:rFonts w:hint="eastAsia" w:ascii="宋体" w:hAnsi="宋体" w:eastAsia="宋体" w:cs="宋体"/>
          <w:b w:val="0"/>
          <w:bCs/>
          <w:color w:val="auto"/>
          <w:sz w:val="24"/>
          <w:szCs w:val="24"/>
          <w:highlight w:val="none"/>
        </w:rPr>
      </w:pPr>
      <w:bookmarkStart w:id="9" w:name="_Toc5985"/>
      <w:r>
        <w:rPr>
          <w:rFonts w:hint="eastAsia" w:ascii="宋体" w:hAnsi="宋体" w:eastAsia="宋体" w:cs="宋体"/>
          <w:b/>
          <w:bCs w:val="0"/>
          <w:color w:val="auto"/>
          <w:sz w:val="28"/>
          <w:szCs w:val="28"/>
          <w:highlight w:val="none"/>
        </w:rPr>
        <w:t>五、开标</w:t>
      </w:r>
      <w:bookmarkEnd w:id="9"/>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11、开标</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11.1</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卓知项目管理顾问有限公司</w:t>
      </w:r>
      <w:r>
        <w:rPr>
          <w:rFonts w:hint="eastAsia" w:ascii="宋体" w:hAnsi="宋体" w:eastAsia="宋体" w:cs="宋体"/>
          <w:color w:val="auto"/>
          <w:sz w:val="24"/>
          <w:szCs w:val="24"/>
          <w:highlight w:val="none"/>
        </w:rPr>
        <w:t>将在招标文件载明的开标时间及地点主持召开开标会，并邀请投标人参加</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11.2</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rPr>
        <w:t>开标会的主持人、唱标人、记录人及其他工作人员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均由</w:t>
      </w:r>
      <w:r>
        <w:rPr>
          <w:rFonts w:hint="eastAsia" w:ascii="宋体" w:hAnsi="宋体" w:eastAsia="宋体" w:cs="宋体"/>
          <w:color w:val="auto"/>
          <w:sz w:val="24"/>
          <w:szCs w:val="24"/>
          <w:highlight w:val="none"/>
          <w:lang w:eastAsia="zh-CN"/>
        </w:rPr>
        <w:t>卓知项目管理顾问有限公司</w:t>
      </w:r>
      <w:r>
        <w:rPr>
          <w:rFonts w:hint="eastAsia" w:ascii="宋体" w:hAnsi="宋体" w:eastAsia="宋体" w:cs="宋体"/>
          <w:color w:val="auto"/>
          <w:sz w:val="24"/>
          <w:szCs w:val="24"/>
          <w:highlight w:val="none"/>
        </w:rPr>
        <w:t>派出，现场监督人员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可由有关方面派出</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11.3</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rPr>
        <w:t>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11.4</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开标会应遵守下列规定：</w:t>
      </w:r>
    </w:p>
    <w:p>
      <w:pPr>
        <w:pStyle w:val="14"/>
        <w:keepNext w:val="0"/>
        <w:keepLines w:val="0"/>
        <w:pageBreakBefore w:val="0"/>
        <w:widowControl w:val="0"/>
        <w:kinsoku/>
        <w:overflowPunct/>
        <w:topLinePunct w:val="0"/>
        <w:autoSpaceDE/>
        <w:bidi w:val="0"/>
        <w:adjustRightInd/>
        <w:spacing w:beforeAutospacing="0" w:afterAutospacing="0" w:line="500" w:lineRule="exact"/>
        <w:ind w:firstLine="48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r>
        <w:rPr>
          <w:rFonts w:hint="eastAsia" w:ascii="宋体" w:hAnsi="宋体" w:eastAsia="宋体" w:cs="宋体"/>
          <w:color w:val="auto"/>
          <w:highlight w:val="none"/>
        </w:rPr>
        <w:t>。</w:t>
      </w:r>
    </w:p>
    <w:p>
      <w:pPr>
        <w:pStyle w:val="14"/>
        <w:keepNext w:val="0"/>
        <w:keepLines w:val="0"/>
        <w:pageBreakBefore w:val="0"/>
        <w:widowControl w:val="0"/>
        <w:kinsoku/>
        <w:overflowPunct/>
        <w:topLinePunct w:val="0"/>
        <w:autoSpaceDE/>
        <w:bidi w:val="0"/>
        <w:adjustRightInd/>
        <w:spacing w:beforeAutospacing="0" w:afterAutospacing="0" w:line="500" w:lineRule="exact"/>
        <w:ind w:firstLine="48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唱标时，唱标人将依次宣布“投标人名称”、“各投标人关于电子投标文件补充、修改或撤回的书面通知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”、“各投标人的投标报价”和招标文件规定的需要宣布的其他内容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包括但不限于：开标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一览表中的内容、唱标人认为需要宣布的内容等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唱标结束后，参加现场开标会的投标人代表应对开标记录进行签字确认，通过远程参与开标流程的投标人须在系统远程签章开启后，在系统规定时间内对开标结果进行签章确认。</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投标人代表对开标过程和开标记录有疑义，以及认为采购人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采购代理机构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4"/>
        <w:keepNext w:val="0"/>
        <w:keepLines w:val="0"/>
        <w:pageBreakBefore w:val="0"/>
        <w:widowControl w:val="0"/>
        <w:kinsoku/>
        <w:overflowPunct/>
        <w:topLinePunct w:val="0"/>
        <w:autoSpaceDE/>
        <w:bidi w:val="0"/>
        <w:adjustRightInd/>
        <w:spacing w:beforeAutospacing="0" w:afterAutospacing="0" w:line="500" w:lineRule="exact"/>
        <w:ind w:firstLine="48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若投标人未到开标现场参加开标会，也未通过远程参加开标会的，视同认可开标结果</w:t>
      </w:r>
      <w:r>
        <w:rPr>
          <w:rFonts w:hint="eastAsia" w:ascii="宋体" w:hAnsi="宋体" w:eastAsia="宋体" w:cs="宋体"/>
          <w:color w:val="auto"/>
          <w:highlight w:val="none"/>
        </w:rPr>
        <w:t>。</w:t>
      </w:r>
    </w:p>
    <w:p>
      <w:pPr>
        <w:pStyle w:val="14"/>
        <w:keepNext w:val="0"/>
        <w:keepLines w:val="0"/>
        <w:pageBreakBefore w:val="0"/>
        <w:widowControl w:val="0"/>
        <w:kinsoku/>
        <w:overflowPunct/>
        <w:topLinePunct w:val="0"/>
        <w:autoSpaceDE/>
        <w:bidi w:val="0"/>
        <w:adjustRightInd/>
        <w:spacing w:beforeAutospacing="0" w:afterAutospacing="0"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bCs/>
          <w:color w:val="auto"/>
          <w:sz w:val="24"/>
          <w:szCs w:val="24"/>
          <w:highlight w:val="none"/>
        </w:rPr>
        <w:t>※若出现本章第11.4条第</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款规定情形之一，则投标人不得在开标会后就开标过程和开标记录涉及或可能涉及的有关事由</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包括但不限于：“投标报价”、“电子投标文件的格式”、“电子投标文件的提交”、“电子投标文件的补充、修改或撤回”等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 xml:space="preserve">向 </w:t>
      </w:r>
      <w:r>
        <w:rPr>
          <w:rFonts w:hint="eastAsia" w:ascii="宋体" w:hAnsi="宋体" w:eastAsia="宋体" w:cs="宋体"/>
          <w:b/>
          <w:bCs/>
          <w:color w:val="auto"/>
          <w:sz w:val="24"/>
          <w:szCs w:val="24"/>
          <w:highlight w:val="none"/>
          <w:lang w:eastAsia="zh-CN"/>
        </w:rPr>
        <w:t>卓知项目管理顾问有限公司</w:t>
      </w:r>
      <w:r>
        <w:rPr>
          <w:rFonts w:hint="eastAsia" w:ascii="宋体" w:hAnsi="宋体" w:eastAsia="宋体" w:cs="宋体"/>
          <w:b/>
          <w:bCs/>
          <w:color w:val="auto"/>
          <w:sz w:val="24"/>
          <w:szCs w:val="24"/>
          <w:highlight w:val="none"/>
        </w:rPr>
        <w:t xml:space="preserve"> 提出任何疑义或要求</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包括质疑</w:t>
      </w:r>
      <w:r>
        <w:rPr>
          <w:rFonts w:hint="eastAsia" w:ascii="宋体" w:hAnsi="宋体" w:eastAsia="宋体" w:cs="宋体"/>
          <w:b/>
          <w:bCs/>
          <w:color w:val="auto"/>
          <w:sz w:val="24"/>
          <w:szCs w:val="24"/>
          <w:highlight w:val="none"/>
          <w:lang w:eastAsia="zh-CN"/>
        </w:rPr>
        <w:t>）</w:t>
      </w:r>
      <w:r>
        <w:rPr>
          <w:rStyle w:val="19"/>
          <w:rFonts w:hint="eastAsia" w:ascii="宋体" w:hAnsi="宋体" w:eastAsia="宋体" w:cs="宋体"/>
          <w:color w:val="auto"/>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11.5</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投标截止时间后，参加投标的投标人不足三家的，不进行开标。同时，本次采购活动结束， </w:t>
      </w:r>
      <w:r>
        <w:rPr>
          <w:rFonts w:hint="eastAsia" w:ascii="宋体" w:hAnsi="宋体" w:eastAsia="宋体" w:cs="宋体"/>
          <w:color w:val="auto"/>
          <w:sz w:val="24"/>
          <w:szCs w:val="24"/>
          <w:highlight w:val="none"/>
          <w:lang w:eastAsia="zh-CN"/>
        </w:rPr>
        <w:t>卓知项目管理顾问有限公司</w:t>
      </w:r>
      <w:r>
        <w:rPr>
          <w:rFonts w:hint="eastAsia" w:ascii="宋体" w:hAnsi="宋体" w:eastAsia="宋体" w:cs="宋体"/>
          <w:color w:val="auto"/>
          <w:sz w:val="24"/>
          <w:szCs w:val="24"/>
          <w:highlight w:val="none"/>
        </w:rPr>
        <w:t xml:space="preserve"> 将依法组织后续采购活动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包括但不限于：重新招标、采用其他方式采购等</w:t>
      </w:r>
      <w:r>
        <w:rPr>
          <w:rFonts w:hint="eastAsia" w:ascii="宋体" w:hAnsi="宋体" w:eastAsia="宋体" w:cs="宋体"/>
          <w:color w:val="auto"/>
          <w:sz w:val="24"/>
          <w:szCs w:val="24"/>
          <w:highlight w:val="none"/>
          <w:lang w:eastAsia="zh-CN"/>
        </w:rPr>
        <w:t>）</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11.6</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rPr>
        <w:t>投标截止时间后撤销投标的处理</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投标截止时间后，投标人在投标有效期内撤销投标的，其撤销投标的行为无效</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1"/>
        <w:rPr>
          <w:rFonts w:hint="eastAsia" w:ascii="宋体" w:hAnsi="宋体" w:eastAsia="宋体" w:cs="宋体"/>
          <w:b w:val="0"/>
          <w:bCs/>
          <w:color w:val="auto"/>
          <w:sz w:val="24"/>
          <w:szCs w:val="24"/>
          <w:highlight w:val="none"/>
        </w:rPr>
      </w:pPr>
      <w:bookmarkStart w:id="10" w:name="_Toc28402"/>
      <w:r>
        <w:rPr>
          <w:rFonts w:hint="eastAsia" w:ascii="宋体" w:hAnsi="宋体" w:eastAsia="宋体" w:cs="宋体"/>
          <w:b/>
          <w:bCs w:val="0"/>
          <w:color w:val="auto"/>
          <w:sz w:val="28"/>
          <w:szCs w:val="28"/>
          <w:highlight w:val="none"/>
        </w:rPr>
        <w:t>六、中标与政府采购合同</w:t>
      </w:r>
      <w:bookmarkEnd w:id="10"/>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12、中标</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12.1</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rPr>
        <w:t>本项目推荐的中标候选人家数：详见招标文件第二章</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12.2</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rPr>
        <w:t>本项目中标人的确定：详见招标文件第二章</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12.3</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中标公告</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中标人确定之日起2个工作日内， </w:t>
      </w:r>
      <w:r>
        <w:rPr>
          <w:rFonts w:hint="eastAsia" w:ascii="宋体" w:hAnsi="宋体" w:eastAsia="宋体" w:cs="宋体"/>
          <w:color w:val="auto"/>
          <w:sz w:val="24"/>
          <w:szCs w:val="24"/>
          <w:highlight w:val="none"/>
          <w:lang w:eastAsia="zh-CN"/>
        </w:rPr>
        <w:t>卓知项目管理顾问有限公司</w:t>
      </w:r>
      <w:r>
        <w:rPr>
          <w:rFonts w:hint="eastAsia" w:ascii="宋体" w:hAnsi="宋体" w:eastAsia="宋体" w:cs="宋体"/>
          <w:color w:val="auto"/>
          <w:sz w:val="24"/>
          <w:szCs w:val="24"/>
          <w:highlight w:val="none"/>
        </w:rPr>
        <w:t xml:space="preserve"> 将在招标文件载明的指定媒体以中标公告的形式发布中标结果。</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中标公告的公告期限为1个工作日</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12.4</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中标通知书</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中标公告发布的同时， </w:t>
      </w:r>
      <w:r>
        <w:rPr>
          <w:rFonts w:hint="eastAsia" w:ascii="宋体" w:hAnsi="宋体" w:eastAsia="宋体" w:cs="宋体"/>
          <w:color w:val="auto"/>
          <w:sz w:val="24"/>
          <w:szCs w:val="24"/>
          <w:highlight w:val="none"/>
          <w:lang w:eastAsia="zh-CN"/>
        </w:rPr>
        <w:t>卓知项目管理顾问有限公司</w:t>
      </w:r>
      <w:r>
        <w:rPr>
          <w:rFonts w:hint="eastAsia" w:ascii="宋体" w:hAnsi="宋体" w:eastAsia="宋体" w:cs="宋体"/>
          <w:color w:val="auto"/>
          <w:sz w:val="24"/>
          <w:szCs w:val="24"/>
          <w:highlight w:val="none"/>
        </w:rPr>
        <w:t xml:space="preserve"> 将向中标人发出中标通知书。</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中标通知书发出后，采购人不得违法改变中标结果，中标人无正当理由不得放弃中标</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13、政府采购合同</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签订时限：详见须知前附表1的13.2。</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政府采购合同的履行、违约责任和解决争议的方法等适用民法典。</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采购人与中标人应根据政府采购合同的约定依法履行合同义务。</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政府采购合同履行过程中，采购人若需追加与合同标的相同的货物或服务，则追加采购金额不得超过原合同采购金额的10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13.6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中标人在政府采购合同履行过程中应遵守有关法律、法规和规章的强制性规定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即使前述强制性规定有可能在招标文件中未予列明</w:t>
      </w:r>
      <w:r>
        <w:rPr>
          <w:rFonts w:hint="eastAsia" w:ascii="宋体" w:hAnsi="宋体" w:eastAsia="宋体" w:cs="宋体"/>
          <w:color w:val="auto"/>
          <w:sz w:val="24"/>
          <w:szCs w:val="24"/>
          <w:highlight w:val="none"/>
          <w:lang w:eastAsia="zh-CN"/>
        </w:rPr>
        <w:t>）</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1"/>
        <w:rPr>
          <w:rFonts w:hint="eastAsia" w:ascii="宋体" w:hAnsi="宋体" w:eastAsia="宋体" w:cs="宋体"/>
          <w:b w:val="0"/>
          <w:bCs/>
          <w:color w:val="auto"/>
          <w:sz w:val="28"/>
          <w:szCs w:val="28"/>
          <w:highlight w:val="none"/>
        </w:rPr>
      </w:pPr>
      <w:bookmarkStart w:id="11" w:name="_Toc18066"/>
      <w:r>
        <w:rPr>
          <w:rFonts w:hint="eastAsia" w:ascii="宋体" w:hAnsi="宋体" w:eastAsia="宋体" w:cs="宋体"/>
          <w:b/>
          <w:bCs w:val="0"/>
          <w:color w:val="auto"/>
          <w:sz w:val="28"/>
          <w:szCs w:val="28"/>
          <w:highlight w:val="none"/>
        </w:rPr>
        <w:t>七、询问、质疑与投诉</w:t>
      </w:r>
      <w:bookmarkEnd w:id="11"/>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14、询问</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14.1</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潜在投标人或投标人对本次采购活动的有关事项若有疑问，可向 </w:t>
      </w:r>
      <w:r>
        <w:rPr>
          <w:rFonts w:hint="eastAsia" w:ascii="宋体" w:hAnsi="宋体" w:eastAsia="宋体" w:cs="宋体"/>
          <w:color w:val="auto"/>
          <w:sz w:val="24"/>
          <w:szCs w:val="24"/>
          <w:highlight w:val="none"/>
          <w:lang w:eastAsia="zh-CN"/>
        </w:rPr>
        <w:t>卓知项目管理顾问有限公司</w:t>
      </w:r>
      <w:r>
        <w:rPr>
          <w:rFonts w:hint="eastAsia" w:ascii="宋体" w:hAnsi="宋体" w:eastAsia="宋体" w:cs="宋体"/>
          <w:color w:val="auto"/>
          <w:sz w:val="24"/>
          <w:szCs w:val="24"/>
          <w:highlight w:val="none"/>
        </w:rPr>
        <w:t xml:space="preserve"> 提出询问， </w:t>
      </w:r>
      <w:r>
        <w:rPr>
          <w:rFonts w:hint="eastAsia" w:ascii="宋体" w:hAnsi="宋体" w:eastAsia="宋体" w:cs="宋体"/>
          <w:color w:val="auto"/>
          <w:sz w:val="24"/>
          <w:szCs w:val="24"/>
          <w:highlight w:val="none"/>
          <w:lang w:eastAsia="zh-CN"/>
        </w:rPr>
        <w:t>卓知项目管理顾问有限公司</w:t>
      </w:r>
      <w:r>
        <w:rPr>
          <w:rFonts w:hint="eastAsia" w:ascii="宋体" w:hAnsi="宋体" w:eastAsia="宋体" w:cs="宋体"/>
          <w:color w:val="auto"/>
          <w:sz w:val="24"/>
          <w:szCs w:val="24"/>
          <w:highlight w:val="none"/>
        </w:rPr>
        <w:t xml:space="preserve"> 将按照政府采购法及实施条例的有关规定进行答复</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15、质疑</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15.1</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rPr>
        <w:t>针对同一采购程序环节的质疑应在政府采购法及实施条例的时限内一次性提出，对一个项目的不同采购包提出质疑的，应当将各采购包质疑事项集中在一份质疑函中提出，并同时符合下列条件</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对招标文件提出质疑的，质疑人应为潜在投标人，且两者的身份、名称等均应保持一致。对采购过程、结果提出质疑的，质疑人应为投标人，且两者的身份、名称等均应保持一致。</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质疑人应按照招标文件第二章规定方式提交质疑函。</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质疑函应包括下列主要内容：</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①质疑人的基本信息，至少包括：全称、地址、邮政编码等；</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②所质疑项目的基本信息，至少包括：项目编号、项目名称等；</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③所质疑的具体事项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以下简称：“质疑事项”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④针对质疑事项提出的明确请求，前述明确请求指质疑人提出质疑的目的以及希望</w:t>
      </w:r>
      <w:r>
        <w:rPr>
          <w:rFonts w:hint="eastAsia" w:ascii="宋体" w:hAnsi="宋体" w:eastAsia="宋体" w:cs="宋体"/>
          <w:color w:val="auto"/>
          <w:sz w:val="24"/>
          <w:szCs w:val="24"/>
          <w:highlight w:val="none"/>
          <w:lang w:eastAsia="zh-CN"/>
        </w:rPr>
        <w:t>卓知项目管理顾问有限公司</w:t>
      </w:r>
      <w:r>
        <w:rPr>
          <w:rFonts w:hint="eastAsia" w:ascii="宋体" w:hAnsi="宋体" w:eastAsia="宋体" w:cs="宋体"/>
          <w:color w:val="auto"/>
          <w:sz w:val="24"/>
          <w:szCs w:val="24"/>
          <w:highlight w:val="none"/>
        </w:rPr>
        <w:t>对其质疑作出的处理结果，如：暂停招标投标活动、修改招标文件、停止或纠正违法违规行为、中标结果无效、废标、重新招标等；</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⑤针对质疑事项导致质疑人自身权益受到损害的必要证明材料，至少包括：</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a.质疑人代表的身份证明材料：</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质疑人为法人或其他组织的，提供统一社会信用代码营业执照等证明文件的副本复印件、单位负责人的身份证复印件；质疑人代表为委托代理人的，还应同时提供单位负责人授权书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应载明代理人的姓名或者名称、代理事项、具体权限、期限和相关事项，授权书应由单位负责人签字或盖章，并加盖投标人的单位公章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和委托代理人的身份证复印件。</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若本项目接受自然人投标且质疑人为自然人的，提供本人的身份证复印件。</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b.其他证明材料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即事实依据和必要的法律依据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包括但不限于下列材料：</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所质疑的具体事项是与自己有利害关系的证明材料；</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质疑函所述事实存在的证明材料，如：采购文件、采购过程或中标结果违法违规或不符合采购文件要求等证明材料；</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依法应终止采购程序的证明材料；</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应重新采购的证明材料；</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采购文件、采购过程或中标、成交结果损害自己合法权益的证明材料等；</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若质疑的具体事项按照有关法律、法规和规章规定处于保密阶段，则应提供信息或证明材料为合法或公开渠道获得的有效证据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若证据无法有效表明信息或证明材料为合法或公开渠道获得，则前述信息或证明材料视为无效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⑥质疑人代表及其联系方法的信息，至少包括：姓名、手机、电子信箱、邮寄地址等。</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⑦提出质疑的日期。</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※质疑人为法人或其他组织的，质疑函应由单位负责人或委托代理人签字或盖章，并加盖投标人的单位公章。质疑人为自然人的，质疑函应由本人签字。</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对不符合本章第15.1条规定的质疑，将按照下列规定进行处理：</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不符合其中第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条规定的，书面告知质疑人不予受理及其理由。</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不符合其中第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条规定的，书面告知质疑人修改、补充后在规定时限内重新提交质疑函。</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对符合本章第15.1条规定的质疑，将按照政府采购法及实施条例、政府采购质疑和投诉办法的有关规定进行答复。</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招标文件的质疑：详见招标文件第二章。</w:t>
      </w: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16、投诉</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16.2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投诉应有明确的请求和必要的证明材料，投诉的事项不得超出已质疑事项的范围</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1"/>
        <w:rPr>
          <w:rFonts w:hint="eastAsia" w:ascii="宋体" w:hAnsi="宋体" w:eastAsia="宋体" w:cs="宋体"/>
          <w:b/>
          <w:bCs w:val="0"/>
          <w:color w:val="auto"/>
          <w:sz w:val="24"/>
          <w:szCs w:val="24"/>
          <w:highlight w:val="none"/>
        </w:rPr>
      </w:pPr>
      <w:bookmarkStart w:id="12" w:name="_Toc16490"/>
      <w:r>
        <w:rPr>
          <w:rFonts w:hint="eastAsia" w:ascii="宋体" w:hAnsi="宋体" w:eastAsia="宋体" w:cs="宋体"/>
          <w:b/>
          <w:bCs w:val="0"/>
          <w:color w:val="auto"/>
          <w:sz w:val="28"/>
          <w:szCs w:val="28"/>
          <w:highlight w:val="none"/>
        </w:rPr>
        <w:t>八、政府采购政策</w:t>
      </w:r>
      <w:bookmarkEnd w:id="12"/>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17、政府采购政策由财政部根据国家的经济和社会发展政策并会同国家有关部委制定，包括但不限于下列具体政策要求：</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进口产品指通过中国海关报关验放进入中国境内且产自关境外的产品，其中：</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凡在海关特殊监管区域内企业生产或加工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包括从境外进口料件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销往境内其他地区的产品，不作为政府采购项下进口产品。</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对从境外进入海关特殊监管区域，再经办理报关手续后从海关特殊监管区进入境内其他地区的产品，认定为进口产品。</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招标文件列明不允许或未列明允许进口产品参加投标的，均视为拒绝进口产品参加投标。</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符合财政部、工信部文件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财库〔2020〕46号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规定的小型、微型企业可享受扶持政策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如：预留采购份额、价格评审优惠、优先采购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。符合财政部、司法部文件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财库[2014]68号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规定的监狱企业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以下简称：“监狱企业”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亦可享受前述扶持政策。符合财政部、民政部、中国残联文件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财库[2017]141号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规定的残疾人福利性单位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以下简称：“残疾人福利性单位”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亦可享受前述扶持政策。其中：</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中小企业指符合下列条件的中型、小型、微型企业：</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①符合《工业和信息化部、国家统计局、国家发展和改革委员会、财政部关于印发中小企业划型标准规定的通知》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工信部联企业[2011]300号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规定的划分标准，但与大企业的负责人为同一人，或者与大企业存在直接控股、管理关系的除外；</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②符合中小企业划分标准的个体工商户，在政府采购活动中视同中小企业。</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在政府采购活动中，供应商提供的货物、工程或者服务符合下列情形的，享受本办法规定的中小企业扶持政策：</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①在货物采购项目中，货物由中小企业制造，即货物由中小企业生产且使用该中小企业商号或者注册商标；</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②在工程采购项目中，工程由中小企业承建，即工程施工单位为中小企业；</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③在服务采购项目中，服务由中小企业承接，即提供服务的人员为中小企业依照《中华人民共和国劳动合同法》订立劳动合同的从业人员。</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在货物采购项目中，供应商提供的货物既有中小企业制造货物，也有大型企业制造货物的，不享受本办法规定的中小企业扶持政策。</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投标人应当按照招标文件明确的采购标的对应行业的划分标准出具中小企业声明函。</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监狱企业指由司法部认定的为罪犯、戒毒人员提供生产项目和劳动对象，且全部产权属于司法部监狱管理局、戒毒管理局、直属煤矿管理局，各省、自治区、直辖市监狱管理局、戒毒管理局，各地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设区的市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监狱、强制隔离戒毒所、戒毒康复所，以及新疆生产建设兵团监狱管理局、戒毒管理局的企业，其中：</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①监狱企业参加采购活动时，应提供由省级以上监狱管理局、戒毒管理局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含新疆生产建设兵团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出具的属于监狱企业的证明文件。</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②监狱企业视同小型、微型企业。</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残疾人福利性单位指同时符合下列条件的单位：</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①安置的残疾人占本单位在职职工人数的比例不低于25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含25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，并且安置的残疾人人数不少于10人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含10人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②依法与安置的每位残疾人签订了一年以上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含一年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的劳动合同或服务协议；</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③为安置的每位残疾人按月足额缴纳了基本养老保险、基本医疗保险、失业保险、工伤保险和生育保险等社会保险费；</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④通过银行等金融机构向安置的每位残疾人，按月支付了不低于单位所在区县适用的经省级人民政府批准的月最低工资标准的工资；</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⑤提供本单位制造的货物、承担的工程或服务，或提供其他残疾人福利性单位制造的货物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不包括使用非残疾人福利性单位注册商标的货物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前款所称残疾人指法定劳动年龄内，持有《中华人民共和国残疾人证》或《中华人民共和国残疾军人证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1至8级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》的自然人，包括具有劳动条件和劳动意愿的精神残疾人。在职职工人数是指与残疾人福利性单位建立劳动关系并依法签订劳动合同或服务协议的雇员人数。</w:t>
      </w:r>
    </w:p>
    <w:p>
      <w:pPr>
        <w:pStyle w:val="21"/>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信用记录指由财政部确定的有关网站提供的相关主体信用信息。信用记录的查询及使用应符合财政部文件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财库[2016]125号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规定。</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17.5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为落实政府采购政策需满足的要求：详见招标文件第一章</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1"/>
        <w:rPr>
          <w:rFonts w:hint="eastAsia" w:ascii="宋体" w:hAnsi="宋体" w:eastAsia="宋体" w:cs="宋体"/>
          <w:b w:val="0"/>
          <w:bCs/>
          <w:color w:val="auto"/>
          <w:sz w:val="24"/>
          <w:szCs w:val="24"/>
          <w:highlight w:val="none"/>
        </w:rPr>
      </w:pPr>
      <w:bookmarkStart w:id="13" w:name="_Toc15789"/>
      <w:r>
        <w:rPr>
          <w:rFonts w:hint="eastAsia" w:ascii="宋体" w:hAnsi="宋体" w:eastAsia="宋体" w:cs="宋体"/>
          <w:b/>
          <w:bCs w:val="0"/>
          <w:color w:val="auto"/>
          <w:sz w:val="28"/>
          <w:szCs w:val="28"/>
          <w:highlight w:val="none"/>
        </w:rPr>
        <w:t>九、本项目的有关信息</w:t>
      </w:r>
      <w:bookmarkEnd w:id="13"/>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18、本项目的有关信息，包括但不限于：招标公告、更正公告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、招标文件、招标文件的澄清或修改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、中标公告、终止公告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、废标公告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等都将在招标文件载明的指定媒体发布。</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指定媒体：详见招标文件第二章。</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18.2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本项目的潜在投标人或投标人应随时关注指定媒体，否则产生不利后果由其自行承担</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1"/>
        <w:rPr>
          <w:rFonts w:hint="eastAsia" w:ascii="宋体" w:hAnsi="宋体" w:eastAsia="宋体" w:cs="宋体"/>
          <w:b w:val="0"/>
          <w:bCs/>
          <w:color w:val="auto"/>
          <w:sz w:val="28"/>
          <w:szCs w:val="28"/>
          <w:highlight w:val="none"/>
        </w:rPr>
      </w:pPr>
      <w:bookmarkStart w:id="14" w:name="_Toc32429"/>
      <w:r>
        <w:rPr>
          <w:rFonts w:hint="eastAsia" w:ascii="宋体" w:hAnsi="宋体" w:eastAsia="宋体" w:cs="宋体"/>
          <w:b/>
          <w:bCs w:val="0"/>
          <w:color w:val="auto"/>
          <w:sz w:val="28"/>
          <w:szCs w:val="28"/>
          <w:highlight w:val="none"/>
        </w:rPr>
        <w:t>十、其他事项</w:t>
      </w:r>
      <w:bookmarkEnd w:id="14"/>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19、其他事项：</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9.1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本项目中如涉及商品包装和快递包装的，其包装需求标准应不低于《关于印发〈商品包装政府采购需求标准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试行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〉、〈快递包装政府采购需求标准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试行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〉的通知》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财办库〔2020〕 123号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规定的包装要求，其他包装需求详见招标文件具体规定。采购人、中标人双方签订合同及验收环节，应包含上述包装要求的条款。</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其他：详见招标文件第二章</w:t>
      </w:r>
      <w:r>
        <w:rPr>
          <w:rFonts w:hint="eastAsia" w:ascii="宋体" w:hAnsi="宋体" w:eastAsia="宋体" w:cs="宋体"/>
          <w:b w:val="0"/>
          <w:bCs/>
          <w:color w:val="auto"/>
          <w:sz w:val="24"/>
          <w:szCs w:val="24"/>
          <w:highlight w:val="none"/>
        </w:rPr>
        <w:t>。</w:t>
      </w:r>
      <w:r>
        <w:rPr>
          <w:rFonts w:hint="eastAsia" w:ascii="宋体" w:hAnsi="宋体" w:eastAsia="宋体" w:cs="宋体"/>
          <w:b/>
          <w:color w:val="auto"/>
          <w:sz w:val="24"/>
          <w:szCs w:val="24"/>
          <w:highlight w:val="none"/>
        </w:rPr>
        <w:t xml:space="preserve"> </w:t>
      </w:r>
    </w:p>
    <w:p>
      <w:pPr>
        <w:keepNext w:val="0"/>
        <w:keepLines w:val="0"/>
        <w:pageBreakBefore w:val="0"/>
        <w:widowControl w:val="0"/>
        <w:kinsoku/>
        <w:overflowPunct/>
        <w:topLinePunct w:val="0"/>
        <w:autoSpaceDE/>
        <w:bidi w:val="0"/>
        <w:adjustRightInd/>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2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0"/>
        <w:rPr>
          <w:rFonts w:hint="eastAsia" w:ascii="宋体" w:hAnsi="宋体" w:eastAsia="宋体" w:cs="宋体"/>
          <w:color w:val="auto"/>
          <w:sz w:val="24"/>
          <w:szCs w:val="24"/>
          <w:highlight w:val="none"/>
        </w:rPr>
      </w:pPr>
      <w:bookmarkStart w:id="15" w:name="_Toc26047"/>
      <w:r>
        <w:rPr>
          <w:rFonts w:hint="eastAsia" w:ascii="宋体" w:hAnsi="宋体" w:eastAsia="宋体" w:cs="宋体"/>
          <w:b/>
          <w:color w:val="auto"/>
          <w:sz w:val="32"/>
          <w:szCs w:val="32"/>
          <w:highlight w:val="none"/>
        </w:rPr>
        <w:t>第四章</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资格审查与评标</w:t>
      </w:r>
      <w:bookmarkEnd w:id="15"/>
    </w:p>
    <w:p>
      <w:pPr>
        <w:pStyle w:val="2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1"/>
        <w:rPr>
          <w:rFonts w:hint="eastAsia" w:ascii="宋体" w:hAnsi="宋体" w:eastAsia="宋体" w:cs="宋体"/>
          <w:color w:val="auto"/>
          <w:sz w:val="24"/>
          <w:szCs w:val="24"/>
          <w:highlight w:val="none"/>
        </w:rPr>
      </w:pPr>
      <w:bookmarkStart w:id="16" w:name="_Toc29958"/>
      <w:r>
        <w:rPr>
          <w:rFonts w:hint="eastAsia" w:ascii="宋体" w:hAnsi="宋体" w:eastAsia="宋体" w:cs="宋体"/>
          <w:b/>
          <w:color w:val="auto"/>
          <w:sz w:val="28"/>
          <w:szCs w:val="28"/>
          <w:highlight w:val="none"/>
        </w:rPr>
        <w:t>一、资格审查</w:t>
      </w:r>
      <w:bookmarkEnd w:id="16"/>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1、开标结束后，由</w:t>
      </w:r>
      <w:r>
        <w:rPr>
          <w:rFonts w:hint="eastAsia" w:ascii="宋体" w:hAnsi="宋体" w:eastAsia="宋体" w:cs="宋体"/>
          <w:b w:val="0"/>
          <w:bCs/>
          <w:color w:val="auto"/>
          <w:sz w:val="24"/>
          <w:szCs w:val="24"/>
          <w:highlight w:val="none"/>
          <w:lang w:eastAsia="zh-CN"/>
        </w:rPr>
        <w:t>卓知项目管理顾问有限公司</w:t>
      </w:r>
      <w:r>
        <w:rPr>
          <w:rFonts w:hint="eastAsia" w:ascii="宋体" w:hAnsi="宋体" w:eastAsia="宋体" w:cs="宋体"/>
          <w:color w:val="auto"/>
          <w:sz w:val="24"/>
          <w:szCs w:val="24"/>
          <w:highlight w:val="none"/>
        </w:rPr>
        <w:t>负责资格审查小组的组建及资格审查工作的组织</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资格审查小组</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资格审查小组由3人组成，并负责具体审查事务，其中由采购人派出的采购人代表至少1人，由卓知项目管理顾问有限公司派出的工作人员至少1人，其余1人可为采购人代表或卓知项目管理顾问有限公司的工作人员。</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rPr>
        <w:t>资格审查的依据是招标文件和电子投标文件</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1.3</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rPr>
        <w:t>资格审查的范围及内容：电子投标文件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资格及资信证明部分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，具体如下</w:t>
      </w:r>
      <w:r>
        <w:rPr>
          <w:rFonts w:hint="eastAsia" w:ascii="宋体" w:hAnsi="宋体" w:eastAsia="宋体" w:cs="宋体"/>
          <w:b w:val="0"/>
          <w:bCs/>
          <w:color w:val="auto"/>
          <w:sz w:val="24"/>
          <w:szCs w:val="24"/>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“投标函”；</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的资格及资信证明文件”</w:t>
      </w:r>
      <w:r>
        <w:rPr>
          <w:rFonts w:hint="eastAsia" w:ascii="宋体" w:hAnsi="宋体" w:eastAsia="宋体" w:cs="宋体"/>
          <w:b w:val="0"/>
          <w:bCs/>
          <w:color w:val="auto"/>
          <w:sz w:val="24"/>
          <w:szCs w:val="24"/>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①一般资格证明文件：</w:t>
      </w:r>
    </w:p>
    <w:p>
      <w:pPr>
        <w:pStyle w:val="21"/>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采购包1：</w:t>
      </w:r>
    </w:p>
    <w:tbl>
      <w:tblPr>
        <w:tblStyle w:val="16"/>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1"/>
        <w:gridCol w:w="1923"/>
        <w:gridCol w:w="66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03"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1032"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资格审查</w:t>
            </w:r>
          </w:p>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要求概况</w:t>
            </w:r>
          </w:p>
        </w:tc>
        <w:tc>
          <w:tcPr>
            <w:tcW w:w="3564"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03"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32"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单位授权书</w:t>
            </w:r>
          </w:p>
        </w:tc>
        <w:tc>
          <w:tcPr>
            <w:tcW w:w="3564"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①投标人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自然人除外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03"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1032"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营业执照等证明文件</w:t>
            </w:r>
          </w:p>
        </w:tc>
        <w:tc>
          <w:tcPr>
            <w:tcW w:w="3564"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03"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1032"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color w:val="auto"/>
                <w:sz w:val="24"/>
                <w:szCs w:val="24"/>
                <w:highlight w:val="none"/>
              </w:rPr>
              <w:t>提供财务状况报告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财务报告、或资信证明</w:t>
            </w:r>
            <w:r>
              <w:rPr>
                <w:rFonts w:hint="eastAsia" w:ascii="宋体" w:hAnsi="宋体" w:eastAsia="宋体" w:cs="宋体"/>
                <w:color w:val="auto"/>
                <w:sz w:val="24"/>
                <w:szCs w:val="24"/>
                <w:highlight w:val="none"/>
                <w:lang w:eastAsia="zh-CN"/>
              </w:rPr>
              <w:t>）</w:t>
            </w:r>
          </w:p>
        </w:tc>
        <w:tc>
          <w:tcPr>
            <w:tcW w:w="3564"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①投标人提供的财务报告复印件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成立年限按照投标截止时间推算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应符合下列规定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a.成立年限满1年及以上的投标人，提供经审计的上一年度的年度财务报告。b.成立年限满半年但不足1年的投标人，提供该半年度中任一季度的季度财务报告或该半年度的半年度财务报告。c.无法按照以上a、b项规定提供财务报告复印件的投标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包括但不限于：成立年限满1年及以上的投标人、成立年限满半年但不足1年的投标人、成立年限不足半年的投标人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03"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1032"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依法缴纳税收证明材料</w:t>
            </w:r>
          </w:p>
        </w:tc>
        <w:tc>
          <w:tcPr>
            <w:tcW w:w="3564"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①投标人提供的税收缴纳凭据复印件应符合下列规定：a.投标截止时间前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不含投标截止时间的当月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已依法缴纳税收的投标人，提供投标截止时间前六个月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不含投标截止时间的当月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中任一月份的税收缴纳凭据复印件。b.投标截止时间的当月成立的投标人，视同满足本项资格条件要求。c.若为依法免税范围的投标人，提供依法免税证明材料的，视同满足本项资格条件要求。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03"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1032"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依法缴纳社会保障资金证明材料</w:t>
            </w:r>
          </w:p>
        </w:tc>
        <w:tc>
          <w:tcPr>
            <w:tcW w:w="3564"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①投标人提供的社会保障资金缴纳凭据复印件应符合下列规定：a.投标截止时间前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不含投标截止时间的当月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已依法缴纳社会保障资金的投标人，提供投标截止时间前六个月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不含投标截止时间的当月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任一月份的社会保障资金缴纳凭据复印件。b.投标截止时间的当月成立的投标人，视同满足本项资格条件要求。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03"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1032"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color w:val="auto"/>
                <w:sz w:val="24"/>
                <w:szCs w:val="24"/>
                <w:highlight w:val="none"/>
              </w:rPr>
              <w:t>具备履行合同所必需设备和专业技术能力的声明函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若有</w:t>
            </w:r>
            <w:r>
              <w:rPr>
                <w:rFonts w:hint="eastAsia" w:ascii="宋体" w:hAnsi="宋体" w:eastAsia="宋体" w:cs="宋体"/>
                <w:color w:val="auto"/>
                <w:sz w:val="24"/>
                <w:szCs w:val="24"/>
                <w:highlight w:val="none"/>
                <w:lang w:eastAsia="zh-CN"/>
              </w:rPr>
              <w:t>）</w:t>
            </w:r>
          </w:p>
        </w:tc>
        <w:tc>
          <w:tcPr>
            <w:tcW w:w="3564"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①招标文件未要求投标人提供“具备履行合同所必需的设备和专业技术能力专项证明材料”的，投标人应提供本声明函。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03"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c>
          <w:tcPr>
            <w:tcW w:w="1032"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参加采购活动前三年内在经营活动中没有重大违法记录的声明</w:t>
            </w:r>
          </w:p>
        </w:tc>
        <w:tc>
          <w:tcPr>
            <w:tcW w:w="3564"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03"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w:t>
            </w:r>
          </w:p>
        </w:tc>
        <w:tc>
          <w:tcPr>
            <w:tcW w:w="1923"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w:t>
            </w:r>
          </w:p>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查询结果</w:t>
            </w:r>
          </w:p>
        </w:tc>
        <w:tc>
          <w:tcPr>
            <w:tcW w:w="6641"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①信用记录查询的截止时点：信用记录查询的截止时点为本项目投标截止当日。 ②信用记录查询渠道：信用中国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、中国政府采购网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www.ccgp.gov.cn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③信用记录的查询：由资格审查小组通过上述网站查询并打印投标人的信用记录。 ④经查询，投标人参加本项目采购活动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投标截止时间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03"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w:t>
            </w:r>
          </w:p>
        </w:tc>
        <w:tc>
          <w:tcPr>
            <w:tcW w:w="1923"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color w:val="auto"/>
                <w:sz w:val="24"/>
                <w:szCs w:val="24"/>
                <w:highlight w:val="none"/>
              </w:rPr>
              <w:t>中小企业声明函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以资格条件落实中小企业扶持政策时适用</w:t>
            </w:r>
            <w:r>
              <w:rPr>
                <w:rFonts w:hint="eastAsia" w:ascii="宋体" w:hAnsi="宋体" w:eastAsia="宋体" w:cs="宋体"/>
                <w:color w:val="auto"/>
                <w:sz w:val="24"/>
                <w:szCs w:val="24"/>
                <w:highlight w:val="none"/>
                <w:lang w:eastAsia="zh-CN"/>
              </w:rPr>
              <w:t>）</w:t>
            </w:r>
          </w:p>
        </w:tc>
        <w:tc>
          <w:tcPr>
            <w:tcW w:w="6641" w:type="dxa"/>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2017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&gt;的通知》规定准确划分企业类型。本项目采购标的对应的中小企业划分标准所属行业详见特定资格条件。 ②投标人为监狱企业的，可不填写本声明函，根据其提供的由省级以上监狱管理局、戒毒管理局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含新疆生产建设兵团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03"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w:t>
            </w:r>
          </w:p>
        </w:tc>
        <w:tc>
          <w:tcPr>
            <w:tcW w:w="1032"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联合体协议</w:t>
            </w:r>
          </w:p>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若有</w:t>
            </w:r>
            <w:r>
              <w:rPr>
                <w:rFonts w:hint="eastAsia" w:ascii="宋体" w:hAnsi="宋体" w:eastAsia="宋体" w:cs="宋体"/>
                <w:b w:val="0"/>
                <w:bCs/>
                <w:color w:val="auto"/>
                <w:sz w:val="24"/>
                <w:szCs w:val="24"/>
                <w:highlight w:val="none"/>
                <w:lang w:eastAsia="zh-CN"/>
              </w:rPr>
              <w:t>）</w:t>
            </w:r>
          </w:p>
        </w:tc>
        <w:tc>
          <w:tcPr>
            <w:tcW w:w="3564"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w:t>
            </w:r>
            <w:r>
              <w:rPr>
                <w:rFonts w:hint="eastAsia" w:ascii="宋体" w:hAnsi="宋体" w:eastAsia="宋体" w:cs="宋体"/>
                <w:b w:val="0"/>
                <w:bCs/>
                <w:color w:val="auto"/>
                <w:sz w:val="24"/>
                <w:szCs w:val="24"/>
                <w:highlight w:val="none"/>
                <w:lang w:eastAsia="zh-CN"/>
              </w:rPr>
              <w:t>招标文件</w:t>
            </w:r>
            <w:r>
              <w:rPr>
                <w:rFonts w:hint="eastAsia" w:ascii="宋体" w:hAnsi="宋体" w:eastAsia="宋体" w:cs="宋体"/>
                <w:b w:val="0"/>
                <w:bCs/>
                <w:color w:val="auto"/>
                <w:sz w:val="24"/>
                <w:szCs w:val="24"/>
                <w:highlight w:val="none"/>
              </w:rPr>
              <w:t>接受联合体投标且</w:t>
            </w: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为联合体的，</w:t>
            </w: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应提供本协议；否则无须提供。②本协议由委托代理人签字或盖章的，应按照</w:t>
            </w:r>
            <w:r>
              <w:rPr>
                <w:rFonts w:hint="eastAsia" w:ascii="宋体" w:hAnsi="宋体" w:eastAsia="宋体" w:cs="宋体"/>
                <w:b w:val="0"/>
                <w:bCs/>
                <w:color w:val="auto"/>
                <w:sz w:val="24"/>
                <w:szCs w:val="24"/>
                <w:highlight w:val="none"/>
                <w:lang w:eastAsia="zh-CN"/>
              </w:rPr>
              <w:t>招标文件</w:t>
            </w:r>
            <w:r>
              <w:rPr>
                <w:rFonts w:hint="eastAsia" w:ascii="宋体" w:hAnsi="宋体" w:eastAsia="宋体" w:cs="宋体"/>
                <w:b w:val="0"/>
                <w:bCs/>
                <w:color w:val="auto"/>
                <w:sz w:val="24"/>
                <w:szCs w:val="24"/>
                <w:highlight w:val="none"/>
              </w:rPr>
              <w:t>第七章载明的格式提供“单位授权书”。</w:t>
            </w:r>
          </w:p>
        </w:tc>
      </w:tr>
    </w:tbl>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bCs/>
          <w:color w:val="auto"/>
          <w:sz w:val="24"/>
          <w:szCs w:val="24"/>
          <w:highlight w:val="none"/>
        </w:rPr>
      </w:pPr>
      <w:bookmarkStart w:id="17" w:name="OLE_LINK23"/>
      <w:r>
        <w:rPr>
          <w:rFonts w:hint="eastAsia" w:ascii="宋体" w:hAnsi="宋体" w:eastAsia="宋体" w:cs="宋体"/>
          <w:b/>
          <w:bCs/>
          <w:color w:val="auto"/>
          <w:sz w:val="24"/>
          <w:szCs w:val="24"/>
          <w:highlight w:val="none"/>
        </w:rPr>
        <w:t>※备注说明</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①投标人应根据自身实际情况提供上述资格要求的证明材料，格式可参考招标文件第七章提供。</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②投标人提供的相应证明材料复印件均应符合：内容完整、清晰、整洁，并由投标人加盖其单位公章。</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③根据招标文件第四章第一点资格审查的1.3“④其他资格证明文件”要求，允许供应商采用资格承诺制的并提供符合要求的资格承诺函，视为满足招标文件的资格要求。</w:t>
      </w:r>
    </w:p>
    <w:bookmarkEnd w:id="17"/>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④其他资格证明文件：</w:t>
      </w:r>
    </w:p>
    <w:p>
      <w:pPr>
        <w:pStyle w:val="21"/>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采购包1：</w:t>
      </w:r>
    </w:p>
    <w:tbl>
      <w:tblPr>
        <w:tblStyle w:val="16"/>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08"/>
        <w:gridCol w:w="71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1185"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资格审查要求概况</w:t>
            </w:r>
          </w:p>
        </w:tc>
        <w:tc>
          <w:tcPr>
            <w:tcW w:w="3814"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1185" w:type="pct"/>
            <w:vAlign w:val="center"/>
          </w:tcPr>
          <w:p>
            <w:pPr>
              <w:pStyle w:val="21"/>
              <w:keepNext w:val="0"/>
              <w:keepLines w:val="0"/>
              <w:pageBreakBefore w:val="0"/>
              <w:widowControl w:val="0"/>
              <w:kinsoku/>
              <w:overflowPunct/>
              <w:topLinePunct w:val="0"/>
              <w:autoSpaceDE/>
              <w:bidi w:val="0"/>
              <w:adjustRightInd/>
              <w:spacing w:line="5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资格承诺函</w:t>
            </w:r>
          </w:p>
        </w:tc>
        <w:tc>
          <w:tcPr>
            <w:tcW w:w="3814" w:type="pct"/>
            <w:vAlign w:val="top"/>
          </w:tcPr>
          <w:p>
            <w:pPr>
              <w:pStyle w:val="21"/>
              <w:keepNext w:val="0"/>
              <w:keepLines w:val="0"/>
              <w:pageBreakBefore w:val="0"/>
              <w:widowControl w:val="0"/>
              <w:kinsoku/>
              <w:overflowPunct/>
              <w:topLinePunct w:val="0"/>
              <w:autoSpaceDE/>
              <w:bidi w:val="0"/>
              <w:adjustRightInd/>
              <w:spacing w:line="50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本采购包允许投标人采用资格承诺制。采用资格承诺制的投标人，应当根据投标（响应）格式文件要求提供资格承诺函，无需提供《政府采购法实施条例》第十七条第一款规定的一般资格条件证明材料；资格承诺函不符合招标文件要求的，视为未按照招标文件规定提交投标人的资格及资信文件，按资格审查不合格处理。</w:t>
            </w:r>
          </w:p>
          <w:p>
            <w:pPr>
              <w:pStyle w:val="21"/>
              <w:keepNext w:val="0"/>
              <w:keepLines w:val="0"/>
              <w:pageBreakBefore w:val="0"/>
              <w:widowControl w:val="0"/>
              <w:kinsoku/>
              <w:overflowPunct/>
              <w:topLinePunct w:val="0"/>
              <w:autoSpaceDE/>
              <w:bidi w:val="0"/>
              <w:adjustRightInd/>
              <w:spacing w:line="50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②采购项目有特殊资格要求的，投标人还应按要求提供相应的证明材料。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1185" w:type="pct"/>
            <w:vAlign w:val="center"/>
          </w:tcPr>
          <w:p>
            <w:pPr>
              <w:pStyle w:val="21"/>
              <w:keepNext w:val="0"/>
              <w:keepLines w:val="0"/>
              <w:pageBreakBefore w:val="0"/>
              <w:widowControl w:val="0"/>
              <w:kinsoku/>
              <w:overflowPunct/>
              <w:topLinePunct w:val="0"/>
              <w:autoSpaceDE/>
              <w:bidi w:val="0"/>
              <w:adjustRightInd/>
              <w:spacing w:line="5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企业资质</w:t>
            </w:r>
          </w:p>
        </w:tc>
        <w:tc>
          <w:tcPr>
            <w:tcW w:w="3814" w:type="pct"/>
            <w:shd w:val="clear" w:color="auto" w:fill="auto"/>
            <w:vAlign w:val="top"/>
          </w:tcPr>
          <w:p>
            <w:pPr>
              <w:pStyle w:val="21"/>
              <w:widowControl w:val="0"/>
              <w:spacing w:line="50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lang w:val="en-US" w:eastAsia="zh-CN"/>
              </w:rPr>
              <w:t>应具备</w:t>
            </w:r>
            <w:r>
              <w:rPr>
                <w:rFonts w:ascii="宋体" w:hAnsi="宋体" w:eastAsia="宋体" w:cs="宋体"/>
                <w:color w:val="auto"/>
                <w:sz w:val="24"/>
                <w:szCs w:val="24"/>
                <w:highlight w:val="none"/>
                <w:lang w:eastAsia="zh-CN"/>
              </w:rPr>
              <w:t>有效的</w:t>
            </w:r>
            <w:r>
              <w:rPr>
                <w:rFonts w:hint="default" w:ascii="宋体" w:hAnsi="宋体" w:eastAsia="宋体" w:cs="宋体"/>
                <w:color w:val="auto"/>
                <w:sz w:val="24"/>
                <w:szCs w:val="24"/>
                <w:highlight w:val="none"/>
                <w:lang w:eastAsia="zh-CN"/>
              </w:rPr>
              <w:t>自然资源主管部门颁发的工程测量专业测绘乙级</w:t>
            </w:r>
            <w:r>
              <w:rPr>
                <w:rFonts w:hint="eastAsia" w:ascii="宋体" w:hAnsi="宋体" w:eastAsia="宋体" w:cs="宋体"/>
                <w:color w:val="auto"/>
                <w:sz w:val="24"/>
                <w:szCs w:val="24"/>
                <w:highlight w:val="none"/>
                <w:lang w:val="en-US" w:eastAsia="zh-CN"/>
              </w:rPr>
              <w:t>及以上</w:t>
            </w:r>
            <w:r>
              <w:rPr>
                <w:rFonts w:hint="default" w:ascii="宋体" w:hAnsi="宋体" w:eastAsia="宋体" w:cs="宋体"/>
                <w:color w:val="auto"/>
                <w:sz w:val="24"/>
                <w:szCs w:val="24"/>
                <w:highlight w:val="none"/>
                <w:lang w:eastAsia="zh-CN"/>
              </w:rPr>
              <w:t>资质，须提供有效证书复印件。</w:t>
            </w:r>
          </w:p>
          <w:p>
            <w:pPr>
              <w:pStyle w:val="21"/>
              <w:widowControl w:val="0"/>
              <w:spacing w:line="50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lang w:eastAsia="zh-CN"/>
              </w:rPr>
              <w:t>投标人应具备有效的建设行政主管部门核发的工程设计综合甲级或工程设计水利行业甲级</w:t>
            </w:r>
            <w:r>
              <w:rPr>
                <w:rFonts w:hint="default" w:ascii="宋体" w:hAnsi="宋体" w:eastAsia="宋体" w:cs="宋体"/>
                <w:color w:val="auto"/>
                <w:sz w:val="24"/>
                <w:szCs w:val="24"/>
                <w:highlight w:val="none"/>
                <w:lang w:eastAsia="zh-CN"/>
              </w:rPr>
              <w:t>资质，须提供有效证书复印件。</w:t>
            </w:r>
          </w:p>
        </w:tc>
      </w:tr>
    </w:tbl>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投标保证金。</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rPr>
        <w:t>有下列情形之一的，资格审查不合格</w:t>
      </w:r>
      <w:r>
        <w:rPr>
          <w:rFonts w:hint="eastAsia" w:ascii="宋体" w:hAnsi="宋体" w:eastAsia="宋体" w:cs="宋体"/>
          <w:b w:val="0"/>
          <w:bCs/>
          <w:color w:val="auto"/>
          <w:sz w:val="24"/>
          <w:szCs w:val="24"/>
          <w:highlight w:val="none"/>
        </w:rPr>
        <w:t>：</w:t>
      </w:r>
    </w:p>
    <w:tbl>
      <w:tblPr>
        <w:tblStyle w:val="1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5000"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5000"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未按照</w:t>
            </w:r>
            <w:r>
              <w:rPr>
                <w:rFonts w:hint="eastAsia" w:ascii="宋体" w:hAnsi="宋体" w:eastAsia="宋体" w:cs="宋体"/>
                <w:b/>
                <w:color w:val="auto"/>
                <w:sz w:val="24"/>
                <w:szCs w:val="24"/>
                <w:highlight w:val="none"/>
                <w:lang w:eastAsia="zh-CN"/>
              </w:rPr>
              <w:t>招标文件</w:t>
            </w:r>
            <w:r>
              <w:rPr>
                <w:rFonts w:hint="eastAsia" w:ascii="宋体" w:hAnsi="宋体" w:eastAsia="宋体" w:cs="宋体"/>
                <w:b/>
                <w:color w:val="auto"/>
                <w:sz w:val="24"/>
                <w:szCs w:val="24"/>
                <w:highlight w:val="none"/>
              </w:rPr>
              <w:t>规定提交投标函</w:t>
            </w:r>
            <w:r>
              <w:rPr>
                <w:rFonts w:hint="eastAsia" w:ascii="宋体" w:hAnsi="宋体" w:eastAsia="宋体" w:cs="宋体"/>
                <w:b/>
                <w:color w:val="auto"/>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5000"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未按照</w:t>
            </w:r>
            <w:r>
              <w:rPr>
                <w:rFonts w:hint="eastAsia" w:ascii="宋体" w:hAnsi="宋体" w:eastAsia="宋体" w:cs="宋体"/>
                <w:b/>
                <w:color w:val="auto"/>
                <w:sz w:val="24"/>
                <w:szCs w:val="24"/>
                <w:highlight w:val="none"/>
                <w:lang w:eastAsia="zh-CN"/>
              </w:rPr>
              <w:t>招标文件</w:t>
            </w:r>
            <w:r>
              <w:rPr>
                <w:rFonts w:hint="eastAsia" w:ascii="宋体" w:hAnsi="宋体" w:eastAsia="宋体" w:cs="宋体"/>
                <w:b/>
                <w:color w:val="auto"/>
                <w:sz w:val="24"/>
                <w:szCs w:val="24"/>
                <w:highlight w:val="none"/>
              </w:rPr>
              <w:t>规定提交</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的资格及资信文件</w:t>
            </w:r>
            <w:r>
              <w:rPr>
                <w:rFonts w:hint="eastAsia" w:ascii="宋体" w:hAnsi="宋体" w:eastAsia="宋体" w:cs="宋体"/>
                <w:b/>
                <w:color w:val="auto"/>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5000"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未按照</w:t>
            </w:r>
            <w:r>
              <w:rPr>
                <w:rFonts w:hint="eastAsia" w:ascii="宋体" w:hAnsi="宋体" w:eastAsia="宋体" w:cs="宋体"/>
                <w:b/>
                <w:color w:val="auto"/>
                <w:sz w:val="24"/>
                <w:szCs w:val="24"/>
                <w:highlight w:val="none"/>
                <w:lang w:eastAsia="zh-CN"/>
              </w:rPr>
              <w:t>招标文件</w:t>
            </w:r>
            <w:r>
              <w:rPr>
                <w:rFonts w:hint="eastAsia" w:ascii="宋体" w:hAnsi="宋体" w:eastAsia="宋体" w:cs="宋体"/>
                <w:b/>
                <w:color w:val="auto"/>
                <w:sz w:val="24"/>
                <w:szCs w:val="24"/>
                <w:highlight w:val="none"/>
              </w:rPr>
              <w:t>规定提交投标保证金</w:t>
            </w:r>
            <w:r>
              <w:rPr>
                <w:rFonts w:hint="eastAsia" w:ascii="宋体" w:hAnsi="宋体" w:eastAsia="宋体" w:cs="宋体"/>
                <w:b/>
                <w:color w:val="auto"/>
                <w:sz w:val="24"/>
                <w:szCs w:val="24"/>
                <w:highlight w:val="none"/>
                <w:lang w:eastAsia="zh-CN"/>
              </w:rPr>
              <w:t>。</w:t>
            </w:r>
          </w:p>
        </w:tc>
      </w:tr>
    </w:tbl>
    <w:p>
      <w:pPr>
        <w:pStyle w:val="21"/>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采购包1：</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资格审查不合格项：</w:t>
      </w:r>
    </w:p>
    <w:tbl>
      <w:tblPr>
        <w:tblStyle w:val="16"/>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26"/>
        <w:gridCol w:w="80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658"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情形</w:t>
            </w:r>
          </w:p>
        </w:tc>
        <w:tc>
          <w:tcPr>
            <w:tcW w:w="4341"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658"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其他情形</w:t>
            </w:r>
          </w:p>
        </w:tc>
        <w:tc>
          <w:tcPr>
            <w:tcW w:w="4341"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资格及资信证明部分中出现报价部分的全部或部分的投标报价信息</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或组成资料</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的，</w:t>
            </w:r>
            <w:r>
              <w:rPr>
                <w:rFonts w:hint="eastAsia" w:ascii="宋体" w:hAnsi="宋体" w:eastAsia="宋体" w:cs="宋体"/>
                <w:b/>
                <w:bCs/>
                <w:color w:val="auto"/>
                <w:sz w:val="24"/>
                <w:szCs w:val="24"/>
                <w:highlight w:val="none"/>
                <w:shd w:val="clear" w:color="auto" w:fill="FFFFFF"/>
              </w:rPr>
              <w:t>即视为</w:t>
            </w:r>
            <w:r>
              <w:rPr>
                <w:rFonts w:hint="eastAsia" w:ascii="宋体" w:hAnsi="宋体" w:eastAsia="宋体" w:cs="宋体"/>
                <w:b/>
                <w:bCs/>
                <w:color w:val="auto"/>
                <w:sz w:val="24"/>
                <w:szCs w:val="24"/>
                <w:highlight w:val="none"/>
                <w:shd w:val="clear" w:color="auto" w:fill="FFFFFF"/>
                <w:lang w:val="en-US" w:eastAsia="zh-CN"/>
              </w:rPr>
              <w:t>资格</w:t>
            </w:r>
            <w:r>
              <w:rPr>
                <w:rFonts w:hint="eastAsia" w:ascii="宋体" w:hAnsi="宋体" w:eastAsia="宋体" w:cs="宋体"/>
                <w:b/>
                <w:bCs/>
                <w:color w:val="auto"/>
                <w:sz w:val="24"/>
                <w:szCs w:val="24"/>
                <w:highlight w:val="none"/>
                <w:shd w:val="clear" w:color="auto" w:fill="FFFFFF"/>
              </w:rPr>
              <w:t>审查不合格，按无效投标处理。</w:t>
            </w:r>
          </w:p>
        </w:tc>
      </w:tr>
    </w:tbl>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rPr>
        <w:t>若本项目接受联合体投标且投标人为联合体，联合体中有同类资质的供应商按照联合体分工承担相同工作的，应先按照资质等级较低的供应商确定资质等级，再按照本章第1.2、1.3、1.4条规定进行资格审查</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2、资格审查情况不得私自外泄，有关信息由</w:t>
      </w:r>
      <w:r>
        <w:rPr>
          <w:rFonts w:hint="eastAsia" w:ascii="宋体" w:hAnsi="宋体" w:eastAsia="宋体" w:cs="宋体"/>
          <w:b w:val="0"/>
          <w:bCs/>
          <w:color w:val="auto"/>
          <w:sz w:val="24"/>
          <w:szCs w:val="24"/>
          <w:highlight w:val="none"/>
          <w:lang w:eastAsia="zh-CN"/>
        </w:rPr>
        <w:t>卓知项目管理顾问有限公司</w:t>
      </w:r>
      <w:r>
        <w:rPr>
          <w:rFonts w:hint="eastAsia" w:ascii="宋体" w:hAnsi="宋体" w:eastAsia="宋体" w:cs="宋体"/>
          <w:b w:val="0"/>
          <w:bCs/>
          <w:color w:val="auto"/>
          <w:sz w:val="24"/>
          <w:szCs w:val="24"/>
          <w:highlight w:val="none"/>
        </w:rPr>
        <w:t>统一对外发布。</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3、资格审查合格的</w:t>
      </w: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不足三家的，不进行评标。同时，本次采购活动结束，</w:t>
      </w:r>
      <w:r>
        <w:rPr>
          <w:rFonts w:hint="eastAsia" w:ascii="宋体" w:hAnsi="宋体" w:eastAsia="宋体" w:cs="宋体"/>
          <w:b w:val="0"/>
          <w:bCs/>
          <w:color w:val="auto"/>
          <w:sz w:val="24"/>
          <w:szCs w:val="24"/>
          <w:highlight w:val="none"/>
          <w:lang w:eastAsia="zh-CN"/>
        </w:rPr>
        <w:t>卓知项目管理顾问有限公司</w:t>
      </w:r>
      <w:r>
        <w:rPr>
          <w:rFonts w:hint="eastAsia" w:ascii="宋体" w:hAnsi="宋体" w:eastAsia="宋体" w:cs="宋体"/>
          <w:b w:val="0"/>
          <w:bCs/>
          <w:color w:val="auto"/>
          <w:sz w:val="24"/>
          <w:szCs w:val="24"/>
          <w:highlight w:val="none"/>
        </w:rPr>
        <w:t>将依法组织后续采购活动</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包括但不限于：重新招标、采用其他方式采购等</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1"/>
        <w:rPr>
          <w:rFonts w:hint="eastAsia" w:ascii="宋体" w:hAnsi="宋体" w:eastAsia="宋体" w:cs="宋体"/>
          <w:b w:val="0"/>
          <w:bCs/>
          <w:color w:val="auto"/>
          <w:sz w:val="24"/>
          <w:szCs w:val="24"/>
          <w:highlight w:val="none"/>
        </w:rPr>
      </w:pPr>
      <w:bookmarkStart w:id="18" w:name="_Toc29098"/>
      <w:r>
        <w:rPr>
          <w:rFonts w:hint="eastAsia" w:ascii="宋体" w:hAnsi="宋体" w:eastAsia="宋体" w:cs="宋体"/>
          <w:b/>
          <w:bCs w:val="0"/>
          <w:color w:val="auto"/>
          <w:sz w:val="28"/>
          <w:szCs w:val="28"/>
          <w:highlight w:val="none"/>
        </w:rPr>
        <w:t>二、评标</w:t>
      </w:r>
      <w:bookmarkEnd w:id="18"/>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4、资格审查结束后，由</w:t>
      </w:r>
      <w:r>
        <w:rPr>
          <w:rFonts w:hint="eastAsia" w:ascii="宋体" w:hAnsi="宋体" w:eastAsia="宋体" w:cs="宋体"/>
          <w:b w:val="0"/>
          <w:bCs/>
          <w:color w:val="auto"/>
          <w:sz w:val="24"/>
          <w:szCs w:val="24"/>
          <w:highlight w:val="none"/>
          <w:lang w:eastAsia="zh-CN"/>
        </w:rPr>
        <w:t>卓知项目管理顾问有限公司</w:t>
      </w:r>
      <w:r>
        <w:rPr>
          <w:rFonts w:hint="eastAsia" w:ascii="宋体" w:hAnsi="宋体" w:eastAsia="宋体" w:cs="宋体"/>
          <w:color w:val="auto"/>
          <w:sz w:val="24"/>
          <w:szCs w:val="24"/>
          <w:highlight w:val="none"/>
        </w:rPr>
        <w:t>负责评标委员会的组建及评标工作的组织</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5、评标委员会</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由采购人代表和评审专家两部分共</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人组成，其中由福建省政府采购评审专家库产生的评审专家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人，由采购人派出的采购人代表</w:t>
      </w:r>
      <w:r>
        <w:rPr>
          <w:rFonts w:hint="eastAsia" w:ascii="宋体" w:hAnsi="宋体" w:eastAsia="宋体" w:cs="宋体"/>
          <w:color w:val="auto"/>
          <w:sz w:val="24"/>
          <w:szCs w:val="24"/>
          <w:highlight w:val="none"/>
          <w:lang w:val="en-US" w:eastAsia="zh-CN"/>
        </w:rPr>
        <w:t>1人</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5.2</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评标委员会负责具体评标事务，并按照下列原则依法独立履行有关职责：</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sz w:val="24"/>
          <w:szCs w:val="24"/>
          <w:highlight w:val="none"/>
        </w:rPr>
        <w:t>评标应保护国家利益、社会公共利益和各方当事人合法权益，提高采购效益，保证项目质量</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sz w:val="24"/>
          <w:szCs w:val="24"/>
          <w:highlight w:val="none"/>
        </w:rPr>
        <w:t>评标应遵循公平、公正、科学、严谨和择优原则</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sz w:val="24"/>
          <w:szCs w:val="24"/>
          <w:highlight w:val="none"/>
        </w:rPr>
        <w:t>评标的依据是招标文件和电子投标文件</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4</w:t>
      </w: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sz w:val="24"/>
          <w:szCs w:val="24"/>
          <w:highlight w:val="none"/>
        </w:rPr>
        <w:t>应按照招标文件规定推荐中标候选人或确定中标人</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5</w:t>
      </w: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sz w:val="24"/>
          <w:szCs w:val="24"/>
          <w:highlight w:val="none"/>
        </w:rPr>
        <w:t>评标应遵守下列评标纪律</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w:t>
      </w:r>
      <w:r>
        <w:rPr>
          <w:rFonts w:hint="eastAsia" w:ascii="宋体" w:hAnsi="宋体" w:eastAsia="宋体" w:cs="宋体"/>
          <w:color w:val="auto"/>
          <w:sz w:val="24"/>
          <w:szCs w:val="24"/>
          <w:highlight w:val="none"/>
        </w:rPr>
        <w:t>评标情况不得私自外泄，有关信息由</w:t>
      </w:r>
      <w:r>
        <w:rPr>
          <w:rFonts w:hint="eastAsia" w:ascii="宋体" w:hAnsi="宋体" w:eastAsia="宋体" w:cs="宋体"/>
          <w:b w:val="0"/>
          <w:bCs/>
          <w:color w:val="auto"/>
          <w:sz w:val="24"/>
          <w:szCs w:val="24"/>
          <w:highlight w:val="none"/>
          <w:lang w:eastAsia="zh-CN"/>
        </w:rPr>
        <w:t>卓知项目管理顾问有限公司</w:t>
      </w:r>
      <w:r>
        <w:rPr>
          <w:rFonts w:hint="eastAsia" w:ascii="宋体" w:hAnsi="宋体" w:eastAsia="宋体" w:cs="宋体"/>
          <w:color w:val="auto"/>
          <w:sz w:val="24"/>
          <w:szCs w:val="24"/>
          <w:highlight w:val="none"/>
        </w:rPr>
        <w:t>统一对外发布</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②对</w:t>
      </w:r>
      <w:r>
        <w:rPr>
          <w:rFonts w:hint="eastAsia" w:ascii="宋体" w:hAnsi="宋体" w:eastAsia="宋体" w:cs="宋体"/>
          <w:b w:val="0"/>
          <w:bCs/>
          <w:color w:val="auto"/>
          <w:sz w:val="24"/>
          <w:szCs w:val="24"/>
          <w:highlight w:val="none"/>
          <w:lang w:eastAsia="zh-CN"/>
        </w:rPr>
        <w:t>卓知项目管理顾问有限公司</w:t>
      </w:r>
      <w:r>
        <w:rPr>
          <w:rFonts w:hint="eastAsia" w:ascii="宋体" w:hAnsi="宋体" w:eastAsia="宋体" w:cs="宋体"/>
          <w:color w:val="auto"/>
          <w:sz w:val="24"/>
          <w:szCs w:val="24"/>
          <w:highlight w:val="none"/>
        </w:rPr>
        <w:t>或投标人提供的要求保密的资料，不得摘记翻印和外传</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w:t>
      </w:r>
      <w:r>
        <w:rPr>
          <w:rFonts w:hint="eastAsia" w:ascii="宋体" w:hAnsi="宋体" w:eastAsia="宋体" w:cs="宋体"/>
          <w:color w:val="auto"/>
          <w:sz w:val="24"/>
          <w:szCs w:val="24"/>
          <w:highlight w:val="none"/>
        </w:rPr>
        <w:t>不得收受投标人或有关人员的任何礼物，不得串联鼓动其他人袒护某投标人。若与投标人存在利害关系，则应主动声明并回避</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w:t>
      </w:r>
      <w:r>
        <w:rPr>
          <w:rFonts w:hint="eastAsia" w:ascii="宋体" w:hAnsi="宋体" w:eastAsia="宋体" w:cs="宋体"/>
          <w:color w:val="auto"/>
          <w:sz w:val="24"/>
          <w:szCs w:val="24"/>
          <w:highlight w:val="none"/>
        </w:rPr>
        <w:t>全体评委应按照招标文件规定进行评标，一切认定事项应查有实据且不得弄虚作假</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⑤</w:t>
      </w:r>
      <w:r>
        <w:rPr>
          <w:rFonts w:hint="eastAsia" w:ascii="宋体" w:hAnsi="宋体" w:eastAsia="宋体" w:cs="宋体"/>
          <w:color w:val="auto"/>
          <w:sz w:val="24"/>
          <w:szCs w:val="24"/>
          <w:highlight w:val="none"/>
        </w:rPr>
        <w:t>评标中应充分发扬民主，推荐中标候选人或确定中标人后要服从评标报告</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color w:val="auto"/>
          <w:sz w:val="24"/>
          <w:szCs w:val="24"/>
          <w:highlight w:val="none"/>
        </w:rPr>
        <w:t>※对违反评标纪律的评委，将取消其评委资格，对评标工作造成严重损失者将予以通报批评乃至追究法律责任</w:t>
      </w:r>
      <w:r>
        <w:rPr>
          <w:rFonts w:hint="eastAsia" w:ascii="宋体" w:hAnsi="宋体" w:eastAsia="宋体" w:cs="宋体"/>
          <w:b/>
          <w:bCs w:val="0"/>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6、评标程序</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6.1</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评标前的准备工作</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全体评委应认真审阅招标文件，了解评委应履行或遵守的职责、义务和评标纪律。</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参加评标委员会的采购人代表可对本项目的背景和采购需求进行介绍，介绍材料应以书面形式提交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随采购文件一并存档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，介绍内容不得含有歧视性、倾向性意见，不得超出招标文件所述范围</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6.2</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符合性审查</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评标委员会依据招标文件的实质性要求，对通过资格审查的电子投标文件进行符合性审查，以确定其是否满足招标文件的实质性要求。</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满足招标文件的实质性要求指电子投标文件对招标文件实质性要求的响应不存在重大偏差或保留。</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评标委员会审查判断电子投标文件是否满足招标文件的实质性要求仅基于电子投标文件本身而不寻求其他的外部证据。未满足招标文件实质性要求的电子投标文件将被评标委员会否决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即符合性审查不合格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，被否决的电子投标文件不能通过补充、修改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澄清、说明或补正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等方式重新成为满足招标文件实质性要求的电子投标文件。</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评标委员会对所有投标人都执行相同的程序和标准。</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有下列情形之一的，符合性审查不合格</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①项目一般情形：</w:t>
      </w:r>
    </w:p>
    <w:p>
      <w:pPr>
        <w:pStyle w:val="21"/>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采购包1：</w:t>
      </w:r>
    </w:p>
    <w:tbl>
      <w:tblPr>
        <w:tblStyle w:val="16"/>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5"/>
        <w:gridCol w:w="2330"/>
        <w:gridCol w:w="58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588"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1250"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符合审查要求概况</w:t>
            </w:r>
          </w:p>
        </w:tc>
        <w:tc>
          <w:tcPr>
            <w:tcW w:w="3160"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588"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250"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情形1</w:t>
            </w:r>
          </w:p>
        </w:tc>
        <w:tc>
          <w:tcPr>
            <w:tcW w:w="3160"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违反</w:t>
            </w:r>
            <w:r>
              <w:rPr>
                <w:rFonts w:hint="eastAsia" w:ascii="宋体" w:hAnsi="宋体" w:eastAsia="宋体" w:cs="宋体"/>
                <w:b w:val="0"/>
                <w:bCs/>
                <w:color w:val="auto"/>
                <w:sz w:val="24"/>
                <w:szCs w:val="24"/>
                <w:highlight w:val="none"/>
                <w:lang w:eastAsia="zh-CN"/>
              </w:rPr>
              <w:t>招标文件</w:t>
            </w:r>
            <w:r>
              <w:rPr>
                <w:rFonts w:hint="eastAsia" w:ascii="宋体" w:hAnsi="宋体" w:eastAsia="宋体" w:cs="宋体"/>
                <w:b w:val="0"/>
                <w:bCs/>
                <w:color w:val="auto"/>
                <w:sz w:val="24"/>
                <w:szCs w:val="24"/>
                <w:highlight w:val="none"/>
              </w:rPr>
              <w:t>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588"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1250"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情形2</w:t>
            </w:r>
          </w:p>
        </w:tc>
        <w:tc>
          <w:tcPr>
            <w:tcW w:w="3160"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属于</w:t>
            </w:r>
            <w:r>
              <w:rPr>
                <w:rFonts w:hint="eastAsia" w:ascii="宋体" w:hAnsi="宋体" w:eastAsia="宋体" w:cs="宋体"/>
                <w:b w:val="0"/>
                <w:bCs/>
                <w:color w:val="auto"/>
                <w:sz w:val="24"/>
                <w:szCs w:val="24"/>
                <w:highlight w:val="none"/>
                <w:lang w:eastAsia="zh-CN"/>
              </w:rPr>
              <w:t>招标文件</w:t>
            </w:r>
            <w:r>
              <w:rPr>
                <w:rFonts w:hint="eastAsia" w:ascii="宋体" w:hAnsi="宋体" w:eastAsia="宋体" w:cs="宋体"/>
                <w:b w:val="0"/>
                <w:bCs/>
                <w:color w:val="auto"/>
                <w:sz w:val="24"/>
                <w:szCs w:val="24"/>
                <w:highlight w:val="none"/>
              </w:rPr>
              <w:t>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588"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1250"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情形3</w:t>
            </w:r>
          </w:p>
        </w:tc>
        <w:tc>
          <w:tcPr>
            <w:tcW w:w="3160"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投标文件对</w:t>
            </w:r>
            <w:r>
              <w:rPr>
                <w:rFonts w:hint="eastAsia" w:ascii="宋体" w:hAnsi="宋体" w:eastAsia="宋体" w:cs="宋体"/>
                <w:b w:val="0"/>
                <w:bCs/>
                <w:color w:val="auto"/>
                <w:sz w:val="24"/>
                <w:szCs w:val="24"/>
                <w:highlight w:val="none"/>
                <w:lang w:eastAsia="zh-CN"/>
              </w:rPr>
              <w:t>招标文件</w:t>
            </w:r>
            <w:r>
              <w:rPr>
                <w:rFonts w:hint="eastAsia" w:ascii="宋体" w:hAnsi="宋体" w:eastAsia="宋体" w:cs="宋体"/>
                <w:b w:val="0"/>
                <w:bCs/>
                <w:color w:val="auto"/>
                <w:sz w:val="24"/>
                <w:szCs w:val="24"/>
                <w:highlight w:val="none"/>
              </w:rPr>
              <w:t>实质性要求的响应存在重大偏离或保留。</w:t>
            </w:r>
          </w:p>
        </w:tc>
      </w:tr>
    </w:tbl>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②本项目规定的其他情形：</w:t>
      </w:r>
    </w:p>
    <w:p>
      <w:pPr>
        <w:pStyle w:val="21"/>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采购包1：</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技术符合性</w:t>
      </w:r>
    </w:p>
    <w:tbl>
      <w:tblPr>
        <w:tblStyle w:val="16"/>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65"/>
        <w:gridCol w:w="75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947"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情形</w:t>
            </w:r>
          </w:p>
        </w:tc>
        <w:tc>
          <w:tcPr>
            <w:tcW w:w="4052"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947"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其他情形</w:t>
            </w:r>
          </w:p>
        </w:tc>
        <w:tc>
          <w:tcPr>
            <w:tcW w:w="4052"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技术部分中出现报价部分的全部或部分的投标报价信息</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或组成资料</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的，即视为技术符合性审查不合格，</w:t>
            </w:r>
            <w:r>
              <w:rPr>
                <w:rFonts w:hint="eastAsia" w:ascii="宋体" w:hAnsi="宋体" w:eastAsia="宋体" w:cs="宋体"/>
                <w:b/>
                <w:bCs/>
                <w:color w:val="auto"/>
                <w:sz w:val="24"/>
                <w:szCs w:val="24"/>
                <w:highlight w:val="none"/>
                <w:shd w:val="clear" w:color="auto" w:fill="FFFFFF"/>
              </w:rPr>
              <w:t>按无效投标处理。</w:t>
            </w:r>
          </w:p>
        </w:tc>
      </w:tr>
    </w:tbl>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商务符合性</w:t>
      </w:r>
    </w:p>
    <w:tbl>
      <w:tblPr>
        <w:tblStyle w:val="16"/>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35"/>
        <w:gridCol w:w="75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931"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情形</w:t>
            </w:r>
          </w:p>
        </w:tc>
        <w:tc>
          <w:tcPr>
            <w:tcW w:w="4068"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931"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其他情形</w:t>
            </w:r>
          </w:p>
        </w:tc>
        <w:tc>
          <w:tcPr>
            <w:tcW w:w="4068" w:type="pct"/>
            <w:vAlign w:val="center"/>
          </w:tcPr>
          <w:p>
            <w:pPr>
              <w:keepNext w:val="0"/>
              <w:keepLines w:val="0"/>
              <w:pageBreakBefore w:val="0"/>
              <w:widowControl w:val="0"/>
              <w:kinsoku/>
              <w:overflowPunct/>
              <w:topLinePunct w:val="0"/>
              <w:autoSpaceDE/>
              <w:autoSpaceDN w:val="0"/>
              <w:bidi w:val="0"/>
              <w:adjustRightInd/>
              <w:spacing w:line="500" w:lineRule="exact"/>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shd w:val="clear" w:color="auto" w:fill="FFFFFF"/>
              </w:rPr>
              <w:t>商务部分中出现报价部分的全部或部分的投标报价信息</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或组成资料</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的，即视为商务符合性审查不合格，</w:t>
            </w:r>
            <w:r>
              <w:rPr>
                <w:rFonts w:hint="eastAsia" w:ascii="宋体" w:hAnsi="宋体" w:eastAsia="宋体" w:cs="宋体"/>
                <w:b/>
                <w:bCs/>
                <w:color w:val="auto"/>
                <w:sz w:val="24"/>
                <w:szCs w:val="24"/>
                <w:highlight w:val="none"/>
                <w:shd w:val="clear" w:color="auto" w:fill="FFFFFF"/>
              </w:rPr>
              <w:t>按无效投标处理。</w:t>
            </w:r>
          </w:p>
        </w:tc>
      </w:tr>
    </w:tbl>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附加符合性：无</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价格符合性：无</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6.3</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澄清有关问题</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对通过符合性审查的电子投标文件中含义不明确、同类问题表述不一致或有明显文字和计算错误的内容，评标委员会将以书面形式要求投标人作出必要的澄清、说明或补正。</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投标人的澄清、说明或补正应由投标人代表在评标委员会规定的时间内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一般在半个小时左右，具体要求将根据实际情况在澄清通知中约定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电子投标文件报价出现前后不一致的，除招标文件另有规定外，按照下列规定修正：</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一览表内容与电子投标文件中相应内容不一致的，以开标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一览表为准；</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②大写金额和小写金额不一致的，以大写金额为准；</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③单价金额小数点或百分比有明显错位的，以开标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一览表的总价为准，并修改单价；</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④总价金额与按照单价汇总金额不一致的，以单价金额计算结果为准</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※同时出现两种以上不一致的，按照前款规定的顺序修正。修正后的报价应按照本章第6.3条第</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1</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2</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款规定经投标人确认后产生约束力，投标人不确认的，其投标无效。</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关于细微偏差</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②评标委员会将以书面形式要求存在细微偏差的投标人在评标委员会规定的时间内予以补正。若无法补正，则评标委员会将按照不利于投标人的内容进行认定。</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关于投标描述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即电子投标文件中描述的内容</w:t>
      </w:r>
      <w:r>
        <w:rPr>
          <w:rFonts w:hint="eastAsia" w:ascii="宋体" w:hAnsi="宋体" w:eastAsia="宋体" w:cs="宋体"/>
          <w:color w:val="auto"/>
          <w:sz w:val="24"/>
          <w:szCs w:val="24"/>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①投标描述前后不一致且不涉及证明材料的：按照本章第6.3条第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款规定执行。</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②投标描述与证明材料不一致或多份证明材料之间不一致的：</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a.评标委员会将要求投标人进行书面澄清，并按照不利于投标人的内容进行评标。</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6.4</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比较与评价</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sz w:val="24"/>
          <w:szCs w:val="24"/>
          <w:highlight w:val="none"/>
        </w:rPr>
        <w:t>按照本章第7条载明的评标方法和标准，对符合性审查合格的电子投标文件进行比较与评价</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关于相同品牌产品</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政府采购服务类项目不适用本条款规定</w:t>
      </w:r>
      <w:r>
        <w:rPr>
          <w:rFonts w:hint="eastAsia" w:ascii="宋体" w:hAnsi="宋体" w:eastAsia="宋体" w:cs="宋体"/>
          <w:b w:val="0"/>
          <w:bCs/>
          <w:color w:val="auto"/>
          <w:sz w:val="24"/>
          <w:szCs w:val="24"/>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w:t>
      </w:r>
      <w:r>
        <w:rPr>
          <w:rFonts w:hint="eastAsia" w:ascii="宋体" w:hAnsi="宋体" w:eastAsia="宋体" w:cs="宋体"/>
          <w:b w:val="0"/>
          <w:bCs/>
          <w:color w:val="auto"/>
          <w:sz w:val="24"/>
          <w:szCs w:val="24"/>
          <w:highlight w:val="none"/>
          <w:lang w:eastAsia="zh-CN"/>
        </w:rPr>
        <w:t>招标文件</w:t>
      </w:r>
      <w:r>
        <w:rPr>
          <w:rFonts w:hint="eastAsia" w:ascii="宋体" w:hAnsi="宋体" w:eastAsia="宋体" w:cs="宋体"/>
          <w:b w:val="0"/>
          <w:bCs/>
          <w:color w:val="auto"/>
          <w:sz w:val="24"/>
          <w:szCs w:val="24"/>
          <w:highlight w:val="none"/>
        </w:rPr>
        <w:t>规定的方式：无。</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w:t>
      </w:r>
      <w:r>
        <w:rPr>
          <w:rFonts w:hint="eastAsia" w:ascii="宋体" w:hAnsi="宋体" w:eastAsia="宋体" w:cs="宋体"/>
          <w:b w:val="0"/>
          <w:bCs/>
          <w:color w:val="auto"/>
          <w:sz w:val="24"/>
          <w:szCs w:val="24"/>
          <w:highlight w:val="none"/>
          <w:lang w:eastAsia="zh-CN"/>
        </w:rPr>
        <w:t>招标文件</w:t>
      </w:r>
      <w:r>
        <w:rPr>
          <w:rFonts w:hint="eastAsia" w:ascii="宋体" w:hAnsi="宋体" w:eastAsia="宋体" w:cs="宋体"/>
          <w:b w:val="0"/>
          <w:bCs/>
          <w:color w:val="auto"/>
          <w:sz w:val="24"/>
          <w:szCs w:val="24"/>
          <w:highlight w:val="none"/>
        </w:rPr>
        <w:t>未规定的，采取随机抽取方式确定，其他投标无效。</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w:t>
      </w:r>
      <w:r>
        <w:rPr>
          <w:rFonts w:hint="eastAsia" w:ascii="宋体" w:hAnsi="宋体" w:eastAsia="宋体" w:cs="宋体"/>
          <w:b w:val="0"/>
          <w:bCs/>
          <w:color w:val="auto"/>
          <w:sz w:val="24"/>
          <w:szCs w:val="24"/>
          <w:highlight w:val="none"/>
          <w:lang w:eastAsia="zh-CN"/>
        </w:rPr>
        <w:t>招标文件</w:t>
      </w:r>
      <w:r>
        <w:rPr>
          <w:rFonts w:hint="eastAsia" w:ascii="宋体" w:hAnsi="宋体" w:eastAsia="宋体" w:cs="宋体"/>
          <w:b w:val="0"/>
          <w:bCs/>
          <w:color w:val="auto"/>
          <w:sz w:val="24"/>
          <w:szCs w:val="24"/>
          <w:highlight w:val="none"/>
        </w:rPr>
        <w:t>规定的方式：</w:t>
      </w:r>
      <w:r>
        <w:rPr>
          <w:rFonts w:hint="eastAsia" w:ascii="宋体" w:hAnsi="宋体" w:eastAsia="宋体" w:cs="宋体"/>
          <w:color w:val="auto"/>
          <w:sz w:val="24"/>
          <w:szCs w:val="24"/>
          <w:highlight w:val="none"/>
          <w:lang w:val="en-US" w:eastAsia="zh-CN"/>
        </w:rPr>
        <w:t>无</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w:t>
      </w:r>
      <w:r>
        <w:rPr>
          <w:rFonts w:hint="eastAsia" w:ascii="宋体" w:hAnsi="宋体" w:eastAsia="宋体" w:cs="宋体"/>
          <w:b w:val="0"/>
          <w:bCs/>
          <w:color w:val="auto"/>
          <w:sz w:val="24"/>
          <w:szCs w:val="24"/>
          <w:highlight w:val="none"/>
          <w:lang w:eastAsia="zh-CN"/>
        </w:rPr>
        <w:t>招标文件</w:t>
      </w:r>
      <w:r>
        <w:rPr>
          <w:rFonts w:hint="eastAsia" w:ascii="宋体" w:hAnsi="宋体" w:eastAsia="宋体" w:cs="宋体"/>
          <w:b w:val="0"/>
          <w:bCs/>
          <w:color w:val="auto"/>
          <w:sz w:val="24"/>
          <w:szCs w:val="24"/>
          <w:highlight w:val="none"/>
        </w:rPr>
        <w:t>未规定的，采取随机抽取方式确定，其他同品牌</w:t>
      </w: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不作为中标候选人。</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③非单一产品采购项目，多家投标人提供的核心产品品牌相同的，按照本章第6.4条第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款第①、②规定处理</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漏</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缺</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项</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①招标文件中要求列入报价的费用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含配置、功能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项的报价视为已经包括在投标总价中</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w:t>
      </w:r>
      <w:r>
        <w:rPr>
          <w:rFonts w:hint="eastAsia" w:ascii="宋体" w:hAnsi="宋体" w:eastAsia="宋体" w:cs="宋体"/>
          <w:color w:val="auto"/>
          <w:sz w:val="24"/>
          <w:szCs w:val="24"/>
          <w:highlight w:val="none"/>
        </w:rPr>
        <w:t>对多报项及赠送项的价格评标时不予核减，全部进入评标价评议</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6.5</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rPr>
        <w:t>推荐中标候选人：详见本章第7.2条规定</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6.6</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rPr>
        <w:t>编写评标报告</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sz w:val="24"/>
          <w:szCs w:val="24"/>
          <w:highlight w:val="none"/>
        </w:rPr>
        <w:t>评标报告由评标委员会负责编写</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sz w:val="24"/>
          <w:szCs w:val="24"/>
          <w:highlight w:val="none"/>
        </w:rPr>
        <w:t>评标报告应包括下列内容</w:t>
      </w:r>
      <w:r>
        <w:rPr>
          <w:rFonts w:hint="eastAsia" w:ascii="宋体" w:hAnsi="宋体" w:eastAsia="宋体" w:cs="宋体"/>
          <w:b w:val="0"/>
          <w:bCs/>
          <w:color w:val="auto"/>
          <w:sz w:val="24"/>
          <w:szCs w:val="24"/>
          <w:highlight w:val="none"/>
        </w:rPr>
        <w:t>：</w:t>
      </w:r>
    </w:p>
    <w:p>
      <w:pPr>
        <w:pStyle w:val="21"/>
        <w:keepNext w:val="0"/>
        <w:keepLines w:val="0"/>
        <w:pageBreakBefore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①招标公告刊登的媒体名称、开标日期和地点；</w:t>
      </w:r>
    </w:p>
    <w:p>
      <w:pPr>
        <w:pStyle w:val="21"/>
        <w:keepNext w:val="0"/>
        <w:keepLines w:val="0"/>
        <w:pageBreakBefore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②投标人名单和评标委员会成员名单；</w:t>
      </w:r>
    </w:p>
    <w:p>
      <w:pPr>
        <w:pStyle w:val="21"/>
        <w:keepNext w:val="0"/>
        <w:keepLines w:val="0"/>
        <w:pageBreakBefore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③评标方法和标准；</w:t>
      </w:r>
    </w:p>
    <w:p>
      <w:pPr>
        <w:pStyle w:val="21"/>
        <w:keepNext w:val="0"/>
        <w:keepLines w:val="0"/>
        <w:pageBreakBefore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④开标记录和评标情况及说明，包括无效投标人名单及原因；</w:t>
      </w:r>
    </w:p>
    <w:p>
      <w:pPr>
        <w:pStyle w:val="21"/>
        <w:keepNext w:val="0"/>
        <w:keepLines w:val="0"/>
        <w:pageBreakBefore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⑤评标结果，包括中标候选人名单或确定的中标人；</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⑥其他需要说明的情况，包括但不限于：评标过程中投标人的澄清、说明或补正，评委更换等</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6.7</w:t>
      </w:r>
      <w:r>
        <w:rPr>
          <w:rFonts w:hint="eastAsia" w:ascii="宋体" w:hAnsi="宋体" w:eastAsia="宋体" w:cs="宋体"/>
          <w:b/>
          <w:bCs w:val="0"/>
          <w:color w:val="auto"/>
          <w:sz w:val="24"/>
          <w:szCs w:val="24"/>
          <w:highlight w:val="none"/>
          <w:lang w:val="en-US" w:eastAsia="zh-CN"/>
        </w:rPr>
        <w:t xml:space="preserve"> </w:t>
      </w:r>
      <w:r>
        <w:rPr>
          <w:rFonts w:hint="eastAsia" w:ascii="宋体" w:hAnsi="宋体" w:eastAsia="宋体" w:cs="宋体"/>
          <w:b/>
          <w:bCs/>
          <w:color w:val="auto"/>
          <w:sz w:val="24"/>
          <w:szCs w:val="24"/>
          <w:highlight w:val="none"/>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r>
        <w:rPr>
          <w:rFonts w:hint="eastAsia" w:ascii="宋体" w:hAnsi="宋体" w:eastAsia="宋体" w:cs="宋体"/>
          <w:b/>
          <w:bCs w:val="0"/>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val="0"/>
          <w:bCs/>
          <w:color w:val="auto"/>
          <w:sz w:val="24"/>
          <w:szCs w:val="24"/>
          <w:highlight w:val="none"/>
        </w:rPr>
        <w:t>6.8</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rPr>
        <w:t>评委对需要共同认定的事项存在争议的，应按照少数服从多数的原则进行认定。</w:t>
      </w:r>
      <w:r>
        <w:rPr>
          <w:rFonts w:hint="eastAsia" w:ascii="宋体" w:hAnsi="宋体" w:eastAsia="宋体" w:cs="宋体"/>
          <w:b/>
          <w:bCs/>
          <w:color w:val="auto"/>
          <w:sz w:val="24"/>
          <w:szCs w:val="24"/>
          <w:highlight w:val="none"/>
        </w:rPr>
        <w:t>持不同意见的评委应在评标报告上签署不同意见及理由，否则视为同意评标报告。</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6.9</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rPr>
        <w:t>在评标过程中发现投标人有下列情形之一的，评标委员会应认定其投标无效，并书面报告本项目监督管理部门</w:t>
      </w:r>
      <w:r>
        <w:rPr>
          <w:rFonts w:hint="eastAsia" w:ascii="宋体" w:hAnsi="宋体" w:eastAsia="宋体" w:cs="宋体"/>
          <w:b w:val="0"/>
          <w:bCs/>
          <w:color w:val="auto"/>
          <w:sz w:val="24"/>
          <w:szCs w:val="24"/>
          <w:highlight w:val="none"/>
        </w:rPr>
        <w:t>：</w:t>
      </w:r>
    </w:p>
    <w:p>
      <w:pPr>
        <w:pStyle w:val="21"/>
        <w:keepNext w:val="0"/>
        <w:keepLines w:val="0"/>
        <w:pageBreakBefore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恶意串通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包括但不限于招标文件第三章第9.7条规定情形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pStyle w:val="21"/>
        <w:keepNext w:val="0"/>
        <w:keepLines w:val="0"/>
        <w:pageBreakBefore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妨碍其他投标人的竞争行为；</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损害采购人或其他投标人的合法权益</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6.10</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评标过程中，有下列情形之一的，应予废标：</w:t>
      </w:r>
    </w:p>
    <w:p>
      <w:pPr>
        <w:pStyle w:val="21"/>
        <w:keepNext w:val="0"/>
        <w:keepLines w:val="0"/>
        <w:pageBreakBefore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符合性审查合格的投标人不足三家的；</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有关法律、法规和规章规定废标的情形</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color w:val="auto"/>
          <w:sz w:val="24"/>
          <w:szCs w:val="24"/>
          <w:highlight w:val="none"/>
        </w:rPr>
        <w:t>※若废标，则本次采购活动结束， 福建省公共资源交易中心 将依法组织后续采购活动</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包括但不限于：重新招标、采用其他方式采购等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val="0"/>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7、评标方法和标准</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7.1</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评标方法：</w:t>
      </w:r>
    </w:p>
    <w:p>
      <w:pPr>
        <w:pStyle w:val="21"/>
        <w:keepNext w:val="0"/>
        <w:keepLines w:val="0"/>
        <w:pageBreakBefore w:val="0"/>
        <w:widowControl w:val="0"/>
        <w:kinsoku/>
        <w:wordWrap/>
        <w:overflowPunct/>
        <w:topLinePunct w:val="0"/>
        <w:autoSpaceDE/>
        <w:autoSpaceDN/>
        <w:bidi w:val="0"/>
        <w:adjustRightInd/>
        <w:snapToGrid w:val="0"/>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采购包1：</w:t>
      </w:r>
      <w:r>
        <w:rPr>
          <w:rFonts w:hint="eastAsia" w:ascii="宋体" w:hAnsi="宋体" w:eastAsia="宋体" w:cs="宋体"/>
          <w:color w:val="auto"/>
          <w:sz w:val="24"/>
          <w:szCs w:val="24"/>
          <w:highlight w:val="none"/>
        </w:rPr>
        <w:t>综合评分法</w:t>
      </w:r>
    </w:p>
    <w:p>
      <w:pPr>
        <w:pStyle w:val="21"/>
        <w:keepNext w:val="0"/>
        <w:keepLines w:val="0"/>
        <w:pageBreakBefore w:val="0"/>
        <w:widowControl w:val="0"/>
        <w:kinsoku/>
        <w:wordWrap/>
        <w:overflowPunct/>
        <w:topLinePunct w:val="0"/>
        <w:autoSpaceDE/>
        <w:autoSpaceDN/>
        <w:bidi w:val="0"/>
        <w:adjustRightInd/>
        <w:snapToGrid w:val="0"/>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7.2评标标准</w:t>
      </w:r>
    </w:p>
    <w:p>
      <w:pPr>
        <w:pStyle w:val="21"/>
        <w:keepNext w:val="0"/>
        <w:keepLines w:val="0"/>
        <w:pageBreakBefore w:val="0"/>
        <w:widowControl w:val="0"/>
        <w:kinsoku/>
        <w:wordWrap/>
        <w:overflowPunct/>
        <w:topLinePunct w:val="0"/>
        <w:autoSpaceDE/>
        <w:autoSpaceDN/>
        <w:bidi w:val="0"/>
        <w:adjustRightInd/>
        <w:snapToGrid w:val="0"/>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采购包1：综合评分法</w:t>
      </w:r>
    </w:p>
    <w:p>
      <w:pPr>
        <w:pStyle w:val="21"/>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投标文件满足招标文件全部实质性要求，且按照评审因素的量化指标评审得分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即评标总得分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最高的投标人为中标候选人。</w:t>
      </w:r>
    </w:p>
    <w:p>
      <w:pPr>
        <w:pStyle w:val="21"/>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满分时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各项评审因素的设置如下：</w:t>
      </w:r>
    </w:p>
    <w:p>
      <w:pPr>
        <w:pStyle w:val="21"/>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F1×A1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满分为</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pPr>
        <w:pStyle w:val="21"/>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满足招标文件要求且报价最低的为评审基准价，价格得分＝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评审基准价/报价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×标准分值。</w:t>
      </w:r>
    </w:p>
    <w:p>
      <w:pPr>
        <w:pStyle w:val="21"/>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价格扣除的规则如下：</w:t>
      </w:r>
    </w:p>
    <w:tbl>
      <w:tblPr>
        <w:tblStyle w:val="16"/>
        <w:tblW w:w="4998"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1"/>
        <w:gridCol w:w="1191"/>
        <w:gridCol w:w="718"/>
        <w:gridCol w:w="631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585" w:type="pct"/>
            <w:vAlign w:val="center"/>
          </w:tcPr>
          <w:p>
            <w:pPr>
              <w:pStyle w:val="2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639" w:type="pct"/>
            <w:vAlign w:val="center"/>
          </w:tcPr>
          <w:p>
            <w:pPr>
              <w:pStyle w:val="2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适用对象</w:t>
            </w:r>
          </w:p>
        </w:tc>
        <w:tc>
          <w:tcPr>
            <w:tcW w:w="385" w:type="pct"/>
            <w:vAlign w:val="center"/>
          </w:tcPr>
          <w:p>
            <w:pPr>
              <w:pStyle w:val="2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比例</w:t>
            </w:r>
          </w:p>
        </w:tc>
        <w:tc>
          <w:tcPr>
            <w:tcW w:w="3389" w:type="pct"/>
            <w:vAlign w:val="center"/>
          </w:tcPr>
          <w:p>
            <w:pPr>
              <w:pStyle w:val="2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585" w:type="pct"/>
            <w:vAlign w:val="center"/>
          </w:tcPr>
          <w:p>
            <w:pPr>
              <w:pStyle w:val="2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小型、微型企业，监狱企业，残疾人福利性单位</w:t>
            </w:r>
          </w:p>
        </w:tc>
        <w:tc>
          <w:tcPr>
            <w:tcW w:w="639" w:type="pct"/>
            <w:vAlign w:val="center"/>
          </w:tcPr>
          <w:p>
            <w:pPr>
              <w:pStyle w:val="2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投标人或者联合体均为小型、微型企业</w:t>
            </w:r>
          </w:p>
        </w:tc>
        <w:tc>
          <w:tcPr>
            <w:tcW w:w="385" w:type="pct"/>
            <w:vAlign w:val="center"/>
          </w:tcPr>
          <w:p>
            <w:pPr>
              <w:pStyle w:val="21"/>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eastAsia="zh-CN"/>
              </w:rPr>
              <w:t>％</w:t>
            </w:r>
          </w:p>
        </w:tc>
        <w:tc>
          <w:tcPr>
            <w:tcW w:w="3389" w:type="pct"/>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经采购人确认，本采购包为非专门面向中小企业采购项目。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根据《政府采购促进中小企业发展管理办法》（财库﹝2020﹞46号）、《福建省财政厅关于进一步加大政府采购支持中小企业力度的通知》（闽财规〔2022〕13号）等文件，评审时，对符合规定的小微企业报价给予价格扣除（货物和服务项目为15％；工程项目为3％），用扣除后的价格参加评审。投标人须提供合格的《中小企业声明函》（格式详见招标文件第七章），否则不予价格扣除。若同一采购包内的小型、微型企业产品仅是构成报价产品的部件、组件或零件的，则该报价产品不给予价格扣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工程项目为3％）的价格扣除，但必须提供由省级以上监狱管理局、戒毒管理局（含新疆生产建设兵团）出具的属于监狱企业的证明文件，否则评审时不予价格扣除优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在政府采购活动中，残疾人福利性单位视同小型、微型企业，符合条件的残疾人福利性单位在参加政府采购活动时，对残疾人福利性单位产品按规定价格给予15％（工程项目为3％）扣除，须提供《残疾人福利性单位声明函》（格式详见招标文件第七章）并对声明的真实性负责。残疾人福利性单位属于小型、微型企业的，不重复享受政策。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具体详见招标文件第二章、第五章规定，上述规定与政府采购相关法律、法规、制度等有冲突的，以现行法律、法规、制度等执行。注：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eastAsia="zh-CN"/>
              </w:rPr>
              <w:t>5、本采购包为服务类采购项目，采购标的对应的中小企业划分标准所属行业为“</w:t>
            </w:r>
            <w:r>
              <w:rPr>
                <w:rFonts w:hint="eastAsia" w:ascii="宋体" w:hAnsi="宋体" w:eastAsia="宋体" w:cs="宋体"/>
                <w:color w:val="auto"/>
                <w:spacing w:val="0"/>
                <w:kern w:val="0"/>
                <w:sz w:val="24"/>
                <w:szCs w:val="24"/>
                <w:highlight w:val="none"/>
                <w:lang w:val="en-US" w:eastAsia="zh-CN" w:bidi="ar"/>
              </w:rPr>
              <w:t>其他未列明行业</w:t>
            </w:r>
            <w:r>
              <w:rPr>
                <w:rFonts w:hint="eastAsia" w:ascii="宋体" w:hAnsi="宋体" w:eastAsia="宋体" w:cs="宋体"/>
                <w:color w:val="auto"/>
                <w:kern w:val="0"/>
                <w:sz w:val="24"/>
                <w:highlight w:val="none"/>
                <w:lang w:val="en-US" w:eastAsia="zh-CN"/>
              </w:rPr>
              <w:t>”。</w:t>
            </w:r>
          </w:p>
        </w:tc>
      </w:tr>
    </w:tbl>
    <w:p>
      <w:pPr>
        <w:pStyle w:val="21"/>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其他：无</w:t>
      </w:r>
    </w:p>
    <w:p>
      <w:pPr>
        <w:pStyle w:val="21"/>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F2×A2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满分为</w:t>
      </w:r>
      <w:r>
        <w:rPr>
          <w:rFonts w:hint="eastAsia" w:ascii="宋体" w:hAnsi="宋体" w:eastAsia="宋体" w:cs="宋体"/>
          <w:color w:val="auto"/>
          <w:sz w:val="24"/>
          <w:szCs w:val="24"/>
          <w:highlight w:val="none"/>
          <w:lang w:val="en-US" w:eastAsia="zh-CN"/>
        </w:rPr>
        <w:t>75</w:t>
      </w:r>
      <w:r>
        <w:rPr>
          <w:rFonts w:hint="eastAsia" w:ascii="宋体" w:hAnsi="宋体" w:eastAsia="宋体" w:cs="宋体"/>
          <w:color w:val="auto"/>
          <w:sz w:val="24"/>
          <w:szCs w:val="24"/>
          <w:highlight w:val="none"/>
        </w:rPr>
        <w:t>分</w:t>
      </w:r>
    </w:p>
    <w:tbl>
      <w:tblPr>
        <w:tblStyle w:val="16"/>
        <w:tblW w:w="4996"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91"/>
        <w:gridCol w:w="721"/>
        <w:gridCol w:w="997"/>
        <w:gridCol w:w="61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800"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387"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535"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是否客观项</w:t>
            </w:r>
          </w:p>
        </w:tc>
        <w:tc>
          <w:tcPr>
            <w:tcW w:w="3277" w:type="pct"/>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4"/>
                <w:szCs w:val="24"/>
                <w:highlight w:val="none"/>
                <w:lang w:val="en-US" w:eastAsia="zh-Hans"/>
              </w:rPr>
            </w:pPr>
            <w:r>
              <w:rPr>
                <w:rFonts w:hint="eastAsia" w:ascii="宋体" w:hAnsi="宋体" w:eastAsia="宋体" w:cs="宋体"/>
                <w:b/>
                <w:bCs/>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800" w:type="pct"/>
            <w:shd w:val="clear" w:color="auto" w:fill="auto"/>
            <w:vAlign w:val="center"/>
          </w:tcPr>
          <w:p>
            <w:pPr>
              <w:spacing w:line="500" w:lineRule="exact"/>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0"/>
                <w:sz w:val="24"/>
                <w:highlight w:val="none"/>
                <w:lang w:bidi="ar"/>
              </w:rPr>
              <w:t>1、技术要求响应情况</w:t>
            </w:r>
          </w:p>
        </w:tc>
        <w:tc>
          <w:tcPr>
            <w:tcW w:w="387" w:type="pct"/>
            <w:shd w:val="clear" w:color="auto" w:fill="auto"/>
            <w:vAlign w:val="center"/>
          </w:tcPr>
          <w:p>
            <w:pPr>
              <w:spacing w:line="500" w:lineRule="exact"/>
              <w:jc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57</w:t>
            </w:r>
          </w:p>
        </w:tc>
        <w:tc>
          <w:tcPr>
            <w:tcW w:w="535" w:type="pct"/>
            <w:shd w:val="clear" w:color="auto" w:fill="auto"/>
            <w:vAlign w:val="center"/>
          </w:tcPr>
          <w:p>
            <w:pPr>
              <w:spacing w:line="500" w:lineRule="exact"/>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是</w:t>
            </w:r>
          </w:p>
        </w:tc>
        <w:tc>
          <w:tcPr>
            <w:tcW w:w="3277" w:type="pct"/>
            <w:shd w:val="clear" w:color="auto" w:fill="auto"/>
            <w:vAlign w:val="center"/>
          </w:tcPr>
          <w:p>
            <w:pPr>
              <w:spacing w:line="500" w:lineRule="exact"/>
              <w:rPr>
                <w:rFonts w:ascii="宋体" w:hAnsi="宋体" w:eastAsia="宋体" w:cs="宋体"/>
                <w:bCs/>
                <w:color w:val="auto"/>
                <w:sz w:val="24"/>
                <w:highlight w:val="none"/>
              </w:rPr>
            </w:pPr>
            <w:r>
              <w:rPr>
                <w:rFonts w:hint="eastAsia" w:ascii="宋体" w:hAnsi="宋体" w:eastAsia="宋体" w:cs="宋体"/>
                <w:bCs/>
                <w:color w:val="auto"/>
                <w:sz w:val="24"/>
                <w:highlight w:val="none"/>
              </w:rPr>
              <w:t>根据投标人对招标文件“第五章  招标内容及要求——二、技术和服务要求”各项要求的逐项响应承诺情况进行评分：</w:t>
            </w:r>
          </w:p>
          <w:p>
            <w:pPr>
              <w:widowControl/>
              <w:spacing w:line="500" w:lineRule="exac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①完全满足招标文件要求的得</w:t>
            </w:r>
            <w:r>
              <w:rPr>
                <w:rFonts w:hint="eastAsia" w:ascii="宋体" w:hAnsi="宋体" w:eastAsia="宋体" w:cs="宋体"/>
                <w:color w:val="auto"/>
                <w:kern w:val="0"/>
                <w:sz w:val="24"/>
                <w:highlight w:val="none"/>
                <w:lang w:val="en-US" w:eastAsia="zh-CN"/>
              </w:rPr>
              <w:t>57</w:t>
            </w:r>
            <w:r>
              <w:rPr>
                <w:rFonts w:hint="eastAsia" w:ascii="宋体" w:hAnsi="宋体" w:eastAsia="宋体" w:cs="宋体"/>
                <w:color w:val="auto"/>
                <w:kern w:val="0"/>
                <w:sz w:val="24"/>
                <w:highlight w:val="none"/>
              </w:rPr>
              <w:t>分；</w:t>
            </w:r>
          </w:p>
          <w:p>
            <w:pPr>
              <w:widowControl/>
              <w:spacing w:line="500" w:lineRule="exac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②以“★”标示的内容为不允许负偏离的实质性要求（共</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项）；</w:t>
            </w:r>
            <w:bookmarkStart w:id="23" w:name="_GoBack"/>
            <w:bookmarkEnd w:id="23"/>
          </w:p>
          <w:p>
            <w:pPr>
              <w:spacing w:line="500" w:lineRule="exac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0"/>
                <w:sz w:val="24"/>
                <w:highlight w:val="none"/>
              </w:rPr>
              <w:t>③未标示符号的内容为一般服务要求（共计</w:t>
            </w:r>
            <w:r>
              <w:rPr>
                <w:rFonts w:hint="eastAsia" w:ascii="宋体" w:hAnsi="宋体" w:eastAsia="宋体" w:cs="宋体"/>
                <w:color w:val="auto"/>
                <w:kern w:val="0"/>
                <w:sz w:val="24"/>
                <w:highlight w:val="none"/>
                <w:lang w:val="en-US" w:eastAsia="zh-CN"/>
              </w:rPr>
              <w:t>57</w:t>
            </w:r>
            <w:r>
              <w:rPr>
                <w:rFonts w:hint="eastAsia" w:ascii="宋体" w:hAnsi="宋体" w:eastAsia="宋体" w:cs="宋体"/>
                <w:color w:val="auto"/>
                <w:kern w:val="0"/>
                <w:sz w:val="24"/>
                <w:highlight w:val="none"/>
              </w:rPr>
              <w:t>项），每负偏离一项扣1分，扣完为止，正偏离不加分。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800" w:type="pct"/>
            <w:shd w:val="clear" w:color="auto" w:fill="auto"/>
            <w:vAlign w:val="center"/>
          </w:tcPr>
          <w:p>
            <w:pPr>
              <w:spacing w:line="50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2、小流域山洪灾害风险隐患数据补充调查方案</w:t>
            </w:r>
          </w:p>
        </w:tc>
        <w:tc>
          <w:tcPr>
            <w:tcW w:w="387" w:type="pct"/>
            <w:shd w:val="clear" w:color="auto" w:fill="auto"/>
            <w:vAlign w:val="center"/>
          </w:tcPr>
          <w:p>
            <w:pPr>
              <w:spacing w:line="50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3</w:t>
            </w:r>
          </w:p>
        </w:tc>
        <w:tc>
          <w:tcPr>
            <w:tcW w:w="535" w:type="pct"/>
            <w:shd w:val="clear" w:color="auto" w:fill="auto"/>
            <w:vAlign w:val="center"/>
          </w:tcPr>
          <w:p>
            <w:pPr>
              <w:spacing w:line="500" w:lineRule="exact"/>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否</w:t>
            </w:r>
          </w:p>
        </w:tc>
        <w:tc>
          <w:tcPr>
            <w:tcW w:w="3277" w:type="pct"/>
            <w:shd w:val="clear" w:color="auto" w:fill="auto"/>
            <w:vAlign w:val="center"/>
          </w:tcPr>
          <w:p>
            <w:pPr>
              <w:spacing w:line="500" w:lineRule="exact"/>
              <w:rPr>
                <w:rFonts w:ascii="宋体" w:hAnsi="宋体" w:eastAsia="宋体" w:cs="宋体"/>
                <w:color w:val="auto"/>
                <w:kern w:val="0"/>
                <w:sz w:val="24"/>
                <w:highlight w:val="none"/>
                <w:lang w:bidi="ar"/>
              </w:rPr>
            </w:pPr>
            <w:r>
              <w:rPr>
                <w:rFonts w:ascii="宋体" w:hAnsi="宋体" w:eastAsia="宋体" w:cs="宋体"/>
                <w:color w:val="auto"/>
                <w:kern w:val="0"/>
                <w:sz w:val="24"/>
                <w:highlight w:val="none"/>
                <w:lang w:bidi="ar"/>
              </w:rPr>
              <w:t>根据投标人针对本项目提供的小流域</w:t>
            </w:r>
            <w:r>
              <w:rPr>
                <w:rFonts w:hint="eastAsia" w:ascii="宋体" w:hAnsi="宋体" w:eastAsia="宋体" w:cs="宋体"/>
                <w:color w:val="auto"/>
                <w:kern w:val="0"/>
                <w:sz w:val="24"/>
                <w:highlight w:val="none"/>
                <w:lang w:bidi="ar"/>
              </w:rPr>
              <w:t>（20～50</w:t>
            </w:r>
            <w:r>
              <w:rPr>
                <w:rFonts w:hint="eastAsia" w:ascii="宋体" w:hAnsi="宋体" w:eastAsia="宋体" w:cs="宋体"/>
                <w:bCs/>
                <w:color w:val="auto"/>
                <w:sz w:val="24"/>
                <w:highlight w:val="none"/>
              </w:rPr>
              <w:t>km</w:t>
            </w:r>
            <w:r>
              <w:rPr>
                <w:rFonts w:hint="eastAsia" w:ascii="宋体" w:hAnsi="宋体" w:eastAsia="宋体" w:cs="宋体"/>
                <w:bCs/>
                <w:color w:val="auto"/>
                <w:sz w:val="24"/>
                <w:highlight w:val="none"/>
                <w:vertAlign w:val="superscript"/>
              </w:rPr>
              <w:t>2</w:t>
            </w:r>
            <w:r>
              <w:rPr>
                <w:rFonts w:hint="eastAsia" w:ascii="宋体" w:hAnsi="宋体" w:eastAsia="宋体" w:cs="宋体"/>
                <w:color w:val="auto"/>
                <w:kern w:val="0"/>
                <w:sz w:val="24"/>
                <w:highlight w:val="none"/>
                <w:lang w:bidi="ar"/>
              </w:rPr>
              <w:t>）</w:t>
            </w:r>
            <w:r>
              <w:rPr>
                <w:rFonts w:ascii="宋体" w:hAnsi="宋体" w:eastAsia="宋体" w:cs="宋体"/>
                <w:color w:val="auto"/>
                <w:kern w:val="0"/>
                <w:sz w:val="24"/>
                <w:highlight w:val="none"/>
                <w:lang w:bidi="ar"/>
              </w:rPr>
              <w:t>山洪灾害风险隐患数据补充</w:t>
            </w:r>
            <w:r>
              <w:rPr>
                <w:rFonts w:hint="eastAsia" w:ascii="宋体" w:hAnsi="宋体" w:eastAsia="宋体" w:cs="宋体"/>
                <w:color w:val="auto"/>
                <w:kern w:val="0"/>
                <w:sz w:val="24"/>
                <w:highlight w:val="none"/>
                <w:lang w:bidi="ar"/>
              </w:rPr>
              <w:t>调查</w:t>
            </w:r>
            <w:r>
              <w:rPr>
                <w:rFonts w:ascii="宋体" w:hAnsi="宋体" w:eastAsia="宋体" w:cs="宋体"/>
                <w:color w:val="auto"/>
                <w:kern w:val="0"/>
                <w:sz w:val="24"/>
                <w:highlight w:val="none"/>
                <w:lang w:bidi="ar"/>
              </w:rPr>
              <w:t>方案（包含但不限于：全省堤防分布现状、堤防测量清单、堤顶高程测量技术要求、技术路线以及360全景拍摄方案及清单等）</w:t>
            </w:r>
            <w:r>
              <w:rPr>
                <w:rFonts w:hint="eastAsia" w:ascii="宋体" w:hAnsi="宋体" w:eastAsia="宋体" w:cs="宋体"/>
                <w:color w:val="auto"/>
                <w:kern w:val="0"/>
                <w:sz w:val="24"/>
                <w:highlight w:val="none"/>
                <w:lang w:bidi="ar"/>
              </w:rPr>
              <w:t>，由评标委员会进行评分：</w:t>
            </w:r>
          </w:p>
          <w:p>
            <w:pPr>
              <w:spacing w:line="500" w:lineRule="exact"/>
              <w:rPr>
                <w:rFonts w:ascii="宋体" w:hAnsi="宋体" w:eastAsia="宋体" w:cs="宋体"/>
                <w:color w:val="auto"/>
                <w:kern w:val="0"/>
                <w:sz w:val="24"/>
                <w:highlight w:val="none"/>
                <w:lang w:bidi="ar"/>
              </w:rPr>
            </w:pPr>
            <w:r>
              <w:rPr>
                <w:rFonts w:hint="eastAsia" w:ascii="宋体" w:hAnsi="宋体" w:eastAsia="宋体" w:cs="宋体"/>
                <w:bCs/>
                <w:color w:val="auto"/>
                <w:kern w:val="21"/>
                <w:sz w:val="24"/>
                <w:highlight w:val="none"/>
              </w:rPr>
              <w:t>①</w:t>
            </w:r>
            <w:r>
              <w:rPr>
                <w:rFonts w:hint="eastAsia" w:ascii="宋体" w:hAnsi="宋体" w:cs="宋体"/>
                <w:bCs/>
                <w:color w:val="auto"/>
                <w:kern w:val="21"/>
                <w:sz w:val="24"/>
                <w:highlight w:val="none"/>
              </w:rPr>
              <w:t>方案</w:t>
            </w:r>
            <w:r>
              <w:rPr>
                <w:rFonts w:hint="eastAsia" w:ascii="宋体" w:hAnsi="宋体" w:eastAsia="宋体" w:cs="宋体"/>
                <w:bCs/>
                <w:color w:val="auto"/>
                <w:kern w:val="21"/>
                <w:sz w:val="24"/>
                <w:highlight w:val="none"/>
              </w:rPr>
              <w:t>所包含的要点齐全无缺漏项、内容与要点相符、</w:t>
            </w:r>
            <w:r>
              <w:rPr>
                <w:rFonts w:hint="eastAsia" w:ascii="宋体" w:hAnsi="宋体" w:eastAsia="宋体" w:cs="宋体"/>
                <w:bCs/>
                <w:color w:val="auto"/>
                <w:sz w:val="24"/>
                <w:highlight w:val="none"/>
              </w:rPr>
              <w:t>每个要点均有展开详细的阐述且能够适用于本项目得3分</w:t>
            </w:r>
            <w:r>
              <w:rPr>
                <w:rFonts w:hint="eastAsia" w:ascii="宋体" w:hAnsi="宋体" w:eastAsia="宋体" w:cs="宋体"/>
                <w:bCs/>
                <w:color w:val="auto"/>
                <w:kern w:val="21"/>
                <w:sz w:val="24"/>
                <w:highlight w:val="none"/>
              </w:rPr>
              <w:t>；</w:t>
            </w:r>
            <w:r>
              <w:rPr>
                <w:rFonts w:hint="eastAsia" w:ascii="宋体" w:hAnsi="宋体" w:eastAsia="宋体" w:cs="宋体"/>
                <w:bCs/>
                <w:color w:val="auto"/>
                <w:sz w:val="24"/>
                <w:highlight w:val="none"/>
              </w:rPr>
              <w:t>②</w:t>
            </w:r>
            <w:r>
              <w:rPr>
                <w:rFonts w:hint="eastAsia" w:ascii="宋体" w:hAnsi="宋体" w:cs="宋体"/>
                <w:bCs/>
                <w:color w:val="auto"/>
                <w:kern w:val="21"/>
                <w:sz w:val="24"/>
                <w:highlight w:val="none"/>
              </w:rPr>
              <w:t>方案</w:t>
            </w:r>
            <w:r>
              <w:rPr>
                <w:rFonts w:hint="eastAsia" w:ascii="宋体" w:hAnsi="宋体" w:eastAsia="宋体" w:cs="宋体"/>
                <w:bCs/>
                <w:color w:val="auto"/>
                <w:kern w:val="21"/>
                <w:sz w:val="24"/>
                <w:highlight w:val="none"/>
              </w:rPr>
              <w:t>所包含的要点齐全</w:t>
            </w:r>
            <w:r>
              <w:rPr>
                <w:rFonts w:hint="eastAsia" w:ascii="宋体" w:hAnsi="宋体" w:eastAsia="宋体" w:cs="宋体"/>
                <w:bCs/>
                <w:color w:val="auto"/>
                <w:sz w:val="24"/>
                <w:highlight w:val="none"/>
              </w:rPr>
              <w:t>、内容与要点相符、每个要点均有展开阐述且基本能够适用于本项目的得2.5分；</w:t>
            </w:r>
          </w:p>
          <w:p>
            <w:pPr>
              <w:spacing w:line="500" w:lineRule="exact"/>
              <w:rPr>
                <w:rFonts w:ascii="宋体" w:hAnsi="宋体" w:eastAsia="宋体" w:cs="宋体"/>
                <w:color w:val="auto"/>
                <w:kern w:val="0"/>
                <w:sz w:val="24"/>
                <w:highlight w:val="none"/>
                <w:lang w:bidi="ar"/>
              </w:rPr>
            </w:pPr>
            <w:r>
              <w:rPr>
                <w:rFonts w:hint="eastAsia" w:ascii="宋体" w:hAnsi="宋体" w:eastAsia="宋体" w:cs="宋体"/>
                <w:bCs/>
                <w:color w:val="auto"/>
                <w:sz w:val="24"/>
                <w:highlight w:val="none"/>
              </w:rPr>
              <w:t>③</w:t>
            </w:r>
            <w:r>
              <w:rPr>
                <w:rFonts w:hint="eastAsia" w:ascii="宋体" w:hAnsi="宋体" w:cs="宋体"/>
                <w:bCs/>
                <w:color w:val="auto"/>
                <w:kern w:val="21"/>
                <w:sz w:val="24"/>
                <w:highlight w:val="none"/>
              </w:rPr>
              <w:t>方案</w:t>
            </w:r>
            <w:r>
              <w:rPr>
                <w:rFonts w:hint="eastAsia" w:ascii="宋体" w:hAnsi="宋体" w:eastAsia="宋体" w:cs="宋体"/>
                <w:bCs/>
                <w:color w:val="auto"/>
                <w:kern w:val="21"/>
                <w:sz w:val="24"/>
                <w:highlight w:val="none"/>
              </w:rPr>
              <w:t>所包含的要点</w:t>
            </w:r>
            <w:r>
              <w:rPr>
                <w:rFonts w:hint="eastAsia" w:ascii="宋体" w:hAnsi="宋体" w:eastAsia="宋体" w:cs="宋体"/>
                <w:bCs/>
                <w:color w:val="auto"/>
                <w:sz w:val="24"/>
                <w:highlight w:val="none"/>
              </w:rPr>
              <w:t>有缺漏、内容与要点相符、</w:t>
            </w:r>
            <w:r>
              <w:rPr>
                <w:rFonts w:hint="eastAsia" w:ascii="宋体" w:hAnsi="宋体" w:eastAsia="宋体" w:cs="宋体"/>
                <w:bCs/>
                <w:color w:val="auto"/>
                <w:kern w:val="21"/>
                <w:sz w:val="24"/>
                <w:highlight w:val="none"/>
              </w:rPr>
              <w:t>但仅有纲要内容简略的得</w:t>
            </w:r>
            <w:r>
              <w:rPr>
                <w:rFonts w:hint="eastAsia" w:ascii="宋体" w:hAnsi="宋体" w:cs="宋体"/>
                <w:bCs/>
                <w:color w:val="auto"/>
                <w:kern w:val="21"/>
                <w:sz w:val="24"/>
                <w:highlight w:val="none"/>
              </w:rPr>
              <w:t>2</w:t>
            </w:r>
            <w:r>
              <w:rPr>
                <w:rFonts w:hint="eastAsia" w:ascii="宋体" w:hAnsi="宋体" w:eastAsia="宋体" w:cs="宋体"/>
                <w:bCs/>
                <w:color w:val="auto"/>
                <w:kern w:val="21"/>
                <w:sz w:val="24"/>
                <w:highlight w:val="none"/>
              </w:rPr>
              <w:t>分</w:t>
            </w:r>
            <w:r>
              <w:rPr>
                <w:rFonts w:hint="eastAsia" w:ascii="宋体" w:hAnsi="宋体" w:cs="宋体"/>
                <w:bCs/>
                <w:color w:val="auto"/>
                <w:kern w:val="21"/>
                <w:sz w:val="24"/>
                <w:highlight w:val="none"/>
              </w:rPr>
              <w:t>；</w:t>
            </w:r>
          </w:p>
          <w:p>
            <w:pPr>
              <w:spacing w:line="500" w:lineRule="exact"/>
              <w:rPr>
                <w:rFonts w:hint="eastAsia" w:ascii="宋体" w:hAnsi="宋体" w:eastAsia="宋体" w:cs="宋体"/>
                <w:color w:val="auto"/>
                <w:kern w:val="0"/>
                <w:sz w:val="24"/>
                <w:highlight w:val="none"/>
                <w:lang w:val="en-US" w:eastAsia="zh-CN" w:bidi="ar"/>
              </w:rPr>
            </w:pPr>
            <w:r>
              <w:rPr>
                <w:rFonts w:hint="eastAsia" w:ascii="宋体" w:hAnsi="宋体" w:eastAsia="宋体" w:cs="宋体"/>
                <w:bCs/>
                <w:color w:val="auto"/>
                <w:sz w:val="24"/>
                <w:highlight w:val="none"/>
              </w:rPr>
              <w:t>④未提供或内容与要点不相符或内容不适用于本项目的不得分</w:t>
            </w:r>
            <w:r>
              <w:rPr>
                <w:rFonts w:ascii="宋体" w:hAnsi="宋体" w:eastAsia="宋体" w:cs="宋体"/>
                <w:color w:val="auto"/>
                <w:kern w:val="0"/>
                <w:sz w:val="24"/>
                <w:highlight w:val="none"/>
                <w:lang w:bidi="ar"/>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800" w:type="pct"/>
            <w:shd w:val="clear" w:color="auto" w:fill="auto"/>
            <w:vAlign w:val="center"/>
          </w:tcPr>
          <w:p>
            <w:pPr>
              <w:spacing w:line="50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3、山洪灾害小流域复核和特性提取方案</w:t>
            </w:r>
          </w:p>
        </w:tc>
        <w:tc>
          <w:tcPr>
            <w:tcW w:w="387" w:type="pct"/>
            <w:shd w:val="clear" w:color="auto" w:fill="auto"/>
            <w:vAlign w:val="center"/>
          </w:tcPr>
          <w:p>
            <w:pPr>
              <w:spacing w:line="50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3</w:t>
            </w:r>
          </w:p>
        </w:tc>
        <w:tc>
          <w:tcPr>
            <w:tcW w:w="535" w:type="pct"/>
            <w:shd w:val="clear" w:color="auto" w:fill="auto"/>
            <w:vAlign w:val="center"/>
          </w:tcPr>
          <w:p>
            <w:pPr>
              <w:spacing w:line="50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否</w:t>
            </w:r>
          </w:p>
        </w:tc>
        <w:tc>
          <w:tcPr>
            <w:tcW w:w="3277" w:type="pct"/>
            <w:shd w:val="clear" w:color="auto" w:fill="auto"/>
            <w:vAlign w:val="top"/>
          </w:tcPr>
          <w:p>
            <w:pPr>
              <w:spacing w:line="500" w:lineRule="exact"/>
              <w:rPr>
                <w:rFonts w:ascii="宋体" w:hAnsi="宋体" w:eastAsia="宋体" w:cs="宋体"/>
                <w:color w:val="auto"/>
                <w:kern w:val="0"/>
                <w:sz w:val="24"/>
                <w:highlight w:val="none"/>
                <w:lang w:bidi="ar"/>
              </w:rPr>
            </w:pPr>
            <w:r>
              <w:rPr>
                <w:rFonts w:ascii="宋体" w:hAnsi="宋体" w:eastAsia="宋体" w:cs="宋体"/>
                <w:color w:val="auto"/>
                <w:kern w:val="0"/>
                <w:sz w:val="24"/>
                <w:highlight w:val="none"/>
                <w:lang w:bidi="ar"/>
              </w:rPr>
              <w:t>根据投标人针对本项目提供的</w:t>
            </w:r>
            <w:r>
              <w:rPr>
                <w:rFonts w:hint="eastAsia" w:ascii="宋体" w:hAnsi="宋体" w:eastAsia="宋体" w:cs="宋体"/>
                <w:color w:val="auto"/>
                <w:kern w:val="0"/>
                <w:sz w:val="24"/>
                <w:highlight w:val="none"/>
                <w:lang w:bidi="ar"/>
              </w:rPr>
              <w:t>山洪灾害小流域复核和特性提取方案</w:t>
            </w:r>
            <w:r>
              <w:rPr>
                <w:rFonts w:ascii="宋体" w:hAnsi="宋体" w:eastAsia="宋体" w:cs="宋体"/>
                <w:color w:val="auto"/>
                <w:kern w:val="0"/>
                <w:sz w:val="24"/>
                <w:highlight w:val="none"/>
                <w:lang w:bidi="ar"/>
              </w:rPr>
              <w:t>（包含但不限于：小流域范围</w:t>
            </w:r>
            <w:r>
              <w:rPr>
                <w:rFonts w:hint="eastAsia" w:ascii="宋体" w:hAnsi="宋体" w:eastAsia="宋体" w:cs="宋体"/>
                <w:color w:val="auto"/>
                <w:kern w:val="0"/>
                <w:sz w:val="24"/>
                <w:highlight w:val="none"/>
                <w:lang w:bidi="ar"/>
              </w:rPr>
              <w:t>示意图、流域面积、小流域河长及起点终点位置</w:t>
            </w:r>
            <w:r>
              <w:rPr>
                <w:rFonts w:ascii="宋体" w:hAnsi="宋体" w:eastAsia="宋体" w:cs="宋体"/>
                <w:color w:val="auto"/>
                <w:kern w:val="0"/>
                <w:sz w:val="24"/>
                <w:highlight w:val="none"/>
                <w:lang w:bidi="ar"/>
              </w:rPr>
              <w:t>等）</w:t>
            </w:r>
            <w:r>
              <w:rPr>
                <w:rFonts w:hint="eastAsia" w:ascii="宋体" w:hAnsi="宋体" w:eastAsia="宋体" w:cs="宋体"/>
                <w:color w:val="auto"/>
                <w:kern w:val="0"/>
                <w:sz w:val="24"/>
                <w:highlight w:val="none"/>
                <w:lang w:bidi="ar"/>
              </w:rPr>
              <w:t>，由评标委员会进行评分：</w:t>
            </w:r>
          </w:p>
          <w:p>
            <w:pPr>
              <w:spacing w:line="500" w:lineRule="exact"/>
              <w:rPr>
                <w:rFonts w:ascii="宋体" w:hAnsi="宋体" w:eastAsia="宋体" w:cs="宋体"/>
                <w:color w:val="auto"/>
                <w:kern w:val="0"/>
                <w:sz w:val="24"/>
                <w:highlight w:val="none"/>
                <w:lang w:bidi="ar"/>
              </w:rPr>
            </w:pPr>
            <w:r>
              <w:rPr>
                <w:rFonts w:hint="eastAsia" w:ascii="宋体" w:hAnsi="宋体" w:eastAsia="宋体" w:cs="宋体"/>
                <w:bCs/>
                <w:color w:val="auto"/>
                <w:kern w:val="21"/>
                <w:sz w:val="24"/>
                <w:highlight w:val="none"/>
              </w:rPr>
              <w:t>①</w:t>
            </w:r>
            <w:r>
              <w:rPr>
                <w:rFonts w:hint="eastAsia" w:ascii="宋体" w:hAnsi="宋体" w:cs="宋体"/>
                <w:bCs/>
                <w:color w:val="auto"/>
                <w:kern w:val="21"/>
                <w:sz w:val="24"/>
                <w:highlight w:val="none"/>
              </w:rPr>
              <w:t>方案</w:t>
            </w:r>
            <w:r>
              <w:rPr>
                <w:rFonts w:hint="eastAsia" w:ascii="宋体" w:hAnsi="宋体" w:eastAsia="宋体" w:cs="宋体"/>
                <w:bCs/>
                <w:color w:val="auto"/>
                <w:kern w:val="21"/>
                <w:sz w:val="24"/>
                <w:highlight w:val="none"/>
              </w:rPr>
              <w:t>所包含的要点齐全无缺漏项、内容与要点相符、</w:t>
            </w:r>
            <w:r>
              <w:rPr>
                <w:rFonts w:hint="eastAsia" w:ascii="宋体" w:hAnsi="宋体" w:eastAsia="宋体" w:cs="宋体"/>
                <w:bCs/>
                <w:color w:val="auto"/>
                <w:sz w:val="24"/>
                <w:highlight w:val="none"/>
              </w:rPr>
              <w:t>每个要点均有展开详细的阐述、</w:t>
            </w:r>
            <w:r>
              <w:rPr>
                <w:rFonts w:ascii="宋体" w:hAnsi="宋体" w:eastAsia="宋体" w:cs="宋体"/>
                <w:color w:val="auto"/>
                <w:kern w:val="0"/>
                <w:sz w:val="24"/>
                <w:highlight w:val="none"/>
                <w:lang w:bidi="ar"/>
              </w:rPr>
              <w:t>能提供不少于</w:t>
            </w:r>
            <w:r>
              <w:rPr>
                <w:rFonts w:hint="eastAsia" w:ascii="宋体" w:hAnsi="宋体" w:eastAsia="宋体" w:cs="宋体"/>
                <w:color w:val="auto"/>
                <w:kern w:val="0"/>
                <w:sz w:val="24"/>
                <w:highlight w:val="none"/>
                <w:lang w:bidi="ar"/>
              </w:rPr>
              <w:t>50</w:t>
            </w:r>
            <w:r>
              <w:rPr>
                <w:rFonts w:ascii="宋体" w:hAnsi="宋体" w:eastAsia="宋体" w:cs="宋体"/>
                <w:color w:val="auto"/>
                <w:kern w:val="0"/>
                <w:sz w:val="24"/>
                <w:highlight w:val="none"/>
                <w:lang w:bidi="ar"/>
              </w:rPr>
              <w:t>个小流域提取样例</w:t>
            </w:r>
            <w:r>
              <w:rPr>
                <w:rFonts w:hint="eastAsia" w:ascii="宋体" w:hAnsi="宋体" w:eastAsia="宋体" w:cs="宋体"/>
                <w:color w:val="auto"/>
                <w:kern w:val="0"/>
                <w:sz w:val="24"/>
                <w:highlight w:val="none"/>
                <w:lang w:bidi="ar"/>
              </w:rPr>
              <w:t>且</w:t>
            </w:r>
            <w:r>
              <w:rPr>
                <w:rFonts w:hint="eastAsia" w:ascii="宋体" w:hAnsi="宋体" w:eastAsia="宋体" w:cs="宋体"/>
                <w:bCs/>
                <w:color w:val="auto"/>
                <w:sz w:val="24"/>
                <w:highlight w:val="none"/>
              </w:rPr>
              <w:t>能够适用于本项目得3分</w:t>
            </w:r>
            <w:r>
              <w:rPr>
                <w:rFonts w:hint="eastAsia" w:ascii="宋体" w:hAnsi="宋体" w:eastAsia="宋体" w:cs="宋体"/>
                <w:bCs/>
                <w:color w:val="auto"/>
                <w:kern w:val="21"/>
                <w:sz w:val="24"/>
                <w:highlight w:val="none"/>
              </w:rPr>
              <w:t>；</w:t>
            </w:r>
          </w:p>
          <w:p>
            <w:pPr>
              <w:spacing w:line="500" w:lineRule="exact"/>
              <w:rPr>
                <w:rFonts w:ascii="宋体" w:hAnsi="宋体" w:eastAsia="宋体" w:cs="宋体"/>
                <w:color w:val="auto"/>
                <w:kern w:val="0"/>
                <w:sz w:val="24"/>
                <w:highlight w:val="none"/>
                <w:lang w:bidi="ar"/>
              </w:rPr>
            </w:pPr>
            <w:r>
              <w:rPr>
                <w:rFonts w:hint="eastAsia" w:ascii="宋体" w:hAnsi="宋体" w:eastAsia="宋体" w:cs="宋体"/>
                <w:bCs/>
                <w:color w:val="auto"/>
                <w:sz w:val="24"/>
                <w:highlight w:val="none"/>
              </w:rPr>
              <w:t>②</w:t>
            </w:r>
            <w:r>
              <w:rPr>
                <w:rFonts w:hint="eastAsia" w:ascii="宋体" w:hAnsi="宋体" w:cs="宋体"/>
                <w:bCs/>
                <w:color w:val="auto"/>
                <w:kern w:val="21"/>
                <w:sz w:val="24"/>
                <w:highlight w:val="none"/>
              </w:rPr>
              <w:t>方案</w:t>
            </w:r>
            <w:r>
              <w:rPr>
                <w:rFonts w:hint="eastAsia" w:ascii="宋体" w:hAnsi="宋体" w:eastAsia="宋体" w:cs="宋体"/>
                <w:bCs/>
                <w:color w:val="auto"/>
                <w:kern w:val="21"/>
                <w:sz w:val="24"/>
                <w:highlight w:val="none"/>
              </w:rPr>
              <w:t>所包含的要点齐全</w:t>
            </w:r>
            <w:r>
              <w:rPr>
                <w:rFonts w:hint="eastAsia" w:ascii="宋体" w:hAnsi="宋体" w:eastAsia="宋体" w:cs="宋体"/>
                <w:bCs/>
                <w:color w:val="auto"/>
                <w:sz w:val="24"/>
                <w:highlight w:val="none"/>
              </w:rPr>
              <w:t>、内容与要点相符、每个要点均有展开阐述、</w:t>
            </w:r>
            <w:r>
              <w:rPr>
                <w:rFonts w:ascii="宋体" w:hAnsi="宋体" w:eastAsia="宋体" w:cs="宋体"/>
                <w:color w:val="auto"/>
                <w:kern w:val="0"/>
                <w:sz w:val="24"/>
                <w:highlight w:val="none"/>
                <w:lang w:bidi="ar"/>
              </w:rPr>
              <w:t>能提供不少于</w:t>
            </w:r>
            <w:r>
              <w:rPr>
                <w:rFonts w:hint="eastAsia" w:ascii="宋体" w:hAnsi="宋体" w:eastAsia="宋体" w:cs="宋体"/>
                <w:color w:val="auto"/>
                <w:kern w:val="0"/>
                <w:sz w:val="24"/>
                <w:highlight w:val="none"/>
                <w:lang w:bidi="ar"/>
              </w:rPr>
              <w:t>30</w:t>
            </w:r>
            <w:r>
              <w:rPr>
                <w:rFonts w:ascii="宋体" w:hAnsi="宋体" w:eastAsia="宋体" w:cs="宋体"/>
                <w:color w:val="auto"/>
                <w:kern w:val="0"/>
                <w:sz w:val="24"/>
                <w:highlight w:val="none"/>
                <w:lang w:bidi="ar"/>
              </w:rPr>
              <w:t>个小流域提取样例</w:t>
            </w:r>
            <w:r>
              <w:rPr>
                <w:rFonts w:hint="eastAsia" w:ascii="宋体" w:hAnsi="宋体" w:eastAsia="宋体" w:cs="宋体"/>
                <w:color w:val="auto"/>
                <w:kern w:val="0"/>
                <w:sz w:val="24"/>
                <w:highlight w:val="none"/>
                <w:lang w:bidi="ar"/>
              </w:rPr>
              <w:t>且</w:t>
            </w:r>
            <w:r>
              <w:rPr>
                <w:rFonts w:hint="eastAsia" w:ascii="宋体" w:hAnsi="宋体" w:eastAsia="宋体" w:cs="宋体"/>
                <w:bCs/>
                <w:color w:val="auto"/>
                <w:sz w:val="24"/>
                <w:highlight w:val="none"/>
              </w:rPr>
              <w:t>基本能够适用于本项目的得2.5分；</w:t>
            </w:r>
          </w:p>
          <w:p>
            <w:pPr>
              <w:spacing w:line="500" w:lineRule="exact"/>
              <w:rPr>
                <w:rFonts w:ascii="宋体" w:hAnsi="宋体" w:eastAsia="宋体" w:cs="宋体"/>
                <w:bCs/>
                <w:color w:val="auto"/>
                <w:kern w:val="21"/>
                <w:sz w:val="24"/>
                <w:highlight w:val="none"/>
              </w:rPr>
            </w:pPr>
            <w:r>
              <w:rPr>
                <w:rFonts w:hint="eastAsia" w:ascii="宋体" w:hAnsi="宋体" w:eastAsia="宋体" w:cs="宋体"/>
                <w:bCs/>
                <w:color w:val="auto"/>
                <w:sz w:val="24"/>
                <w:highlight w:val="none"/>
              </w:rPr>
              <w:t>③</w:t>
            </w:r>
            <w:r>
              <w:rPr>
                <w:rFonts w:hint="eastAsia" w:ascii="宋体" w:hAnsi="宋体" w:cs="宋体"/>
                <w:bCs/>
                <w:color w:val="auto"/>
                <w:kern w:val="21"/>
                <w:sz w:val="24"/>
                <w:highlight w:val="none"/>
              </w:rPr>
              <w:t>方案</w:t>
            </w:r>
            <w:r>
              <w:rPr>
                <w:rFonts w:hint="eastAsia" w:ascii="宋体" w:hAnsi="宋体" w:eastAsia="宋体" w:cs="宋体"/>
                <w:bCs/>
                <w:color w:val="auto"/>
                <w:kern w:val="21"/>
                <w:sz w:val="24"/>
                <w:highlight w:val="none"/>
              </w:rPr>
              <w:t>所包含的要点</w:t>
            </w:r>
            <w:r>
              <w:rPr>
                <w:rFonts w:hint="eastAsia" w:ascii="宋体" w:hAnsi="宋体" w:eastAsia="宋体" w:cs="宋体"/>
                <w:bCs/>
                <w:color w:val="auto"/>
                <w:sz w:val="24"/>
                <w:highlight w:val="none"/>
              </w:rPr>
              <w:t>有缺漏、内容与要点相符、</w:t>
            </w:r>
            <w:r>
              <w:rPr>
                <w:rFonts w:hint="eastAsia" w:ascii="宋体" w:hAnsi="宋体" w:eastAsia="宋体" w:cs="宋体"/>
                <w:bCs/>
                <w:color w:val="auto"/>
                <w:kern w:val="21"/>
                <w:sz w:val="24"/>
                <w:highlight w:val="none"/>
              </w:rPr>
              <w:t>但仅有纲要内容简略、</w:t>
            </w:r>
            <w:r>
              <w:rPr>
                <w:rFonts w:ascii="宋体" w:hAnsi="宋体" w:eastAsia="宋体" w:cs="宋体"/>
                <w:color w:val="auto"/>
                <w:kern w:val="0"/>
                <w:sz w:val="24"/>
                <w:highlight w:val="none"/>
                <w:lang w:bidi="ar"/>
              </w:rPr>
              <w:t>能提供不少于</w:t>
            </w:r>
            <w:r>
              <w:rPr>
                <w:rFonts w:hint="eastAsia" w:ascii="宋体" w:hAnsi="宋体" w:eastAsia="宋体" w:cs="宋体"/>
                <w:color w:val="auto"/>
                <w:kern w:val="0"/>
                <w:sz w:val="24"/>
                <w:highlight w:val="none"/>
                <w:lang w:bidi="ar"/>
              </w:rPr>
              <w:t>10</w:t>
            </w:r>
            <w:r>
              <w:rPr>
                <w:rFonts w:ascii="宋体" w:hAnsi="宋体" w:eastAsia="宋体" w:cs="宋体"/>
                <w:color w:val="auto"/>
                <w:kern w:val="0"/>
                <w:sz w:val="24"/>
                <w:highlight w:val="none"/>
                <w:lang w:bidi="ar"/>
              </w:rPr>
              <w:t>个小流域提取样例</w:t>
            </w:r>
            <w:r>
              <w:rPr>
                <w:rFonts w:hint="eastAsia" w:ascii="宋体" w:hAnsi="宋体" w:eastAsia="宋体" w:cs="宋体"/>
                <w:bCs/>
                <w:color w:val="auto"/>
                <w:kern w:val="21"/>
                <w:sz w:val="24"/>
                <w:highlight w:val="none"/>
              </w:rPr>
              <w:t>的得</w:t>
            </w:r>
            <w:r>
              <w:rPr>
                <w:rFonts w:hint="eastAsia" w:ascii="宋体" w:hAnsi="宋体" w:cs="宋体"/>
                <w:bCs/>
                <w:color w:val="auto"/>
                <w:kern w:val="21"/>
                <w:sz w:val="24"/>
                <w:highlight w:val="none"/>
              </w:rPr>
              <w:t>2</w:t>
            </w:r>
            <w:r>
              <w:rPr>
                <w:rFonts w:hint="eastAsia" w:ascii="宋体" w:hAnsi="宋体" w:eastAsia="宋体" w:cs="宋体"/>
                <w:bCs/>
                <w:color w:val="auto"/>
                <w:kern w:val="21"/>
                <w:sz w:val="24"/>
                <w:highlight w:val="none"/>
              </w:rPr>
              <w:t>分；</w:t>
            </w:r>
          </w:p>
          <w:p>
            <w:pPr>
              <w:spacing w:line="500" w:lineRule="exact"/>
              <w:rPr>
                <w:rFonts w:hint="eastAsia" w:ascii="宋体" w:hAnsi="宋体" w:eastAsia="宋体" w:cs="宋体"/>
                <w:color w:val="auto"/>
                <w:kern w:val="0"/>
                <w:sz w:val="24"/>
                <w:highlight w:val="none"/>
                <w:lang w:val="en-US" w:eastAsia="zh-CN" w:bidi="ar"/>
              </w:rPr>
            </w:pPr>
            <w:r>
              <w:rPr>
                <w:rFonts w:hint="eastAsia" w:ascii="宋体" w:hAnsi="宋体" w:eastAsia="宋体" w:cs="宋体"/>
                <w:bCs/>
                <w:color w:val="auto"/>
                <w:sz w:val="24"/>
                <w:highlight w:val="none"/>
              </w:rPr>
              <w:t>④未提供或内容与要点不相符或内容不适用于本项目的不得分</w:t>
            </w:r>
            <w:r>
              <w:rPr>
                <w:rFonts w:ascii="宋体" w:hAnsi="宋体" w:eastAsia="宋体" w:cs="宋体"/>
                <w:color w:val="auto"/>
                <w:kern w:val="0"/>
                <w:sz w:val="24"/>
                <w:highlight w:val="none"/>
                <w:lang w:bidi="ar"/>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800" w:type="pct"/>
            <w:shd w:val="clear" w:color="auto" w:fill="auto"/>
            <w:vAlign w:val="center"/>
          </w:tcPr>
          <w:p>
            <w:pPr>
              <w:spacing w:line="500" w:lineRule="exact"/>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4</w:t>
            </w:r>
            <w:r>
              <w:rPr>
                <w:rFonts w:ascii="宋体" w:hAnsi="宋体" w:eastAsia="宋体" w:cs="宋体"/>
                <w:color w:val="auto"/>
                <w:kern w:val="0"/>
                <w:sz w:val="24"/>
                <w:highlight w:val="none"/>
                <w:lang w:bidi="ar"/>
              </w:rPr>
              <w:t>、</w:t>
            </w:r>
            <w:r>
              <w:rPr>
                <w:rFonts w:hint="eastAsia" w:ascii="宋体" w:hAnsi="宋体" w:eastAsia="宋体" w:cs="宋体"/>
                <w:color w:val="auto"/>
                <w:kern w:val="0"/>
                <w:sz w:val="24"/>
                <w:highlight w:val="none"/>
                <w:lang w:bidi="ar"/>
              </w:rPr>
              <w:t>数据入库方案</w:t>
            </w:r>
          </w:p>
        </w:tc>
        <w:tc>
          <w:tcPr>
            <w:tcW w:w="387" w:type="pct"/>
            <w:shd w:val="clear" w:color="auto" w:fill="auto"/>
            <w:vAlign w:val="center"/>
          </w:tcPr>
          <w:p>
            <w:pPr>
              <w:spacing w:line="50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3</w:t>
            </w:r>
          </w:p>
        </w:tc>
        <w:tc>
          <w:tcPr>
            <w:tcW w:w="535" w:type="pct"/>
            <w:shd w:val="clear" w:color="auto" w:fill="auto"/>
            <w:vAlign w:val="center"/>
          </w:tcPr>
          <w:p>
            <w:pPr>
              <w:spacing w:line="50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否</w:t>
            </w:r>
          </w:p>
        </w:tc>
        <w:tc>
          <w:tcPr>
            <w:tcW w:w="3277" w:type="pct"/>
            <w:shd w:val="clear" w:color="auto" w:fill="auto"/>
            <w:vAlign w:val="center"/>
          </w:tcPr>
          <w:p>
            <w:pPr>
              <w:spacing w:line="500" w:lineRule="exact"/>
              <w:rPr>
                <w:rFonts w:ascii="宋体" w:hAnsi="宋体" w:eastAsia="宋体" w:cs="宋体"/>
                <w:color w:val="auto"/>
                <w:kern w:val="0"/>
                <w:sz w:val="24"/>
                <w:highlight w:val="none"/>
                <w:lang w:bidi="ar"/>
              </w:rPr>
            </w:pPr>
            <w:r>
              <w:rPr>
                <w:rFonts w:ascii="宋体" w:hAnsi="宋体" w:eastAsia="宋体" w:cs="宋体"/>
                <w:color w:val="auto"/>
                <w:kern w:val="0"/>
                <w:sz w:val="24"/>
                <w:highlight w:val="none"/>
                <w:lang w:bidi="ar"/>
              </w:rPr>
              <w:t>根据投标人针对本项目提供的</w:t>
            </w:r>
            <w:r>
              <w:rPr>
                <w:rFonts w:hint="eastAsia" w:ascii="宋体" w:hAnsi="宋体" w:eastAsia="宋体" w:cs="宋体"/>
                <w:color w:val="auto"/>
                <w:kern w:val="0"/>
                <w:sz w:val="24"/>
                <w:highlight w:val="none"/>
                <w:lang w:bidi="ar"/>
              </w:rPr>
              <w:t>数据入库方案</w:t>
            </w:r>
            <w:r>
              <w:rPr>
                <w:rFonts w:ascii="宋体" w:hAnsi="宋体" w:eastAsia="宋体" w:cs="宋体"/>
                <w:color w:val="auto"/>
                <w:kern w:val="0"/>
                <w:sz w:val="24"/>
                <w:highlight w:val="none"/>
                <w:lang w:bidi="ar"/>
              </w:rPr>
              <w:t>（包括但不限于</w:t>
            </w:r>
            <w:r>
              <w:rPr>
                <w:rFonts w:hint="eastAsia" w:ascii="宋体" w:hAnsi="宋体" w:eastAsia="宋体" w:cs="宋体"/>
                <w:color w:val="auto"/>
                <w:kern w:val="0"/>
                <w:sz w:val="24"/>
                <w:highlight w:val="none"/>
                <w:lang w:bidi="ar"/>
              </w:rPr>
              <w:t>数据建设内容、防汛系统对接方案</w:t>
            </w:r>
            <w:r>
              <w:rPr>
                <w:rFonts w:ascii="宋体" w:hAnsi="宋体" w:eastAsia="宋体" w:cs="宋体"/>
                <w:color w:val="auto"/>
                <w:kern w:val="0"/>
                <w:sz w:val="24"/>
                <w:highlight w:val="none"/>
                <w:lang w:bidi="ar"/>
              </w:rPr>
              <w:t>等）</w:t>
            </w:r>
            <w:r>
              <w:rPr>
                <w:rFonts w:hint="eastAsia" w:ascii="宋体" w:hAnsi="宋体" w:eastAsia="宋体" w:cs="宋体"/>
                <w:color w:val="auto"/>
                <w:kern w:val="0"/>
                <w:sz w:val="24"/>
                <w:highlight w:val="none"/>
                <w:lang w:bidi="ar"/>
              </w:rPr>
              <w:t>，</w:t>
            </w:r>
            <w:r>
              <w:rPr>
                <w:rFonts w:ascii="宋体" w:hAnsi="宋体" w:eastAsia="宋体" w:cs="宋体"/>
                <w:color w:val="auto"/>
                <w:kern w:val="0"/>
                <w:sz w:val="24"/>
                <w:highlight w:val="none"/>
                <w:lang w:bidi="ar"/>
              </w:rPr>
              <w:t>由评标委员会进行评分：</w:t>
            </w:r>
          </w:p>
          <w:p>
            <w:pPr>
              <w:spacing w:line="500" w:lineRule="exact"/>
              <w:rPr>
                <w:rFonts w:ascii="宋体" w:hAnsi="宋体" w:eastAsia="宋体" w:cs="宋体"/>
                <w:color w:val="auto"/>
                <w:kern w:val="0"/>
                <w:sz w:val="24"/>
                <w:highlight w:val="none"/>
                <w:lang w:bidi="ar"/>
              </w:rPr>
            </w:pPr>
            <w:r>
              <w:rPr>
                <w:rFonts w:hint="eastAsia" w:ascii="宋体" w:hAnsi="宋体" w:eastAsia="宋体" w:cs="宋体"/>
                <w:bCs/>
                <w:color w:val="auto"/>
                <w:kern w:val="21"/>
                <w:sz w:val="24"/>
                <w:highlight w:val="none"/>
              </w:rPr>
              <w:t>①</w:t>
            </w:r>
            <w:r>
              <w:rPr>
                <w:rFonts w:hint="eastAsia" w:ascii="宋体" w:hAnsi="宋体" w:cs="宋体"/>
                <w:bCs/>
                <w:color w:val="auto"/>
                <w:kern w:val="21"/>
                <w:sz w:val="24"/>
                <w:highlight w:val="none"/>
              </w:rPr>
              <w:t>方案</w:t>
            </w:r>
            <w:r>
              <w:rPr>
                <w:rFonts w:hint="eastAsia" w:ascii="宋体" w:hAnsi="宋体" w:eastAsia="宋体" w:cs="宋体"/>
                <w:bCs/>
                <w:color w:val="auto"/>
                <w:kern w:val="21"/>
                <w:sz w:val="24"/>
                <w:highlight w:val="none"/>
              </w:rPr>
              <w:t>所包含的要点齐全无缺漏项、内容与要点相符、</w:t>
            </w:r>
            <w:r>
              <w:rPr>
                <w:rFonts w:hint="eastAsia" w:ascii="宋体" w:hAnsi="宋体" w:eastAsia="宋体" w:cs="宋体"/>
                <w:bCs/>
                <w:color w:val="auto"/>
                <w:sz w:val="24"/>
                <w:highlight w:val="none"/>
              </w:rPr>
              <w:t>每个要点均有展开详细的阐述且能够适用于本项目得3分</w:t>
            </w:r>
            <w:r>
              <w:rPr>
                <w:rFonts w:hint="eastAsia" w:ascii="宋体" w:hAnsi="宋体" w:eastAsia="宋体" w:cs="宋体"/>
                <w:bCs/>
                <w:color w:val="auto"/>
                <w:kern w:val="21"/>
                <w:sz w:val="24"/>
                <w:highlight w:val="none"/>
              </w:rPr>
              <w:t>；</w:t>
            </w:r>
            <w:r>
              <w:rPr>
                <w:rFonts w:hint="eastAsia" w:ascii="宋体" w:hAnsi="宋体" w:eastAsia="宋体" w:cs="宋体"/>
                <w:bCs/>
                <w:color w:val="auto"/>
                <w:sz w:val="24"/>
                <w:highlight w:val="none"/>
              </w:rPr>
              <w:t>②</w:t>
            </w:r>
            <w:r>
              <w:rPr>
                <w:rFonts w:hint="eastAsia" w:ascii="宋体" w:hAnsi="宋体" w:cs="宋体"/>
                <w:bCs/>
                <w:color w:val="auto"/>
                <w:kern w:val="21"/>
                <w:sz w:val="24"/>
                <w:highlight w:val="none"/>
              </w:rPr>
              <w:t>方案</w:t>
            </w:r>
            <w:r>
              <w:rPr>
                <w:rFonts w:hint="eastAsia" w:ascii="宋体" w:hAnsi="宋体" w:eastAsia="宋体" w:cs="宋体"/>
                <w:bCs/>
                <w:color w:val="auto"/>
                <w:kern w:val="21"/>
                <w:sz w:val="24"/>
                <w:highlight w:val="none"/>
              </w:rPr>
              <w:t>所包含的要点齐全</w:t>
            </w:r>
            <w:r>
              <w:rPr>
                <w:rFonts w:hint="eastAsia" w:ascii="宋体" w:hAnsi="宋体" w:eastAsia="宋体" w:cs="宋体"/>
                <w:bCs/>
                <w:color w:val="auto"/>
                <w:sz w:val="24"/>
                <w:highlight w:val="none"/>
              </w:rPr>
              <w:t>、内容与要点相符、每个要点均有展开阐述且基本能够适用于本项目的得2.5分；</w:t>
            </w:r>
          </w:p>
          <w:p>
            <w:pPr>
              <w:spacing w:line="500" w:lineRule="exact"/>
              <w:rPr>
                <w:rFonts w:ascii="宋体" w:hAnsi="宋体" w:eastAsia="宋体" w:cs="宋体"/>
                <w:color w:val="auto"/>
                <w:kern w:val="0"/>
                <w:sz w:val="24"/>
                <w:highlight w:val="none"/>
                <w:lang w:bidi="ar"/>
              </w:rPr>
            </w:pPr>
            <w:r>
              <w:rPr>
                <w:rFonts w:hint="eastAsia" w:ascii="宋体" w:hAnsi="宋体" w:eastAsia="宋体" w:cs="宋体"/>
                <w:bCs/>
                <w:color w:val="auto"/>
                <w:sz w:val="24"/>
                <w:highlight w:val="none"/>
              </w:rPr>
              <w:t>③</w:t>
            </w:r>
            <w:r>
              <w:rPr>
                <w:rFonts w:hint="eastAsia" w:ascii="宋体" w:hAnsi="宋体" w:cs="宋体"/>
                <w:bCs/>
                <w:color w:val="auto"/>
                <w:kern w:val="21"/>
                <w:sz w:val="24"/>
                <w:highlight w:val="none"/>
              </w:rPr>
              <w:t>方案</w:t>
            </w:r>
            <w:r>
              <w:rPr>
                <w:rFonts w:hint="eastAsia" w:ascii="宋体" w:hAnsi="宋体" w:eastAsia="宋体" w:cs="宋体"/>
                <w:bCs/>
                <w:color w:val="auto"/>
                <w:kern w:val="21"/>
                <w:sz w:val="24"/>
                <w:highlight w:val="none"/>
              </w:rPr>
              <w:t>所包含的要点</w:t>
            </w:r>
            <w:r>
              <w:rPr>
                <w:rFonts w:hint="eastAsia" w:ascii="宋体" w:hAnsi="宋体" w:eastAsia="宋体" w:cs="宋体"/>
                <w:bCs/>
                <w:color w:val="auto"/>
                <w:sz w:val="24"/>
                <w:highlight w:val="none"/>
              </w:rPr>
              <w:t>有缺漏、内容与要点相符、</w:t>
            </w:r>
            <w:r>
              <w:rPr>
                <w:rFonts w:hint="eastAsia" w:ascii="宋体" w:hAnsi="宋体" w:eastAsia="宋体" w:cs="宋体"/>
                <w:bCs/>
                <w:color w:val="auto"/>
                <w:kern w:val="21"/>
                <w:sz w:val="24"/>
                <w:highlight w:val="none"/>
              </w:rPr>
              <w:t>但仅有纲要内容简略的得</w:t>
            </w:r>
            <w:r>
              <w:rPr>
                <w:rFonts w:hint="eastAsia" w:ascii="宋体" w:hAnsi="宋体" w:cs="宋体"/>
                <w:bCs/>
                <w:color w:val="auto"/>
                <w:kern w:val="21"/>
                <w:sz w:val="24"/>
                <w:highlight w:val="none"/>
              </w:rPr>
              <w:t>2</w:t>
            </w:r>
            <w:r>
              <w:rPr>
                <w:rFonts w:hint="eastAsia" w:ascii="宋体" w:hAnsi="宋体" w:eastAsia="宋体" w:cs="宋体"/>
                <w:bCs/>
                <w:color w:val="auto"/>
                <w:kern w:val="21"/>
                <w:sz w:val="24"/>
                <w:highlight w:val="none"/>
              </w:rPr>
              <w:t>分</w:t>
            </w:r>
            <w:r>
              <w:rPr>
                <w:rFonts w:hint="eastAsia" w:ascii="宋体" w:hAnsi="宋体" w:cs="宋体"/>
                <w:bCs/>
                <w:color w:val="auto"/>
                <w:kern w:val="21"/>
                <w:sz w:val="24"/>
                <w:highlight w:val="none"/>
              </w:rPr>
              <w:t>；</w:t>
            </w:r>
          </w:p>
          <w:p>
            <w:pPr>
              <w:spacing w:line="500" w:lineRule="exact"/>
              <w:rPr>
                <w:rFonts w:hint="eastAsia" w:ascii="宋体" w:hAnsi="宋体" w:eastAsia="宋体" w:cs="宋体"/>
                <w:color w:val="auto"/>
                <w:kern w:val="0"/>
                <w:sz w:val="24"/>
                <w:highlight w:val="none"/>
                <w:lang w:val="en-US" w:eastAsia="zh-CN" w:bidi="ar"/>
              </w:rPr>
            </w:pPr>
            <w:r>
              <w:rPr>
                <w:rFonts w:hint="eastAsia" w:ascii="宋体" w:hAnsi="宋体" w:eastAsia="宋体" w:cs="宋体"/>
                <w:bCs/>
                <w:color w:val="auto"/>
                <w:sz w:val="24"/>
                <w:highlight w:val="none"/>
              </w:rPr>
              <w:t>④未提供或内容与要点不相符或内容不适用于本项目的不得分</w:t>
            </w:r>
            <w:r>
              <w:rPr>
                <w:rFonts w:ascii="宋体" w:hAnsi="宋体" w:eastAsia="宋体" w:cs="宋体"/>
                <w:color w:val="auto"/>
                <w:kern w:val="0"/>
                <w:sz w:val="24"/>
                <w:highlight w:val="none"/>
                <w:lang w:bidi="ar"/>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800" w:type="pct"/>
            <w:shd w:val="clear" w:color="auto" w:fill="auto"/>
            <w:vAlign w:val="center"/>
          </w:tcPr>
          <w:p>
            <w:pPr>
              <w:spacing w:line="500" w:lineRule="exact"/>
              <w:jc w:val="center"/>
              <w:rPr>
                <w:rFonts w:hint="eastAsia" w:ascii="宋体" w:hAnsi="宋体" w:eastAsia="宋体" w:cs="宋体"/>
                <w:color w:val="auto"/>
                <w:kern w:val="0"/>
                <w:sz w:val="24"/>
                <w:szCs w:val="24"/>
                <w:highlight w:val="none"/>
                <w:lang w:val="en-US" w:eastAsia="zh-Hans" w:bidi="ar"/>
              </w:rPr>
            </w:pPr>
            <w:r>
              <w:rPr>
                <w:rFonts w:hint="eastAsia" w:ascii="宋体" w:hAnsi="宋体" w:eastAsia="宋体" w:cs="宋体"/>
                <w:color w:val="auto"/>
                <w:kern w:val="0"/>
                <w:sz w:val="24"/>
                <w:highlight w:val="none"/>
                <w:lang w:val="en-US" w:eastAsia="zh-CN" w:bidi="ar"/>
              </w:rPr>
              <w:t>5</w:t>
            </w:r>
            <w:r>
              <w:rPr>
                <w:rFonts w:hint="eastAsia" w:ascii="宋体" w:hAnsi="宋体" w:eastAsia="宋体" w:cs="宋体"/>
                <w:color w:val="auto"/>
                <w:kern w:val="0"/>
                <w:sz w:val="24"/>
                <w:highlight w:val="none"/>
                <w:lang w:bidi="ar"/>
              </w:rPr>
              <w:t>、</w:t>
            </w:r>
            <w:r>
              <w:rPr>
                <w:rFonts w:hint="eastAsia" w:ascii="宋体" w:hAnsi="宋体" w:eastAsia="宋体" w:cs="宋体"/>
                <w:color w:val="auto"/>
                <w:kern w:val="0"/>
                <w:sz w:val="24"/>
                <w:highlight w:val="none"/>
                <w:lang w:val="en-US" w:eastAsia="zh-CN" w:bidi="ar"/>
              </w:rPr>
              <w:t>测绘</w:t>
            </w:r>
            <w:r>
              <w:rPr>
                <w:rFonts w:hint="eastAsia" w:ascii="宋体" w:hAnsi="宋体" w:eastAsia="宋体" w:cs="宋体"/>
                <w:color w:val="auto"/>
                <w:kern w:val="0"/>
                <w:sz w:val="24"/>
                <w:highlight w:val="none"/>
                <w:lang w:bidi="ar"/>
              </w:rPr>
              <w:t>负责人</w:t>
            </w:r>
          </w:p>
        </w:tc>
        <w:tc>
          <w:tcPr>
            <w:tcW w:w="387" w:type="pct"/>
            <w:shd w:val="clear" w:color="auto" w:fill="auto"/>
            <w:vAlign w:val="center"/>
          </w:tcPr>
          <w:p>
            <w:pPr>
              <w:spacing w:line="500" w:lineRule="exact"/>
              <w:jc w:val="center"/>
              <w:rPr>
                <w:rFonts w:hint="eastAsia" w:ascii="宋体" w:hAnsi="宋体" w:eastAsia="宋体" w:cs="宋体"/>
                <w:color w:val="auto"/>
                <w:kern w:val="0"/>
                <w:sz w:val="24"/>
                <w:szCs w:val="24"/>
                <w:highlight w:val="none"/>
                <w:lang w:val="en-US" w:eastAsia="zh-Hans" w:bidi="ar"/>
              </w:rPr>
            </w:pPr>
            <w:r>
              <w:rPr>
                <w:rFonts w:hint="eastAsia" w:ascii="宋体" w:hAnsi="宋体" w:eastAsia="宋体" w:cs="宋体"/>
                <w:color w:val="auto"/>
                <w:kern w:val="0"/>
                <w:sz w:val="24"/>
                <w:highlight w:val="none"/>
                <w:lang w:val="en-US" w:eastAsia="zh-CN" w:bidi="ar"/>
              </w:rPr>
              <w:t>3</w:t>
            </w:r>
          </w:p>
        </w:tc>
        <w:tc>
          <w:tcPr>
            <w:tcW w:w="535" w:type="pct"/>
            <w:shd w:val="clear" w:color="auto" w:fill="auto"/>
            <w:vAlign w:val="center"/>
          </w:tcPr>
          <w:p>
            <w:pPr>
              <w:spacing w:line="500" w:lineRule="exact"/>
              <w:jc w:val="center"/>
              <w:rPr>
                <w:rFonts w:hint="default"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highlight w:val="none"/>
                <w:lang w:bidi="ar"/>
              </w:rPr>
              <w:t>是</w:t>
            </w:r>
          </w:p>
        </w:tc>
        <w:tc>
          <w:tcPr>
            <w:tcW w:w="3277" w:type="pct"/>
            <w:shd w:val="clear" w:color="auto" w:fill="auto"/>
            <w:vAlign w:val="center"/>
          </w:tcPr>
          <w:p>
            <w:pPr>
              <w:spacing w:line="500" w:lineRule="exact"/>
              <w:rPr>
                <w:rFonts w:ascii="宋体" w:hAnsi="宋体" w:eastAsia="宋体" w:cs="宋体"/>
                <w:color w:val="auto"/>
                <w:kern w:val="0"/>
                <w:sz w:val="24"/>
                <w:highlight w:val="none"/>
                <w:lang w:bidi="ar"/>
              </w:rPr>
            </w:pPr>
            <w:r>
              <w:rPr>
                <w:rFonts w:ascii="宋体" w:hAnsi="宋体" w:eastAsia="宋体" w:cs="宋体"/>
                <w:color w:val="auto"/>
                <w:kern w:val="0"/>
                <w:sz w:val="24"/>
                <w:highlight w:val="none"/>
                <w:lang w:bidi="ar"/>
              </w:rPr>
              <w:t>根据</w:t>
            </w:r>
            <w:r>
              <w:rPr>
                <w:rFonts w:ascii="宋体" w:hAnsi="宋体" w:eastAsia="宋体" w:cs="宋体"/>
                <w:color w:val="auto"/>
                <w:kern w:val="0"/>
                <w:sz w:val="24"/>
                <w:highlight w:val="none"/>
                <w:lang w:eastAsia="zh-Hans" w:bidi="ar"/>
              </w:rPr>
              <w:t>投标人拟投入本项目的</w:t>
            </w:r>
            <w:r>
              <w:rPr>
                <w:rFonts w:hint="eastAsia" w:ascii="宋体" w:hAnsi="宋体" w:eastAsia="宋体" w:cs="宋体"/>
                <w:color w:val="auto"/>
                <w:kern w:val="0"/>
                <w:sz w:val="24"/>
                <w:highlight w:val="none"/>
                <w:lang w:val="en-US" w:eastAsia="zh-CN" w:bidi="ar"/>
              </w:rPr>
              <w:t>测绘</w:t>
            </w:r>
            <w:r>
              <w:rPr>
                <w:rFonts w:hint="eastAsia" w:ascii="宋体" w:hAnsi="宋体" w:eastAsia="宋体" w:cs="宋体"/>
                <w:color w:val="auto"/>
                <w:kern w:val="0"/>
                <w:sz w:val="24"/>
                <w:highlight w:val="none"/>
                <w:lang w:bidi="ar"/>
              </w:rPr>
              <w:t>负责人，</w:t>
            </w:r>
            <w:r>
              <w:rPr>
                <w:rFonts w:ascii="宋体" w:hAnsi="宋体" w:eastAsia="宋体" w:cs="宋体"/>
                <w:color w:val="auto"/>
                <w:kern w:val="0"/>
                <w:sz w:val="24"/>
                <w:highlight w:val="none"/>
                <w:lang w:bidi="ar"/>
              </w:rPr>
              <w:t>由评标委员会进行评分：</w:t>
            </w:r>
          </w:p>
          <w:p>
            <w:pPr>
              <w:spacing w:line="500" w:lineRule="exact"/>
              <w:rPr>
                <w:rFonts w:ascii="宋体" w:hAnsi="宋体" w:eastAsia="宋体" w:cs="宋体"/>
                <w:bCs/>
                <w:color w:val="auto"/>
                <w:sz w:val="24"/>
                <w:highlight w:val="none"/>
              </w:rPr>
            </w:pPr>
            <w:r>
              <w:rPr>
                <w:rFonts w:hint="eastAsia" w:ascii="宋体" w:hAnsi="宋体" w:eastAsia="宋体" w:cs="宋体"/>
                <w:bCs/>
                <w:color w:val="auto"/>
                <w:kern w:val="21"/>
                <w:sz w:val="24"/>
                <w:highlight w:val="none"/>
              </w:rPr>
              <w:t>①</w:t>
            </w:r>
            <w:r>
              <w:rPr>
                <w:rFonts w:ascii="宋体" w:hAnsi="宋体" w:eastAsia="宋体" w:cs="宋体"/>
                <w:color w:val="auto"/>
                <w:kern w:val="0"/>
                <w:sz w:val="24"/>
                <w:highlight w:val="none"/>
                <w:lang w:eastAsia="zh-Hans" w:bidi="ar"/>
              </w:rPr>
              <w:t>具备</w:t>
            </w:r>
            <w:r>
              <w:rPr>
                <w:rFonts w:hint="eastAsia" w:ascii="宋体" w:hAnsi="宋体" w:eastAsia="宋体" w:cs="宋体"/>
                <w:bCs/>
                <w:color w:val="auto"/>
                <w:kern w:val="21"/>
                <w:sz w:val="24"/>
                <w:highlight w:val="none"/>
                <w:lang w:val="en-US" w:eastAsia="zh-CN"/>
              </w:rPr>
              <w:t>工程测量专业工程师及以上职称的得1.5分</w:t>
            </w:r>
            <w:r>
              <w:rPr>
                <w:rFonts w:hint="eastAsia" w:ascii="宋体" w:hAnsi="宋体" w:eastAsia="宋体" w:cs="宋体"/>
                <w:bCs/>
                <w:color w:val="auto"/>
                <w:sz w:val="24"/>
                <w:highlight w:val="none"/>
              </w:rPr>
              <w:t>；</w:t>
            </w:r>
          </w:p>
          <w:p>
            <w:pPr>
              <w:spacing w:line="500" w:lineRule="exact"/>
              <w:rPr>
                <w:rFonts w:ascii="宋体" w:hAnsi="宋体" w:eastAsia="宋体" w:cs="宋体"/>
                <w:bCs/>
                <w:color w:val="auto"/>
                <w:sz w:val="24"/>
                <w:highlight w:val="none"/>
              </w:rPr>
            </w:pPr>
            <w:r>
              <w:rPr>
                <w:rFonts w:hint="eastAsia" w:ascii="宋体" w:hAnsi="宋体" w:eastAsia="宋体" w:cs="宋体"/>
                <w:bCs/>
                <w:color w:val="auto"/>
                <w:sz w:val="24"/>
                <w:highlight w:val="none"/>
              </w:rPr>
              <w:t>②</w:t>
            </w:r>
            <w:r>
              <w:rPr>
                <w:rFonts w:ascii="宋体" w:hAnsi="宋体" w:eastAsia="宋体" w:cs="宋体"/>
                <w:color w:val="auto"/>
                <w:kern w:val="0"/>
                <w:sz w:val="24"/>
                <w:highlight w:val="none"/>
                <w:lang w:eastAsia="zh-Hans" w:bidi="ar"/>
              </w:rPr>
              <w:t>具备</w:t>
            </w:r>
            <w:r>
              <w:rPr>
                <w:rFonts w:hint="eastAsia" w:ascii="宋体" w:hAnsi="宋体" w:eastAsia="宋体" w:cs="宋体"/>
                <w:color w:val="auto"/>
                <w:kern w:val="0"/>
                <w:sz w:val="24"/>
                <w:highlight w:val="none"/>
                <w:lang w:eastAsia="zh-Hans" w:bidi="ar"/>
              </w:rPr>
              <w:t>水利水电</w:t>
            </w:r>
            <w:r>
              <w:rPr>
                <w:rFonts w:hint="eastAsia" w:ascii="宋体" w:hAnsi="宋体" w:eastAsia="宋体" w:cs="宋体"/>
                <w:color w:val="auto"/>
                <w:kern w:val="0"/>
                <w:sz w:val="24"/>
                <w:highlight w:val="none"/>
                <w:lang w:eastAsia="zh-CN" w:bidi="ar"/>
              </w:rPr>
              <w:t>相关</w:t>
            </w:r>
            <w:r>
              <w:rPr>
                <w:rFonts w:hint="eastAsia" w:ascii="宋体" w:hAnsi="宋体" w:eastAsia="宋体" w:cs="宋体"/>
                <w:bCs/>
                <w:color w:val="auto"/>
                <w:kern w:val="21"/>
                <w:sz w:val="24"/>
                <w:highlight w:val="none"/>
                <w:lang w:val="en-US" w:eastAsia="zh-CN"/>
              </w:rPr>
              <w:t>专业工程师及以上职称的得1.5分</w:t>
            </w:r>
            <w:r>
              <w:rPr>
                <w:rFonts w:hint="eastAsia" w:ascii="宋体" w:hAnsi="宋体" w:eastAsia="宋体" w:cs="宋体"/>
                <w:bCs/>
                <w:color w:val="auto"/>
                <w:sz w:val="24"/>
                <w:highlight w:val="none"/>
              </w:rPr>
              <w:t>；</w:t>
            </w:r>
          </w:p>
          <w:p>
            <w:pPr>
              <w:spacing w:line="500" w:lineRule="exact"/>
              <w:rPr>
                <w:rFonts w:hint="default" w:ascii="宋体" w:hAnsi="宋体" w:eastAsia="宋体" w:cs="宋体"/>
                <w:bCs/>
                <w:color w:val="auto"/>
                <w:kern w:val="2"/>
                <w:sz w:val="24"/>
                <w:szCs w:val="24"/>
                <w:highlight w:val="none"/>
                <w:lang w:val="en-US" w:eastAsia="zh-CN" w:bidi="ar-SA"/>
              </w:rPr>
            </w:pPr>
            <w:r>
              <w:rPr>
                <w:rFonts w:ascii="宋体" w:hAnsi="宋体" w:eastAsia="宋体" w:cs="宋体"/>
                <w:b/>
                <w:bCs/>
                <w:color w:val="auto"/>
                <w:kern w:val="0"/>
                <w:sz w:val="24"/>
                <w:highlight w:val="none"/>
                <w:lang w:bidi="ar"/>
              </w:rPr>
              <w:t>注：</w:t>
            </w:r>
            <w:r>
              <w:rPr>
                <w:rFonts w:hint="eastAsia" w:ascii="宋体" w:hAnsi="宋体" w:eastAsia="宋体" w:cs="宋体"/>
                <w:b/>
                <w:bCs/>
                <w:color w:val="auto"/>
                <w:kern w:val="0"/>
                <w:sz w:val="24"/>
                <w:highlight w:val="none"/>
                <w:lang w:bidi="ar"/>
              </w:rPr>
              <w:t>须提供有效的证书复印件、</w:t>
            </w:r>
            <w:r>
              <w:rPr>
                <w:rFonts w:ascii="宋体" w:hAnsi="宋体" w:eastAsia="宋体" w:cs="宋体"/>
                <w:b/>
                <w:bCs/>
                <w:color w:val="auto"/>
                <w:kern w:val="0"/>
                <w:sz w:val="24"/>
                <w:highlight w:val="none"/>
                <w:lang w:bidi="ar"/>
              </w:rPr>
              <w:t>投标截止时间前（不含投标截止时间当月）六个月中任意一个月投标人为其缴纳社保的证明材料</w:t>
            </w:r>
            <w:r>
              <w:rPr>
                <w:rFonts w:hint="eastAsia" w:ascii="宋体" w:hAnsi="宋体" w:eastAsia="宋体" w:cs="宋体"/>
                <w:b/>
                <w:bCs/>
                <w:color w:val="auto"/>
                <w:kern w:val="0"/>
                <w:sz w:val="24"/>
                <w:highlight w:val="none"/>
                <w:lang w:bidi="ar"/>
              </w:rPr>
              <w:t>，否则不得分</w:t>
            </w:r>
            <w:r>
              <w:rPr>
                <w:rFonts w:ascii="宋体" w:hAnsi="宋体" w:eastAsia="宋体" w:cs="宋体"/>
                <w:b/>
                <w:bCs/>
                <w:color w:val="auto"/>
                <w:kern w:val="0"/>
                <w:sz w:val="24"/>
                <w:highlight w:val="none"/>
                <w:lang w:bidi="ar"/>
              </w:rPr>
              <w:t>。</w:t>
            </w:r>
            <w:r>
              <w:rPr>
                <w:rFonts w:hint="eastAsia" w:ascii="宋体" w:hAnsi="宋体" w:eastAsia="宋体" w:cs="宋体"/>
                <w:b/>
                <w:bCs/>
                <w:color w:val="auto"/>
                <w:kern w:val="0"/>
                <w:sz w:val="24"/>
                <w:highlight w:val="none"/>
                <w:lang w:bidi="ar"/>
              </w:rPr>
              <w:t>测绘负责人</w:t>
            </w:r>
            <w:r>
              <w:rPr>
                <w:rFonts w:hint="eastAsia" w:ascii="宋体" w:hAnsi="宋体" w:eastAsia="宋体" w:cs="宋体"/>
                <w:b/>
                <w:bCs/>
                <w:color w:val="auto"/>
                <w:kern w:val="0"/>
                <w:sz w:val="24"/>
                <w:highlight w:val="none"/>
                <w:lang w:eastAsia="zh-CN" w:bidi="ar"/>
              </w:rPr>
              <w:t>、</w:t>
            </w:r>
            <w:r>
              <w:rPr>
                <w:rFonts w:hint="eastAsia" w:ascii="宋体" w:hAnsi="宋体" w:eastAsia="宋体" w:cs="宋体"/>
                <w:b/>
                <w:bCs/>
                <w:color w:val="auto"/>
                <w:kern w:val="0"/>
                <w:sz w:val="24"/>
                <w:highlight w:val="none"/>
                <w:lang w:val="en-US" w:eastAsia="zh-CN" w:bidi="ar"/>
              </w:rPr>
              <w:t>设计</w:t>
            </w:r>
            <w:r>
              <w:rPr>
                <w:rFonts w:hint="eastAsia" w:ascii="宋体" w:hAnsi="宋体" w:eastAsia="宋体" w:cs="宋体"/>
                <w:b/>
                <w:bCs/>
                <w:color w:val="auto"/>
                <w:kern w:val="0"/>
                <w:sz w:val="24"/>
                <w:highlight w:val="none"/>
                <w:lang w:bidi="ar"/>
              </w:rPr>
              <w:t>负责人、</w:t>
            </w:r>
            <w:r>
              <w:rPr>
                <w:rFonts w:hint="eastAsia" w:ascii="宋体" w:hAnsi="宋体" w:eastAsia="宋体" w:cs="宋体"/>
                <w:b/>
                <w:bCs/>
                <w:color w:val="auto"/>
                <w:kern w:val="0"/>
                <w:sz w:val="24"/>
                <w:highlight w:val="none"/>
                <w:lang w:val="en-US" w:eastAsia="zh-CN" w:bidi="ar"/>
              </w:rPr>
              <w:t>信息化</w:t>
            </w:r>
            <w:r>
              <w:rPr>
                <w:rFonts w:hint="eastAsia" w:ascii="宋体" w:hAnsi="宋体" w:eastAsia="宋体" w:cs="宋体"/>
                <w:b/>
                <w:bCs/>
                <w:color w:val="auto"/>
                <w:kern w:val="0"/>
                <w:sz w:val="24"/>
                <w:highlight w:val="none"/>
                <w:lang w:bidi="ar"/>
              </w:rPr>
              <w:t>负责人不可兼任。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800" w:type="pct"/>
            <w:shd w:val="clear" w:color="auto" w:fill="auto"/>
            <w:vAlign w:val="center"/>
          </w:tcPr>
          <w:p>
            <w:pPr>
              <w:spacing w:line="500" w:lineRule="exact"/>
              <w:jc w:val="center"/>
              <w:rPr>
                <w:rFonts w:hint="eastAsia" w:ascii="宋体" w:hAnsi="宋体" w:eastAsia="宋体" w:cs="宋体"/>
                <w:color w:val="auto"/>
                <w:kern w:val="0"/>
                <w:sz w:val="24"/>
                <w:highlight w:val="none"/>
                <w:lang w:val="en-US" w:eastAsia="zh-Hans" w:bidi="ar"/>
              </w:rPr>
            </w:pPr>
            <w:r>
              <w:rPr>
                <w:rFonts w:hint="eastAsia" w:ascii="宋体" w:hAnsi="宋体" w:eastAsia="宋体" w:cs="宋体"/>
                <w:color w:val="auto"/>
                <w:kern w:val="0"/>
                <w:sz w:val="24"/>
                <w:highlight w:val="none"/>
                <w:lang w:val="en-US" w:eastAsia="zh-CN" w:bidi="ar"/>
              </w:rPr>
              <w:t>6</w:t>
            </w:r>
            <w:r>
              <w:rPr>
                <w:rFonts w:ascii="宋体" w:hAnsi="宋体" w:eastAsia="宋体" w:cs="宋体"/>
                <w:color w:val="auto"/>
                <w:kern w:val="0"/>
                <w:sz w:val="24"/>
                <w:highlight w:val="none"/>
                <w:lang w:bidi="ar"/>
              </w:rPr>
              <w:t>、</w:t>
            </w:r>
            <w:r>
              <w:rPr>
                <w:rFonts w:hint="eastAsia" w:ascii="宋体" w:hAnsi="宋体" w:eastAsia="宋体" w:cs="宋体"/>
                <w:color w:val="auto"/>
                <w:kern w:val="0"/>
                <w:sz w:val="24"/>
                <w:highlight w:val="none"/>
                <w:lang w:val="en-US" w:eastAsia="zh-CN" w:bidi="ar"/>
              </w:rPr>
              <w:t>设计</w:t>
            </w:r>
            <w:r>
              <w:rPr>
                <w:rFonts w:ascii="宋体" w:hAnsi="宋体" w:eastAsia="宋体" w:cs="宋体"/>
                <w:color w:val="auto"/>
                <w:kern w:val="0"/>
                <w:sz w:val="24"/>
                <w:highlight w:val="none"/>
                <w:lang w:bidi="ar"/>
              </w:rPr>
              <w:t>负责人</w:t>
            </w:r>
          </w:p>
        </w:tc>
        <w:tc>
          <w:tcPr>
            <w:tcW w:w="387" w:type="pct"/>
            <w:shd w:val="clear" w:color="auto" w:fill="auto"/>
            <w:vAlign w:val="center"/>
          </w:tcPr>
          <w:p>
            <w:pPr>
              <w:spacing w:line="50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3</w:t>
            </w:r>
          </w:p>
        </w:tc>
        <w:tc>
          <w:tcPr>
            <w:tcW w:w="535" w:type="pct"/>
            <w:shd w:val="clear" w:color="auto" w:fill="auto"/>
            <w:vAlign w:val="center"/>
          </w:tcPr>
          <w:p>
            <w:pPr>
              <w:spacing w:line="500" w:lineRule="exact"/>
              <w:jc w:val="center"/>
              <w:rPr>
                <w:rFonts w:hint="eastAsia" w:ascii="宋体" w:hAnsi="宋体" w:eastAsia="宋体" w:cs="宋体"/>
                <w:color w:val="auto"/>
                <w:kern w:val="0"/>
                <w:sz w:val="24"/>
                <w:highlight w:val="none"/>
                <w:lang w:val="en-US" w:eastAsia="zh-CN" w:bidi="ar"/>
              </w:rPr>
            </w:pPr>
            <w:r>
              <w:rPr>
                <w:rFonts w:ascii="宋体" w:hAnsi="宋体" w:eastAsia="宋体" w:cs="宋体"/>
                <w:color w:val="auto"/>
                <w:kern w:val="0"/>
                <w:sz w:val="24"/>
                <w:highlight w:val="none"/>
                <w:lang w:bidi="ar"/>
              </w:rPr>
              <w:t>是</w:t>
            </w:r>
          </w:p>
        </w:tc>
        <w:tc>
          <w:tcPr>
            <w:tcW w:w="3277" w:type="pct"/>
            <w:shd w:val="clear" w:color="auto" w:fill="auto"/>
            <w:vAlign w:val="center"/>
          </w:tcPr>
          <w:p>
            <w:pPr>
              <w:spacing w:line="500" w:lineRule="exact"/>
              <w:rPr>
                <w:rFonts w:ascii="宋体" w:hAnsi="宋体" w:eastAsia="宋体" w:cs="宋体"/>
                <w:color w:val="auto"/>
                <w:kern w:val="0"/>
                <w:sz w:val="24"/>
                <w:highlight w:val="none"/>
                <w:lang w:bidi="ar"/>
              </w:rPr>
            </w:pPr>
            <w:r>
              <w:rPr>
                <w:rFonts w:ascii="宋体" w:hAnsi="宋体" w:eastAsia="宋体" w:cs="宋体"/>
                <w:color w:val="auto"/>
                <w:kern w:val="0"/>
                <w:sz w:val="24"/>
                <w:highlight w:val="none"/>
                <w:lang w:bidi="ar"/>
              </w:rPr>
              <w:t>根据</w:t>
            </w:r>
            <w:r>
              <w:rPr>
                <w:rFonts w:ascii="宋体" w:hAnsi="宋体" w:eastAsia="宋体" w:cs="宋体"/>
                <w:color w:val="auto"/>
                <w:kern w:val="0"/>
                <w:sz w:val="24"/>
                <w:highlight w:val="none"/>
                <w:lang w:eastAsia="zh-Hans" w:bidi="ar"/>
              </w:rPr>
              <w:t>投标人拟投入本项目的</w:t>
            </w:r>
            <w:r>
              <w:rPr>
                <w:rFonts w:hint="eastAsia" w:ascii="宋体" w:hAnsi="宋体" w:eastAsia="宋体" w:cs="宋体"/>
                <w:color w:val="auto"/>
                <w:kern w:val="0"/>
                <w:sz w:val="24"/>
                <w:highlight w:val="none"/>
                <w:lang w:val="en-US" w:eastAsia="zh-CN" w:bidi="ar"/>
              </w:rPr>
              <w:t>设计</w:t>
            </w:r>
            <w:r>
              <w:rPr>
                <w:rFonts w:ascii="宋体" w:hAnsi="宋体" w:eastAsia="宋体" w:cs="宋体"/>
                <w:color w:val="auto"/>
                <w:kern w:val="0"/>
                <w:sz w:val="24"/>
                <w:highlight w:val="none"/>
                <w:lang w:bidi="ar"/>
              </w:rPr>
              <w:t>负责人</w:t>
            </w:r>
            <w:r>
              <w:rPr>
                <w:rFonts w:hint="eastAsia" w:ascii="宋体" w:hAnsi="宋体" w:eastAsia="宋体" w:cs="宋体"/>
                <w:color w:val="auto"/>
                <w:kern w:val="0"/>
                <w:sz w:val="24"/>
                <w:highlight w:val="none"/>
                <w:lang w:bidi="ar"/>
              </w:rPr>
              <w:t>，</w:t>
            </w:r>
            <w:r>
              <w:rPr>
                <w:rFonts w:ascii="宋体" w:hAnsi="宋体" w:eastAsia="宋体" w:cs="宋体"/>
                <w:color w:val="auto"/>
                <w:kern w:val="0"/>
                <w:sz w:val="24"/>
                <w:highlight w:val="none"/>
                <w:lang w:bidi="ar"/>
              </w:rPr>
              <w:t>由评标委员会进行评分：</w:t>
            </w:r>
          </w:p>
          <w:p>
            <w:pPr>
              <w:spacing w:line="500" w:lineRule="exact"/>
              <w:rPr>
                <w:rFonts w:ascii="宋体" w:hAnsi="宋体" w:eastAsia="宋体" w:cs="宋体"/>
                <w:color w:val="auto"/>
                <w:kern w:val="0"/>
                <w:sz w:val="24"/>
                <w:highlight w:val="none"/>
                <w:lang w:bidi="ar"/>
              </w:rPr>
            </w:pPr>
            <w:r>
              <w:rPr>
                <w:rFonts w:ascii="宋体" w:hAnsi="宋体" w:eastAsia="宋体" w:cs="宋体"/>
                <w:color w:val="auto"/>
                <w:kern w:val="0"/>
                <w:sz w:val="24"/>
                <w:highlight w:val="none"/>
                <w:lang w:bidi="ar"/>
              </w:rPr>
              <w:t>具备水利水电</w:t>
            </w:r>
            <w:r>
              <w:rPr>
                <w:rFonts w:hint="eastAsia" w:ascii="宋体" w:hAnsi="宋体" w:eastAsia="宋体" w:cs="宋体"/>
                <w:color w:val="auto"/>
                <w:kern w:val="0"/>
                <w:sz w:val="24"/>
                <w:highlight w:val="none"/>
                <w:lang w:eastAsia="zh-CN" w:bidi="ar"/>
              </w:rPr>
              <w:t>相关</w:t>
            </w:r>
            <w:r>
              <w:rPr>
                <w:rFonts w:ascii="宋体" w:hAnsi="宋体" w:eastAsia="宋体" w:cs="宋体"/>
                <w:color w:val="auto"/>
                <w:kern w:val="0"/>
                <w:sz w:val="24"/>
                <w:highlight w:val="none"/>
                <w:lang w:bidi="ar"/>
              </w:rPr>
              <w:t>专业</w:t>
            </w:r>
            <w:r>
              <w:rPr>
                <w:rFonts w:hint="eastAsia" w:ascii="宋体" w:hAnsi="宋体" w:eastAsia="宋体" w:cs="宋体"/>
                <w:color w:val="auto"/>
                <w:kern w:val="0"/>
                <w:sz w:val="24"/>
                <w:highlight w:val="none"/>
                <w:lang w:eastAsia="zh-CN" w:bidi="ar"/>
              </w:rPr>
              <w:t>正</w:t>
            </w:r>
            <w:r>
              <w:rPr>
                <w:rFonts w:ascii="宋体" w:hAnsi="宋体" w:eastAsia="宋体" w:cs="宋体"/>
                <w:color w:val="auto"/>
                <w:kern w:val="0"/>
                <w:sz w:val="24"/>
                <w:highlight w:val="none"/>
                <w:lang w:bidi="ar"/>
              </w:rPr>
              <w:t>高级工程师职称的得</w:t>
            </w:r>
            <w:r>
              <w:rPr>
                <w:rFonts w:hint="eastAsia" w:ascii="宋体" w:hAnsi="宋体" w:eastAsia="宋体" w:cs="宋体"/>
                <w:color w:val="auto"/>
                <w:kern w:val="0"/>
                <w:sz w:val="24"/>
                <w:highlight w:val="none"/>
                <w:lang w:val="en-US" w:eastAsia="zh-CN" w:bidi="ar"/>
              </w:rPr>
              <w:t>3</w:t>
            </w:r>
            <w:r>
              <w:rPr>
                <w:rFonts w:ascii="宋体" w:hAnsi="宋体" w:eastAsia="宋体" w:cs="宋体"/>
                <w:color w:val="auto"/>
                <w:kern w:val="0"/>
                <w:sz w:val="24"/>
                <w:highlight w:val="none"/>
                <w:lang w:bidi="ar"/>
              </w:rPr>
              <w:t>分</w:t>
            </w:r>
            <w:r>
              <w:rPr>
                <w:rFonts w:hint="eastAsia" w:ascii="宋体" w:hAnsi="宋体" w:eastAsia="宋体" w:cs="宋体"/>
                <w:color w:val="auto"/>
                <w:kern w:val="0"/>
                <w:sz w:val="24"/>
                <w:highlight w:val="none"/>
                <w:lang w:eastAsia="zh-CN" w:bidi="ar"/>
              </w:rPr>
              <w:t>；</w:t>
            </w:r>
            <w:r>
              <w:rPr>
                <w:rFonts w:ascii="宋体" w:hAnsi="宋体" w:eastAsia="宋体" w:cs="宋体"/>
                <w:color w:val="auto"/>
                <w:kern w:val="0"/>
                <w:sz w:val="24"/>
                <w:highlight w:val="none"/>
                <w:lang w:bidi="ar"/>
              </w:rPr>
              <w:t>具备水利水电</w:t>
            </w:r>
            <w:r>
              <w:rPr>
                <w:rFonts w:hint="eastAsia" w:ascii="宋体" w:hAnsi="宋体" w:eastAsia="宋体" w:cs="宋体"/>
                <w:color w:val="auto"/>
                <w:kern w:val="0"/>
                <w:sz w:val="24"/>
                <w:highlight w:val="none"/>
                <w:lang w:eastAsia="zh-CN" w:bidi="ar"/>
              </w:rPr>
              <w:t>相关</w:t>
            </w:r>
            <w:r>
              <w:rPr>
                <w:rFonts w:ascii="宋体" w:hAnsi="宋体" w:eastAsia="宋体" w:cs="宋体"/>
                <w:color w:val="auto"/>
                <w:kern w:val="0"/>
                <w:sz w:val="24"/>
                <w:highlight w:val="none"/>
                <w:lang w:bidi="ar"/>
              </w:rPr>
              <w:t>专业</w:t>
            </w:r>
            <w:r>
              <w:rPr>
                <w:rFonts w:hint="eastAsia" w:ascii="宋体" w:hAnsi="宋体" w:eastAsia="宋体" w:cs="宋体"/>
                <w:color w:val="auto"/>
                <w:kern w:val="0"/>
                <w:sz w:val="24"/>
                <w:highlight w:val="none"/>
                <w:lang w:eastAsia="zh-CN" w:bidi="ar"/>
              </w:rPr>
              <w:t>正</w:t>
            </w:r>
            <w:r>
              <w:rPr>
                <w:rFonts w:ascii="宋体" w:hAnsi="宋体" w:eastAsia="宋体" w:cs="宋体"/>
                <w:color w:val="auto"/>
                <w:kern w:val="0"/>
                <w:sz w:val="24"/>
                <w:highlight w:val="none"/>
                <w:lang w:bidi="ar"/>
              </w:rPr>
              <w:t>高级工程师职称的</w:t>
            </w:r>
            <w:r>
              <w:rPr>
                <w:rFonts w:hint="eastAsia" w:ascii="宋体" w:hAnsi="宋体" w:eastAsia="宋体" w:cs="宋体"/>
                <w:color w:val="auto"/>
                <w:kern w:val="0"/>
                <w:sz w:val="24"/>
                <w:highlight w:val="none"/>
                <w:lang w:bidi="ar"/>
              </w:rPr>
              <w:t>得</w:t>
            </w:r>
            <w:r>
              <w:rPr>
                <w:rFonts w:hint="eastAsia" w:ascii="宋体" w:hAnsi="宋体" w:eastAsia="宋体" w:cs="宋体"/>
                <w:color w:val="auto"/>
                <w:kern w:val="0"/>
                <w:sz w:val="24"/>
                <w:highlight w:val="none"/>
                <w:lang w:val="en-US" w:eastAsia="zh-CN" w:bidi="ar"/>
              </w:rPr>
              <w:t>1.5</w:t>
            </w:r>
            <w:r>
              <w:rPr>
                <w:rFonts w:hint="eastAsia" w:ascii="宋体" w:hAnsi="宋体" w:eastAsia="宋体" w:cs="宋体"/>
                <w:color w:val="auto"/>
                <w:kern w:val="0"/>
                <w:sz w:val="24"/>
                <w:highlight w:val="none"/>
                <w:lang w:bidi="ar"/>
              </w:rPr>
              <w:t>分</w:t>
            </w:r>
            <w:r>
              <w:rPr>
                <w:rFonts w:ascii="宋体" w:hAnsi="宋体" w:eastAsia="宋体" w:cs="宋体"/>
                <w:color w:val="auto"/>
                <w:kern w:val="0"/>
                <w:sz w:val="24"/>
                <w:highlight w:val="none"/>
                <w:lang w:bidi="ar"/>
              </w:rPr>
              <w:t>。</w:t>
            </w:r>
          </w:p>
          <w:p>
            <w:pPr>
              <w:spacing w:line="500" w:lineRule="exact"/>
              <w:rPr>
                <w:rFonts w:hint="default" w:ascii="宋体" w:hAnsi="宋体" w:eastAsia="宋体" w:cs="宋体"/>
                <w:color w:val="auto"/>
                <w:kern w:val="0"/>
                <w:sz w:val="24"/>
                <w:highlight w:val="none"/>
                <w:lang w:val="en-US" w:eastAsia="zh-CN" w:bidi="ar"/>
              </w:rPr>
            </w:pPr>
            <w:r>
              <w:rPr>
                <w:rFonts w:ascii="宋体" w:hAnsi="宋体" w:eastAsia="宋体" w:cs="宋体"/>
                <w:b/>
                <w:bCs/>
                <w:color w:val="auto"/>
                <w:kern w:val="0"/>
                <w:sz w:val="24"/>
                <w:highlight w:val="none"/>
                <w:lang w:bidi="ar"/>
              </w:rPr>
              <w:t>注：</w:t>
            </w:r>
            <w:r>
              <w:rPr>
                <w:rFonts w:hint="eastAsia" w:ascii="宋体" w:hAnsi="宋体" w:eastAsia="宋体" w:cs="宋体"/>
                <w:b/>
                <w:bCs/>
                <w:color w:val="auto"/>
                <w:kern w:val="0"/>
                <w:sz w:val="24"/>
                <w:highlight w:val="none"/>
                <w:lang w:bidi="ar"/>
              </w:rPr>
              <w:t>须提供有效的证书复印件、</w:t>
            </w:r>
            <w:r>
              <w:rPr>
                <w:rFonts w:ascii="宋体" w:hAnsi="宋体" w:eastAsia="宋体" w:cs="宋体"/>
                <w:b/>
                <w:bCs/>
                <w:color w:val="auto"/>
                <w:kern w:val="0"/>
                <w:sz w:val="24"/>
                <w:highlight w:val="none"/>
                <w:lang w:bidi="ar"/>
              </w:rPr>
              <w:t>投标截止时间前（不含投标截止时间当月）六个月中任意一个月投标人为其缴纳社保的证明材料</w:t>
            </w:r>
            <w:r>
              <w:rPr>
                <w:rFonts w:hint="eastAsia" w:ascii="宋体" w:hAnsi="宋体" w:eastAsia="宋体" w:cs="宋体"/>
                <w:b/>
                <w:bCs/>
                <w:color w:val="auto"/>
                <w:kern w:val="0"/>
                <w:sz w:val="24"/>
                <w:highlight w:val="none"/>
                <w:lang w:bidi="ar"/>
              </w:rPr>
              <w:t>，否则不得分</w:t>
            </w:r>
            <w:r>
              <w:rPr>
                <w:rFonts w:ascii="宋体" w:hAnsi="宋体" w:eastAsia="宋体" w:cs="宋体"/>
                <w:b/>
                <w:bCs/>
                <w:color w:val="auto"/>
                <w:kern w:val="0"/>
                <w:sz w:val="24"/>
                <w:highlight w:val="none"/>
                <w:lang w:bidi="ar"/>
              </w:rPr>
              <w:t>。</w:t>
            </w:r>
            <w:r>
              <w:rPr>
                <w:rFonts w:hint="eastAsia" w:ascii="宋体" w:hAnsi="宋体" w:eastAsia="宋体" w:cs="宋体"/>
                <w:b/>
                <w:bCs/>
                <w:color w:val="auto"/>
                <w:kern w:val="0"/>
                <w:sz w:val="24"/>
                <w:highlight w:val="none"/>
                <w:lang w:bidi="ar"/>
              </w:rPr>
              <w:t>测绘负责人</w:t>
            </w:r>
            <w:r>
              <w:rPr>
                <w:rFonts w:hint="eastAsia" w:ascii="宋体" w:hAnsi="宋体" w:eastAsia="宋体" w:cs="宋体"/>
                <w:b/>
                <w:bCs/>
                <w:color w:val="auto"/>
                <w:kern w:val="0"/>
                <w:sz w:val="24"/>
                <w:highlight w:val="none"/>
                <w:lang w:eastAsia="zh-CN" w:bidi="ar"/>
              </w:rPr>
              <w:t>、</w:t>
            </w:r>
            <w:r>
              <w:rPr>
                <w:rFonts w:hint="eastAsia" w:ascii="宋体" w:hAnsi="宋体" w:eastAsia="宋体" w:cs="宋体"/>
                <w:b/>
                <w:bCs/>
                <w:color w:val="auto"/>
                <w:kern w:val="0"/>
                <w:sz w:val="24"/>
                <w:highlight w:val="none"/>
                <w:lang w:val="en-US" w:eastAsia="zh-CN" w:bidi="ar"/>
              </w:rPr>
              <w:t>设计</w:t>
            </w:r>
            <w:r>
              <w:rPr>
                <w:rFonts w:hint="eastAsia" w:ascii="宋体" w:hAnsi="宋体" w:eastAsia="宋体" w:cs="宋体"/>
                <w:b/>
                <w:bCs/>
                <w:color w:val="auto"/>
                <w:kern w:val="0"/>
                <w:sz w:val="24"/>
                <w:highlight w:val="none"/>
                <w:lang w:bidi="ar"/>
              </w:rPr>
              <w:t>负责人、</w:t>
            </w:r>
            <w:r>
              <w:rPr>
                <w:rFonts w:hint="eastAsia" w:ascii="宋体" w:hAnsi="宋体" w:eastAsia="宋体" w:cs="宋体"/>
                <w:b/>
                <w:bCs/>
                <w:color w:val="auto"/>
                <w:kern w:val="0"/>
                <w:sz w:val="24"/>
                <w:highlight w:val="none"/>
                <w:lang w:val="en-US" w:eastAsia="zh-CN" w:bidi="ar"/>
              </w:rPr>
              <w:t>信息化</w:t>
            </w:r>
            <w:r>
              <w:rPr>
                <w:rFonts w:hint="eastAsia" w:ascii="宋体" w:hAnsi="宋体" w:eastAsia="宋体" w:cs="宋体"/>
                <w:b/>
                <w:bCs/>
                <w:color w:val="auto"/>
                <w:kern w:val="0"/>
                <w:sz w:val="24"/>
                <w:highlight w:val="none"/>
                <w:lang w:bidi="ar"/>
              </w:rPr>
              <w:t>负责人不可兼任。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800" w:type="pct"/>
            <w:shd w:val="clear" w:color="auto" w:fill="auto"/>
            <w:vAlign w:val="center"/>
          </w:tcPr>
          <w:p>
            <w:pPr>
              <w:spacing w:line="50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7</w:t>
            </w:r>
            <w:r>
              <w:rPr>
                <w:rFonts w:hint="eastAsia" w:ascii="宋体" w:hAnsi="宋体" w:eastAsia="宋体" w:cs="宋体"/>
                <w:color w:val="auto"/>
                <w:kern w:val="0"/>
                <w:sz w:val="24"/>
                <w:highlight w:val="none"/>
                <w:lang w:bidi="ar"/>
              </w:rPr>
              <w:t>、</w:t>
            </w:r>
            <w:r>
              <w:rPr>
                <w:rFonts w:hint="eastAsia" w:ascii="宋体" w:hAnsi="宋体" w:eastAsia="宋体" w:cs="宋体"/>
                <w:color w:val="auto"/>
                <w:kern w:val="0"/>
                <w:sz w:val="24"/>
                <w:highlight w:val="none"/>
                <w:lang w:eastAsia="zh-CN" w:bidi="ar"/>
              </w:rPr>
              <w:t>信息化</w:t>
            </w:r>
            <w:r>
              <w:rPr>
                <w:rFonts w:hint="eastAsia" w:ascii="宋体" w:hAnsi="宋体" w:eastAsia="宋体" w:cs="宋体"/>
                <w:color w:val="auto"/>
                <w:kern w:val="0"/>
                <w:sz w:val="24"/>
                <w:highlight w:val="none"/>
                <w:lang w:bidi="ar"/>
              </w:rPr>
              <w:t>负责人</w:t>
            </w:r>
          </w:p>
        </w:tc>
        <w:tc>
          <w:tcPr>
            <w:tcW w:w="387" w:type="pct"/>
            <w:shd w:val="clear" w:color="auto" w:fill="auto"/>
            <w:vAlign w:val="center"/>
          </w:tcPr>
          <w:p>
            <w:pPr>
              <w:spacing w:line="500" w:lineRule="exact"/>
              <w:jc w:val="center"/>
              <w:rPr>
                <w:rFonts w:hint="eastAsia" w:ascii="宋体" w:hAnsi="宋体" w:eastAsia="宋体" w:cs="宋体"/>
                <w:color w:val="auto"/>
                <w:kern w:val="0"/>
                <w:sz w:val="24"/>
                <w:highlight w:val="none"/>
                <w:lang w:val="en-US" w:eastAsia="zh-CN" w:bidi="ar"/>
              </w:rPr>
            </w:pPr>
            <w:r>
              <w:rPr>
                <w:rFonts w:ascii="宋体" w:hAnsi="宋体" w:eastAsia="宋体" w:cs="宋体"/>
                <w:color w:val="auto"/>
                <w:kern w:val="0"/>
                <w:sz w:val="24"/>
                <w:highlight w:val="none"/>
                <w:lang w:bidi="ar"/>
              </w:rPr>
              <w:t>3</w:t>
            </w:r>
          </w:p>
        </w:tc>
        <w:tc>
          <w:tcPr>
            <w:tcW w:w="535" w:type="pct"/>
            <w:shd w:val="clear" w:color="auto" w:fill="auto"/>
            <w:vAlign w:val="center"/>
          </w:tcPr>
          <w:p>
            <w:pPr>
              <w:spacing w:line="500" w:lineRule="exact"/>
              <w:jc w:val="center"/>
              <w:rPr>
                <w:rFonts w:hint="eastAsia" w:ascii="宋体" w:hAnsi="宋体" w:eastAsia="宋体" w:cs="宋体"/>
                <w:color w:val="auto"/>
                <w:kern w:val="0"/>
                <w:sz w:val="24"/>
                <w:highlight w:val="none"/>
                <w:lang w:val="en-US" w:eastAsia="zh-CN" w:bidi="ar"/>
              </w:rPr>
            </w:pPr>
            <w:r>
              <w:rPr>
                <w:rFonts w:ascii="宋体" w:hAnsi="宋体" w:eastAsia="宋体" w:cs="宋体"/>
                <w:color w:val="auto"/>
                <w:kern w:val="0"/>
                <w:sz w:val="24"/>
                <w:highlight w:val="none"/>
                <w:lang w:bidi="ar"/>
              </w:rPr>
              <w:t>是</w:t>
            </w:r>
          </w:p>
        </w:tc>
        <w:tc>
          <w:tcPr>
            <w:tcW w:w="3277" w:type="pct"/>
            <w:shd w:val="clear" w:color="auto" w:fill="auto"/>
            <w:vAlign w:val="center"/>
          </w:tcPr>
          <w:p>
            <w:pPr>
              <w:spacing w:line="500" w:lineRule="exact"/>
              <w:jc w:val="both"/>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eastAsia="zh-CN" w:bidi="ar"/>
              </w:rPr>
              <w:t>根据</w:t>
            </w:r>
            <w:r>
              <w:rPr>
                <w:rFonts w:hint="eastAsia" w:ascii="宋体" w:hAnsi="宋体" w:eastAsia="宋体" w:cs="宋体"/>
                <w:color w:val="auto"/>
                <w:kern w:val="0"/>
                <w:sz w:val="24"/>
                <w:highlight w:val="none"/>
                <w:lang w:eastAsia="zh-Hans" w:bidi="ar"/>
              </w:rPr>
              <w:t>投标人拟投入本项目的</w:t>
            </w:r>
            <w:r>
              <w:rPr>
                <w:rFonts w:hint="eastAsia" w:ascii="宋体" w:hAnsi="宋体" w:eastAsia="宋体" w:cs="宋体"/>
                <w:color w:val="auto"/>
                <w:kern w:val="0"/>
                <w:sz w:val="24"/>
                <w:highlight w:val="none"/>
                <w:lang w:eastAsia="zh-CN" w:bidi="ar"/>
              </w:rPr>
              <w:t>信息化负责人，由评标委员会进行评分：</w:t>
            </w:r>
          </w:p>
          <w:p>
            <w:pPr>
              <w:spacing w:line="500" w:lineRule="exact"/>
              <w:jc w:val="both"/>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eastAsia="zh-CN" w:bidi="ar"/>
              </w:rPr>
              <w:t>①</w:t>
            </w:r>
            <w:r>
              <w:rPr>
                <w:rFonts w:hint="eastAsia" w:ascii="宋体" w:hAnsi="宋体" w:eastAsia="宋体" w:cs="宋体"/>
                <w:color w:val="auto"/>
                <w:kern w:val="0"/>
                <w:sz w:val="24"/>
                <w:highlight w:val="none"/>
                <w:lang w:eastAsia="zh-Hans" w:bidi="ar"/>
              </w:rPr>
              <w:t>具备</w:t>
            </w:r>
            <w:r>
              <w:rPr>
                <w:rFonts w:hint="eastAsia" w:ascii="宋体" w:hAnsi="宋体" w:eastAsia="宋体" w:cs="宋体"/>
                <w:color w:val="auto"/>
                <w:kern w:val="0"/>
                <w:sz w:val="24"/>
                <w:highlight w:val="none"/>
                <w:lang w:eastAsia="zh-CN" w:bidi="ar"/>
              </w:rPr>
              <w:t>人社部颁发的信息系统项目管理师高级证书的得1分；</w:t>
            </w:r>
          </w:p>
          <w:p>
            <w:pPr>
              <w:spacing w:line="500" w:lineRule="exact"/>
              <w:jc w:val="both"/>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eastAsia="zh-CN" w:bidi="ar"/>
              </w:rPr>
              <w:t>②</w:t>
            </w:r>
            <w:r>
              <w:rPr>
                <w:rFonts w:hint="eastAsia" w:ascii="宋体" w:hAnsi="宋体" w:eastAsia="宋体" w:cs="宋体"/>
                <w:color w:val="auto"/>
                <w:kern w:val="0"/>
                <w:sz w:val="24"/>
                <w:highlight w:val="none"/>
                <w:lang w:eastAsia="zh-Hans" w:bidi="ar"/>
              </w:rPr>
              <w:t>具备</w:t>
            </w:r>
            <w:r>
              <w:rPr>
                <w:rFonts w:hint="eastAsia" w:ascii="宋体" w:hAnsi="宋体" w:eastAsia="宋体" w:cs="宋体"/>
                <w:color w:val="auto"/>
                <w:kern w:val="0"/>
                <w:sz w:val="24"/>
                <w:highlight w:val="none"/>
                <w:lang w:eastAsia="zh-CN" w:bidi="ar"/>
              </w:rPr>
              <w:t>人社部颁发的系统架构设计师高级证书的得1分；</w:t>
            </w:r>
          </w:p>
          <w:p>
            <w:pPr>
              <w:spacing w:line="500" w:lineRule="exact"/>
              <w:jc w:val="both"/>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eastAsia="zh-CN" w:bidi="ar"/>
              </w:rPr>
              <w:t>③</w:t>
            </w:r>
            <w:r>
              <w:rPr>
                <w:rFonts w:hint="eastAsia" w:ascii="宋体" w:hAnsi="宋体" w:eastAsia="宋体" w:cs="宋体"/>
                <w:color w:val="auto"/>
                <w:kern w:val="0"/>
                <w:sz w:val="24"/>
                <w:highlight w:val="none"/>
                <w:lang w:eastAsia="zh-Hans" w:bidi="ar"/>
              </w:rPr>
              <w:t>具备</w:t>
            </w:r>
            <w:r>
              <w:rPr>
                <w:rFonts w:hint="eastAsia" w:ascii="宋体" w:hAnsi="宋体" w:eastAsia="宋体" w:cs="宋体"/>
                <w:color w:val="auto"/>
                <w:kern w:val="0"/>
                <w:sz w:val="24"/>
                <w:highlight w:val="none"/>
                <w:lang w:eastAsia="zh-CN" w:bidi="ar"/>
              </w:rPr>
              <w:t>人社部颁发的系统分析师高级证书的得1分。</w:t>
            </w:r>
          </w:p>
          <w:p>
            <w:pPr>
              <w:spacing w:line="500" w:lineRule="exact"/>
              <w:rPr>
                <w:rFonts w:hint="eastAsia" w:ascii="宋体" w:hAnsi="宋体" w:eastAsia="宋体" w:cs="宋体"/>
                <w:bCs/>
                <w:color w:val="auto"/>
                <w:sz w:val="24"/>
                <w:szCs w:val="24"/>
                <w:highlight w:val="none"/>
                <w:lang w:val="en-US" w:eastAsia="zh-CN"/>
              </w:rPr>
            </w:pPr>
            <w:r>
              <w:rPr>
                <w:rFonts w:ascii="宋体" w:hAnsi="宋体" w:eastAsia="宋体" w:cs="宋体"/>
                <w:b/>
                <w:bCs/>
                <w:color w:val="auto"/>
                <w:kern w:val="0"/>
                <w:sz w:val="24"/>
                <w:highlight w:val="none"/>
                <w:lang w:bidi="ar"/>
              </w:rPr>
              <w:t>注：</w:t>
            </w:r>
            <w:r>
              <w:rPr>
                <w:rFonts w:hint="eastAsia" w:ascii="宋体" w:hAnsi="宋体" w:eastAsia="宋体" w:cs="宋体"/>
                <w:b/>
                <w:bCs/>
                <w:color w:val="auto"/>
                <w:kern w:val="0"/>
                <w:sz w:val="24"/>
                <w:highlight w:val="none"/>
                <w:lang w:bidi="ar"/>
              </w:rPr>
              <w:t>须提供有效的证书复印件、</w:t>
            </w:r>
            <w:r>
              <w:rPr>
                <w:rFonts w:ascii="宋体" w:hAnsi="宋体" w:eastAsia="宋体" w:cs="宋体"/>
                <w:b/>
                <w:bCs/>
                <w:color w:val="auto"/>
                <w:kern w:val="0"/>
                <w:sz w:val="24"/>
                <w:highlight w:val="none"/>
                <w:lang w:bidi="ar"/>
              </w:rPr>
              <w:t>投标截止时间前（不含投标截止时间当月）六个月中任意一个月投标人为其缴纳社保的证明材料</w:t>
            </w:r>
            <w:r>
              <w:rPr>
                <w:rFonts w:hint="eastAsia" w:ascii="宋体" w:hAnsi="宋体" w:eastAsia="宋体" w:cs="宋体"/>
                <w:b/>
                <w:bCs/>
                <w:color w:val="auto"/>
                <w:kern w:val="0"/>
                <w:sz w:val="24"/>
                <w:highlight w:val="none"/>
                <w:lang w:bidi="ar"/>
              </w:rPr>
              <w:t>，否则不得分</w:t>
            </w:r>
            <w:r>
              <w:rPr>
                <w:rFonts w:ascii="宋体" w:hAnsi="宋体" w:eastAsia="宋体" w:cs="宋体"/>
                <w:b/>
                <w:bCs/>
                <w:color w:val="auto"/>
                <w:kern w:val="0"/>
                <w:sz w:val="24"/>
                <w:highlight w:val="none"/>
                <w:lang w:bidi="ar"/>
              </w:rPr>
              <w:t>。</w:t>
            </w:r>
            <w:r>
              <w:rPr>
                <w:rFonts w:hint="eastAsia" w:ascii="宋体" w:hAnsi="宋体" w:eastAsia="宋体" w:cs="宋体"/>
                <w:b/>
                <w:bCs/>
                <w:color w:val="auto"/>
                <w:kern w:val="0"/>
                <w:sz w:val="24"/>
                <w:highlight w:val="none"/>
                <w:lang w:bidi="ar"/>
              </w:rPr>
              <w:t>测绘负责人</w:t>
            </w:r>
            <w:r>
              <w:rPr>
                <w:rFonts w:hint="eastAsia" w:ascii="宋体" w:hAnsi="宋体" w:eastAsia="宋体" w:cs="宋体"/>
                <w:b/>
                <w:bCs/>
                <w:color w:val="auto"/>
                <w:kern w:val="0"/>
                <w:sz w:val="24"/>
                <w:highlight w:val="none"/>
                <w:lang w:eastAsia="zh-CN" w:bidi="ar"/>
              </w:rPr>
              <w:t>、</w:t>
            </w:r>
            <w:r>
              <w:rPr>
                <w:rFonts w:hint="eastAsia" w:ascii="宋体" w:hAnsi="宋体" w:eastAsia="宋体" w:cs="宋体"/>
                <w:b/>
                <w:bCs/>
                <w:color w:val="auto"/>
                <w:kern w:val="0"/>
                <w:sz w:val="24"/>
                <w:highlight w:val="none"/>
                <w:lang w:val="en-US" w:eastAsia="zh-CN" w:bidi="ar"/>
              </w:rPr>
              <w:t>设计</w:t>
            </w:r>
            <w:r>
              <w:rPr>
                <w:rFonts w:hint="eastAsia" w:ascii="宋体" w:hAnsi="宋体" w:eastAsia="宋体" w:cs="宋体"/>
                <w:b/>
                <w:bCs/>
                <w:color w:val="auto"/>
                <w:kern w:val="0"/>
                <w:sz w:val="24"/>
                <w:highlight w:val="none"/>
                <w:lang w:bidi="ar"/>
              </w:rPr>
              <w:t>负责人、</w:t>
            </w:r>
            <w:r>
              <w:rPr>
                <w:rFonts w:hint="eastAsia" w:ascii="宋体" w:hAnsi="宋体" w:eastAsia="宋体" w:cs="宋体"/>
                <w:b/>
                <w:bCs/>
                <w:color w:val="auto"/>
                <w:kern w:val="0"/>
                <w:sz w:val="24"/>
                <w:highlight w:val="none"/>
                <w:lang w:val="en-US" w:eastAsia="zh-CN" w:bidi="ar"/>
              </w:rPr>
              <w:t>信息化</w:t>
            </w:r>
            <w:r>
              <w:rPr>
                <w:rFonts w:hint="eastAsia" w:ascii="宋体" w:hAnsi="宋体" w:eastAsia="宋体" w:cs="宋体"/>
                <w:b/>
                <w:bCs/>
                <w:color w:val="auto"/>
                <w:kern w:val="0"/>
                <w:sz w:val="24"/>
                <w:highlight w:val="none"/>
                <w:lang w:bidi="ar"/>
              </w:rPr>
              <w:t>负责人不可兼任。</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F3×A3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满分为</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bl>
      <w:tblPr>
        <w:tblStyle w:val="16"/>
        <w:tblW w:w="4996"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85"/>
        <w:gridCol w:w="728"/>
        <w:gridCol w:w="996"/>
        <w:gridCol w:w="61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797"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390"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534"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是否客观项</w:t>
            </w:r>
          </w:p>
        </w:tc>
        <w:tc>
          <w:tcPr>
            <w:tcW w:w="3277"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797" w:type="pct"/>
            <w:shd w:val="clear" w:color="auto" w:fill="auto"/>
            <w:vAlign w:val="center"/>
          </w:tcPr>
          <w:p>
            <w:pPr>
              <w:spacing w:line="500" w:lineRule="exact"/>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1、综合实力1</w:t>
            </w:r>
          </w:p>
        </w:tc>
        <w:tc>
          <w:tcPr>
            <w:tcW w:w="390" w:type="pct"/>
            <w:shd w:val="clear" w:color="auto" w:fill="auto"/>
            <w:vAlign w:val="center"/>
          </w:tcPr>
          <w:p>
            <w:pPr>
              <w:spacing w:line="50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2</w:t>
            </w:r>
          </w:p>
        </w:tc>
        <w:tc>
          <w:tcPr>
            <w:tcW w:w="534" w:type="pct"/>
            <w:shd w:val="clear" w:color="auto" w:fill="auto"/>
            <w:vAlign w:val="center"/>
          </w:tcPr>
          <w:p>
            <w:pPr>
              <w:spacing w:line="500" w:lineRule="exact"/>
              <w:jc w:val="center"/>
              <w:rPr>
                <w:rFonts w:hint="eastAsia" w:ascii="宋体" w:hAnsi="宋体" w:eastAsia="宋体" w:cs="宋体"/>
                <w:color w:val="auto"/>
                <w:kern w:val="0"/>
                <w:sz w:val="24"/>
                <w:highlight w:val="none"/>
                <w:lang w:val="en-US" w:eastAsia="zh-Hans" w:bidi="ar"/>
              </w:rPr>
            </w:pPr>
            <w:r>
              <w:rPr>
                <w:rFonts w:hint="eastAsia" w:ascii="宋体" w:hAnsi="宋体" w:eastAsia="宋体" w:cs="宋体"/>
                <w:color w:val="auto"/>
                <w:kern w:val="0"/>
                <w:sz w:val="24"/>
                <w:highlight w:val="none"/>
                <w:lang w:bidi="ar"/>
              </w:rPr>
              <w:t>是</w:t>
            </w:r>
          </w:p>
        </w:tc>
        <w:tc>
          <w:tcPr>
            <w:tcW w:w="3277" w:type="pct"/>
            <w:shd w:val="clear" w:color="auto" w:fill="auto"/>
            <w:vAlign w:val="center"/>
          </w:tcPr>
          <w:p>
            <w:pPr>
              <w:spacing w:line="500" w:lineRule="exact"/>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投标人获得国家版权局颁发的山洪灾害调查类计算机软件著作权登记证书的得1分；</w:t>
            </w:r>
          </w:p>
          <w:p>
            <w:pPr>
              <w:spacing w:line="500" w:lineRule="exact"/>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投标人获得国家版权局颁发的洪水风险评估类计算机软件著作权登记证书的得1分。</w:t>
            </w:r>
          </w:p>
          <w:p>
            <w:pPr>
              <w:spacing w:line="500" w:lineRule="exact"/>
              <w:rPr>
                <w:rFonts w:hint="eastAsia" w:ascii="宋体" w:hAnsi="宋体" w:eastAsia="宋体" w:cs="宋体"/>
                <w:color w:val="auto"/>
                <w:kern w:val="0"/>
                <w:sz w:val="24"/>
                <w:highlight w:val="none"/>
                <w:lang w:val="en-US" w:eastAsia="zh-CN" w:bidi="ar"/>
              </w:rPr>
            </w:pPr>
            <w:r>
              <w:rPr>
                <w:rFonts w:hint="eastAsia" w:ascii="宋体" w:hAnsi="宋体" w:eastAsia="宋体" w:cs="宋体"/>
                <w:b/>
                <w:bCs/>
                <w:color w:val="auto"/>
                <w:kern w:val="0"/>
                <w:sz w:val="24"/>
                <w:highlight w:val="none"/>
                <w:lang w:bidi="ar"/>
              </w:rPr>
              <w:t>注：须提供有效的证书复印件，否则不得分</w:t>
            </w:r>
            <w:r>
              <w:rPr>
                <w:rFonts w:ascii="宋体" w:hAnsi="宋体" w:eastAsia="宋体" w:cs="宋体"/>
                <w:b/>
                <w:bCs/>
                <w:color w:val="auto"/>
                <w:kern w:val="0"/>
                <w:sz w:val="24"/>
                <w:highlight w:val="none"/>
                <w:lang w:bidi="ar"/>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797" w:type="pct"/>
            <w:shd w:val="clear" w:color="auto" w:fill="auto"/>
            <w:vAlign w:val="center"/>
          </w:tcPr>
          <w:p>
            <w:pPr>
              <w:spacing w:line="500" w:lineRule="exact"/>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2、综合实力2</w:t>
            </w:r>
          </w:p>
        </w:tc>
        <w:tc>
          <w:tcPr>
            <w:tcW w:w="390" w:type="pct"/>
            <w:shd w:val="clear" w:color="auto" w:fill="auto"/>
            <w:vAlign w:val="center"/>
          </w:tcPr>
          <w:p>
            <w:pPr>
              <w:spacing w:line="50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w:t>
            </w:r>
          </w:p>
        </w:tc>
        <w:tc>
          <w:tcPr>
            <w:tcW w:w="534" w:type="pct"/>
            <w:shd w:val="clear" w:color="auto" w:fill="auto"/>
            <w:vAlign w:val="center"/>
          </w:tcPr>
          <w:p>
            <w:pPr>
              <w:spacing w:line="50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是</w:t>
            </w:r>
          </w:p>
        </w:tc>
        <w:tc>
          <w:tcPr>
            <w:tcW w:w="3277" w:type="pct"/>
            <w:shd w:val="clear" w:color="auto" w:fill="auto"/>
            <w:vAlign w:val="center"/>
          </w:tcPr>
          <w:p>
            <w:pPr>
              <w:spacing w:line="500" w:lineRule="exact"/>
              <w:rPr>
                <w:rFonts w:hint="eastAsia" w:ascii="宋体" w:hAnsi="宋体" w:eastAsia="宋体" w:cs="宋体"/>
                <w:b w:val="0"/>
                <w:bCs w:val="0"/>
                <w:color w:val="auto"/>
                <w:kern w:val="0"/>
                <w:sz w:val="24"/>
                <w:highlight w:val="none"/>
                <w:lang w:bidi="ar"/>
              </w:rPr>
            </w:pPr>
            <w:r>
              <w:rPr>
                <w:rFonts w:hint="eastAsia" w:ascii="宋体" w:hAnsi="宋体" w:eastAsia="宋体" w:cs="宋体"/>
                <w:b w:val="0"/>
                <w:bCs w:val="0"/>
                <w:color w:val="auto"/>
                <w:kern w:val="0"/>
                <w:sz w:val="24"/>
                <w:highlight w:val="none"/>
                <w:lang w:bidi="ar"/>
              </w:rPr>
              <w:t>投标人具有自然资源主管部门颁发的</w:t>
            </w:r>
            <w:r>
              <w:rPr>
                <w:rFonts w:hint="eastAsia" w:ascii="宋体" w:hAnsi="宋体" w:eastAsia="宋体" w:cs="宋体"/>
                <w:b w:val="0"/>
                <w:bCs w:val="0"/>
                <w:color w:val="auto"/>
                <w:kern w:val="0"/>
                <w:sz w:val="24"/>
                <w:highlight w:val="none"/>
                <w:lang w:val="en-US" w:eastAsia="zh-CN" w:bidi="ar"/>
              </w:rPr>
              <w:t>测绘航空摄影专业测绘</w:t>
            </w:r>
            <w:r>
              <w:rPr>
                <w:rFonts w:hint="eastAsia" w:ascii="宋体" w:hAnsi="宋体" w:eastAsia="宋体" w:cs="宋体"/>
                <w:b w:val="0"/>
                <w:bCs w:val="0"/>
                <w:color w:val="auto"/>
                <w:kern w:val="0"/>
                <w:sz w:val="24"/>
                <w:highlight w:val="none"/>
                <w:lang w:bidi="ar"/>
              </w:rPr>
              <w:t>甲级资质得</w:t>
            </w:r>
            <w:r>
              <w:rPr>
                <w:rFonts w:hint="eastAsia" w:ascii="宋体" w:hAnsi="宋体" w:eastAsia="宋体" w:cs="宋体"/>
                <w:b w:val="0"/>
                <w:bCs w:val="0"/>
                <w:color w:val="auto"/>
                <w:kern w:val="0"/>
                <w:sz w:val="24"/>
                <w:highlight w:val="none"/>
                <w:lang w:val="en-US" w:eastAsia="zh-CN" w:bidi="ar"/>
              </w:rPr>
              <w:t>1</w:t>
            </w:r>
            <w:r>
              <w:rPr>
                <w:rFonts w:hint="eastAsia" w:ascii="宋体" w:hAnsi="宋体" w:eastAsia="宋体" w:cs="宋体"/>
                <w:b w:val="0"/>
                <w:bCs w:val="0"/>
                <w:color w:val="auto"/>
                <w:kern w:val="0"/>
                <w:sz w:val="24"/>
                <w:highlight w:val="none"/>
                <w:lang w:bidi="ar"/>
              </w:rPr>
              <w:t>分，乙级资质得</w:t>
            </w:r>
            <w:r>
              <w:rPr>
                <w:rFonts w:hint="eastAsia" w:ascii="宋体" w:hAnsi="宋体" w:eastAsia="宋体" w:cs="宋体"/>
                <w:b w:val="0"/>
                <w:bCs w:val="0"/>
                <w:color w:val="auto"/>
                <w:kern w:val="0"/>
                <w:sz w:val="24"/>
                <w:highlight w:val="none"/>
                <w:lang w:val="en-US" w:eastAsia="zh-CN" w:bidi="ar"/>
              </w:rPr>
              <w:t>0.5</w:t>
            </w:r>
            <w:r>
              <w:rPr>
                <w:rFonts w:hint="eastAsia" w:ascii="宋体" w:hAnsi="宋体" w:eastAsia="宋体" w:cs="宋体"/>
                <w:b w:val="0"/>
                <w:bCs w:val="0"/>
                <w:color w:val="auto"/>
                <w:kern w:val="0"/>
                <w:sz w:val="24"/>
                <w:highlight w:val="none"/>
                <w:lang w:bidi="ar"/>
              </w:rPr>
              <w:t>分。</w:t>
            </w:r>
          </w:p>
          <w:p>
            <w:pPr>
              <w:spacing w:line="500" w:lineRule="exact"/>
              <w:rPr>
                <w:rFonts w:hint="eastAsia" w:ascii="宋体" w:hAnsi="宋体" w:eastAsia="宋体" w:cs="宋体"/>
                <w:color w:val="auto"/>
                <w:kern w:val="0"/>
                <w:sz w:val="24"/>
                <w:highlight w:val="none"/>
                <w:lang w:val="en-US" w:eastAsia="zh-CN" w:bidi="ar"/>
              </w:rPr>
            </w:pPr>
            <w:r>
              <w:rPr>
                <w:rFonts w:hint="eastAsia" w:ascii="宋体" w:hAnsi="宋体" w:eastAsia="宋体" w:cs="宋体"/>
                <w:b/>
                <w:bCs/>
                <w:color w:val="auto"/>
                <w:kern w:val="0"/>
                <w:sz w:val="24"/>
                <w:highlight w:val="none"/>
                <w:lang w:bidi="ar"/>
              </w:rPr>
              <w:t>注：须提供有效的证书复印件，否则不得分。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797" w:type="pct"/>
            <w:shd w:val="clear" w:color="auto" w:fill="auto"/>
            <w:vAlign w:val="center"/>
          </w:tcPr>
          <w:p>
            <w:pPr>
              <w:spacing w:line="500" w:lineRule="exact"/>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3、综合实力3</w:t>
            </w:r>
          </w:p>
        </w:tc>
        <w:tc>
          <w:tcPr>
            <w:tcW w:w="390" w:type="pct"/>
            <w:shd w:val="clear" w:color="auto" w:fill="auto"/>
            <w:vAlign w:val="center"/>
          </w:tcPr>
          <w:p>
            <w:pPr>
              <w:spacing w:line="500" w:lineRule="exact"/>
              <w:jc w:val="center"/>
              <w:rPr>
                <w:rFonts w:hint="eastAsia" w:ascii="宋体" w:hAnsi="宋体" w:eastAsia="宋体" w:cs="宋体"/>
                <w:color w:val="auto"/>
                <w:kern w:val="0"/>
                <w:sz w:val="24"/>
                <w:highlight w:val="none"/>
                <w:lang w:val="en-US" w:eastAsia="zh-CN" w:bidi="ar"/>
              </w:rPr>
            </w:pPr>
            <w:r>
              <w:rPr>
                <w:rFonts w:ascii="宋体" w:hAnsi="宋体" w:eastAsia="宋体" w:cs="宋体"/>
                <w:color w:val="auto"/>
                <w:kern w:val="0"/>
                <w:sz w:val="24"/>
                <w:highlight w:val="none"/>
                <w:lang w:bidi="ar"/>
              </w:rPr>
              <w:t>1</w:t>
            </w:r>
          </w:p>
        </w:tc>
        <w:tc>
          <w:tcPr>
            <w:tcW w:w="534" w:type="pct"/>
            <w:shd w:val="clear" w:color="auto" w:fill="auto"/>
            <w:vAlign w:val="center"/>
          </w:tcPr>
          <w:p>
            <w:pPr>
              <w:spacing w:line="50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是</w:t>
            </w:r>
          </w:p>
        </w:tc>
        <w:tc>
          <w:tcPr>
            <w:tcW w:w="3277" w:type="pct"/>
            <w:shd w:val="clear" w:color="auto" w:fill="auto"/>
            <w:vAlign w:val="center"/>
          </w:tcPr>
          <w:p>
            <w:pPr>
              <w:spacing w:line="500" w:lineRule="exact"/>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为满足山洪模拟及成灾水位计算的要求，投标人具备通过省级及以上科技主管部门验收并授牌的水动力类重点实验室的得</w:t>
            </w:r>
            <w:r>
              <w:rPr>
                <w:rFonts w:ascii="宋体" w:hAnsi="宋体" w:eastAsia="宋体" w:cs="宋体"/>
                <w:color w:val="auto"/>
                <w:kern w:val="0"/>
                <w:sz w:val="24"/>
                <w:highlight w:val="none"/>
                <w:lang w:bidi="ar"/>
              </w:rPr>
              <w:t>1</w:t>
            </w:r>
            <w:r>
              <w:rPr>
                <w:rFonts w:hint="eastAsia" w:ascii="宋体" w:hAnsi="宋体" w:eastAsia="宋体" w:cs="宋体"/>
                <w:color w:val="auto"/>
                <w:kern w:val="0"/>
                <w:sz w:val="24"/>
                <w:highlight w:val="none"/>
                <w:lang w:bidi="ar"/>
              </w:rPr>
              <w:t>分。</w:t>
            </w:r>
          </w:p>
          <w:p>
            <w:pPr>
              <w:spacing w:line="500" w:lineRule="exact"/>
              <w:rPr>
                <w:rFonts w:hint="default" w:ascii="宋体" w:hAnsi="宋体" w:eastAsia="宋体" w:cs="宋体"/>
                <w:color w:val="auto"/>
                <w:kern w:val="0"/>
                <w:sz w:val="24"/>
                <w:highlight w:val="none"/>
                <w:lang w:val="en-US" w:eastAsia="zh-CN" w:bidi="ar"/>
              </w:rPr>
            </w:pPr>
            <w:r>
              <w:rPr>
                <w:rFonts w:hint="eastAsia" w:ascii="宋体" w:hAnsi="宋体" w:eastAsia="宋体" w:cs="宋体"/>
                <w:b/>
                <w:bCs/>
                <w:color w:val="auto"/>
                <w:kern w:val="0"/>
                <w:sz w:val="24"/>
                <w:highlight w:val="none"/>
                <w:lang w:bidi="ar"/>
              </w:rPr>
              <w:t>注：须提供具有发文单位文号的认定文件复印件，否则不得分。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797" w:type="pct"/>
            <w:shd w:val="clear" w:color="auto" w:fill="auto"/>
            <w:vAlign w:val="center"/>
          </w:tcPr>
          <w:p>
            <w:pPr>
              <w:spacing w:line="500" w:lineRule="exact"/>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bidi="ar"/>
              </w:rPr>
              <w:t>4、业绩1</w:t>
            </w:r>
          </w:p>
        </w:tc>
        <w:tc>
          <w:tcPr>
            <w:tcW w:w="390" w:type="pct"/>
            <w:shd w:val="clear" w:color="auto" w:fill="auto"/>
            <w:vAlign w:val="center"/>
          </w:tcPr>
          <w:p>
            <w:pPr>
              <w:spacing w:line="500" w:lineRule="exac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bidi="ar"/>
              </w:rPr>
              <w:t>3</w:t>
            </w:r>
          </w:p>
        </w:tc>
        <w:tc>
          <w:tcPr>
            <w:tcW w:w="534" w:type="pct"/>
            <w:shd w:val="clear" w:color="auto" w:fill="auto"/>
            <w:vAlign w:val="center"/>
          </w:tcPr>
          <w:p>
            <w:pPr>
              <w:spacing w:line="500" w:lineRule="exac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bidi="ar"/>
              </w:rPr>
              <w:t>是</w:t>
            </w:r>
          </w:p>
        </w:tc>
        <w:tc>
          <w:tcPr>
            <w:tcW w:w="3277" w:type="pct"/>
            <w:shd w:val="clear" w:color="auto" w:fill="auto"/>
            <w:vAlign w:val="center"/>
          </w:tcPr>
          <w:p>
            <w:pPr>
              <w:spacing w:line="500" w:lineRule="exact"/>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根据投标人提供自2020年1月1日以来至本项目投标截止时间止（日期以验收证明为准），投标人承担过省级及以上山洪灾害现场普查项目，每提供一份得</w:t>
            </w:r>
            <w:r>
              <w:rPr>
                <w:rFonts w:hint="eastAsia" w:ascii="宋体" w:hAnsi="宋体" w:eastAsia="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分，满分3分。</w:t>
            </w:r>
          </w:p>
          <w:p>
            <w:pPr>
              <w:spacing w:line="500" w:lineRule="exac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highlight w:val="none"/>
                <w:lang w:bidi="ar"/>
              </w:rPr>
              <w:t>注：须</w:t>
            </w:r>
            <w:r>
              <w:rPr>
                <w:rFonts w:hint="eastAsia" w:ascii="宋体" w:hAnsi="宋体" w:eastAsia="宋体" w:cs="宋体"/>
                <w:b/>
                <w:bCs/>
                <w:color w:val="auto"/>
                <w:sz w:val="24"/>
                <w:highlight w:val="none"/>
              </w:rPr>
              <w:t>提供中标（成交）公告（提供相关网站中标（成交）公告的下载网页并注明网址）、中标（成交）通知书复印件、采购合同文本复印件，以及能够证明该业绩项目已经采购人验收合格的相关证明文件复印件，所有材料缺一不可，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797" w:type="pct"/>
            <w:shd w:val="clear" w:color="auto" w:fill="auto"/>
            <w:vAlign w:val="center"/>
          </w:tcPr>
          <w:p>
            <w:pPr>
              <w:spacing w:line="500" w:lineRule="exact"/>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bidi="ar"/>
              </w:rPr>
              <w:t>5、业绩2</w:t>
            </w:r>
          </w:p>
        </w:tc>
        <w:tc>
          <w:tcPr>
            <w:tcW w:w="390" w:type="pct"/>
            <w:shd w:val="clear" w:color="auto" w:fill="auto"/>
            <w:vAlign w:val="center"/>
          </w:tcPr>
          <w:p>
            <w:pPr>
              <w:spacing w:line="500" w:lineRule="exac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bidi="ar"/>
              </w:rPr>
              <w:t>3</w:t>
            </w:r>
          </w:p>
        </w:tc>
        <w:tc>
          <w:tcPr>
            <w:tcW w:w="534" w:type="pct"/>
            <w:shd w:val="clear" w:color="auto" w:fill="auto"/>
            <w:vAlign w:val="center"/>
          </w:tcPr>
          <w:p>
            <w:pPr>
              <w:spacing w:line="500" w:lineRule="exac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bidi="ar"/>
              </w:rPr>
              <w:t>是</w:t>
            </w:r>
          </w:p>
        </w:tc>
        <w:tc>
          <w:tcPr>
            <w:tcW w:w="3277" w:type="pct"/>
            <w:shd w:val="clear" w:color="auto" w:fill="auto"/>
            <w:vAlign w:val="center"/>
          </w:tcPr>
          <w:p>
            <w:pPr>
              <w:spacing w:line="500" w:lineRule="exact"/>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根据投标人提供自2020年1月1日以来至本项目投标截止时间止（日期以验收证明为准），投标人承担过省级及以上防洪能力分析项目，每提供一份得</w:t>
            </w:r>
            <w:r>
              <w:rPr>
                <w:rFonts w:hint="eastAsia" w:ascii="宋体" w:hAnsi="宋体" w:eastAsia="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分，满分3分。</w:t>
            </w:r>
          </w:p>
          <w:p>
            <w:pPr>
              <w:spacing w:line="500" w:lineRule="exac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highlight w:val="none"/>
                <w:lang w:bidi="ar"/>
              </w:rPr>
              <w:t>注：须</w:t>
            </w:r>
            <w:r>
              <w:rPr>
                <w:rFonts w:hint="eastAsia" w:ascii="宋体" w:hAnsi="宋体" w:eastAsia="宋体" w:cs="宋体"/>
                <w:b/>
                <w:bCs/>
                <w:color w:val="auto"/>
                <w:sz w:val="24"/>
                <w:highlight w:val="none"/>
              </w:rPr>
              <w:t>提供中标（成交）公告（提供相关网站中标（成交）公告的下载网页并注明网址）、中标（成交）通知书复印件、采购合同文本复印件，以及能够证明该业绩项目已经采购人验收合格的相关证明文件复印件，所有材料缺一不可，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797" w:type="pct"/>
            <w:shd w:val="clear" w:color="auto" w:fill="auto"/>
            <w:vAlign w:val="center"/>
          </w:tcPr>
          <w:p>
            <w:pPr>
              <w:spacing w:line="500" w:lineRule="exact"/>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bidi="ar"/>
              </w:rPr>
              <w:t>6、业绩3</w:t>
            </w:r>
          </w:p>
        </w:tc>
        <w:tc>
          <w:tcPr>
            <w:tcW w:w="390" w:type="pct"/>
            <w:shd w:val="clear" w:color="auto" w:fill="auto"/>
            <w:vAlign w:val="center"/>
          </w:tcPr>
          <w:p>
            <w:pPr>
              <w:spacing w:line="500" w:lineRule="exac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bidi="ar"/>
              </w:rPr>
              <w:t>3</w:t>
            </w:r>
          </w:p>
        </w:tc>
        <w:tc>
          <w:tcPr>
            <w:tcW w:w="534" w:type="pct"/>
            <w:shd w:val="clear" w:color="auto" w:fill="auto"/>
            <w:vAlign w:val="center"/>
          </w:tcPr>
          <w:p>
            <w:pPr>
              <w:spacing w:line="500" w:lineRule="exac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bidi="ar"/>
              </w:rPr>
              <w:t>是</w:t>
            </w:r>
          </w:p>
        </w:tc>
        <w:tc>
          <w:tcPr>
            <w:tcW w:w="3277" w:type="pct"/>
            <w:shd w:val="clear" w:color="auto" w:fill="auto"/>
            <w:vAlign w:val="center"/>
          </w:tcPr>
          <w:p>
            <w:pPr>
              <w:spacing w:line="500" w:lineRule="exact"/>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根据投标人提供自2020年1月1日以来至本项目投标截止时间止（日期以验收证明为准），投标人承担过省级及以上特征水位调查</w:t>
            </w:r>
            <w:r>
              <w:rPr>
                <w:rFonts w:hint="eastAsia" w:ascii="宋体" w:hAnsi="宋体" w:eastAsia="宋体" w:cs="宋体"/>
                <w:color w:val="auto"/>
                <w:kern w:val="0"/>
                <w:sz w:val="24"/>
                <w:highlight w:val="none"/>
                <w:lang w:val="en-US" w:eastAsia="zh-CN" w:bidi="ar"/>
              </w:rPr>
              <w:t>评价分析</w:t>
            </w:r>
            <w:r>
              <w:rPr>
                <w:rFonts w:hint="eastAsia" w:ascii="宋体" w:hAnsi="宋体" w:eastAsia="宋体" w:cs="宋体"/>
                <w:color w:val="auto"/>
                <w:kern w:val="0"/>
                <w:sz w:val="24"/>
                <w:highlight w:val="none"/>
                <w:lang w:bidi="ar"/>
              </w:rPr>
              <w:t>项目，每提供一份得3分，满分3分。</w:t>
            </w:r>
          </w:p>
          <w:p>
            <w:pPr>
              <w:spacing w:line="500" w:lineRule="exac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highlight w:val="none"/>
                <w:lang w:bidi="ar"/>
              </w:rPr>
              <w:t>注：须</w:t>
            </w:r>
            <w:r>
              <w:rPr>
                <w:rFonts w:hint="eastAsia" w:ascii="宋体" w:hAnsi="宋体" w:eastAsia="宋体" w:cs="宋体"/>
                <w:b/>
                <w:bCs/>
                <w:color w:val="auto"/>
                <w:sz w:val="24"/>
                <w:highlight w:val="none"/>
              </w:rPr>
              <w:t>提供中标（成交）公告（提供相关网站中标（成交）公告的下载网页并注明网址）、中标（成交）通知书复印件、采购合同文本复印件，以及能够证明该业绩项目已经采购人验收合格的相关证明文件复印件，所有材料缺一不可，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797" w:type="pct"/>
            <w:shd w:val="clear" w:color="auto" w:fill="auto"/>
            <w:vAlign w:val="center"/>
          </w:tcPr>
          <w:p>
            <w:pPr>
              <w:spacing w:line="500" w:lineRule="exact"/>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7、服务响应</w:t>
            </w:r>
          </w:p>
        </w:tc>
        <w:tc>
          <w:tcPr>
            <w:tcW w:w="390" w:type="pct"/>
            <w:shd w:val="clear" w:color="auto" w:fill="auto"/>
            <w:vAlign w:val="center"/>
          </w:tcPr>
          <w:p>
            <w:pPr>
              <w:spacing w:line="50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2</w:t>
            </w:r>
          </w:p>
        </w:tc>
        <w:tc>
          <w:tcPr>
            <w:tcW w:w="534" w:type="pct"/>
            <w:shd w:val="clear" w:color="auto" w:fill="auto"/>
            <w:vAlign w:val="center"/>
          </w:tcPr>
          <w:p>
            <w:pPr>
              <w:spacing w:line="50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是</w:t>
            </w:r>
          </w:p>
        </w:tc>
        <w:tc>
          <w:tcPr>
            <w:tcW w:w="3277" w:type="pct"/>
            <w:shd w:val="clear" w:color="auto" w:fill="auto"/>
            <w:vAlign w:val="center"/>
          </w:tcPr>
          <w:p>
            <w:pPr>
              <w:spacing w:line="500" w:lineRule="exact"/>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投标人承诺在项目验收后两个汛期内，提供1名</w:t>
            </w:r>
            <w:r>
              <w:rPr>
                <w:rFonts w:hint="eastAsia" w:ascii="宋体" w:hAnsi="宋体" w:eastAsia="宋体" w:cs="宋体"/>
                <w:color w:val="auto"/>
                <w:kern w:val="0"/>
                <w:sz w:val="24"/>
                <w:highlight w:val="none"/>
                <w:lang w:val="en-US" w:eastAsia="zh-CN" w:bidi="ar"/>
              </w:rPr>
              <w:t>及</w:t>
            </w:r>
            <w:r>
              <w:rPr>
                <w:rFonts w:hint="eastAsia" w:ascii="宋体" w:hAnsi="宋体" w:eastAsia="宋体" w:cs="宋体"/>
                <w:color w:val="auto"/>
                <w:kern w:val="0"/>
                <w:sz w:val="24"/>
                <w:highlight w:val="none"/>
                <w:lang w:bidi="ar"/>
              </w:rPr>
              <w:t>以上具有解决故障能力的工程师驻点服务，得</w:t>
            </w:r>
            <w:r>
              <w:rPr>
                <w:rFonts w:hint="eastAsia" w:ascii="宋体" w:hAnsi="宋体" w:eastAsia="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分。</w:t>
            </w:r>
          </w:p>
          <w:p>
            <w:pPr>
              <w:spacing w:line="500" w:lineRule="exact"/>
              <w:rPr>
                <w:rFonts w:hint="eastAsia" w:ascii="宋体" w:hAnsi="宋体" w:eastAsia="宋体" w:cs="宋体"/>
                <w:color w:val="auto"/>
                <w:kern w:val="0"/>
                <w:sz w:val="24"/>
                <w:highlight w:val="none"/>
                <w:lang w:val="en-US" w:eastAsia="zh-CN" w:bidi="ar"/>
              </w:rPr>
            </w:pPr>
            <w:r>
              <w:rPr>
                <w:rFonts w:hint="eastAsia" w:ascii="宋体" w:hAnsi="宋体" w:eastAsia="宋体" w:cs="宋体"/>
                <w:b/>
                <w:bCs/>
                <w:color w:val="auto"/>
                <w:kern w:val="0"/>
                <w:sz w:val="24"/>
                <w:highlight w:val="none"/>
                <w:lang w:bidi="ar"/>
              </w:rPr>
              <w:t>注：须提供承诺函（格式自拟）</w:t>
            </w:r>
            <w:r>
              <w:rPr>
                <w:rFonts w:hint="eastAsia" w:ascii="宋体" w:hAnsi="宋体" w:eastAsia="宋体" w:cs="宋体"/>
                <w:b/>
                <w:bCs/>
                <w:color w:val="auto"/>
                <w:sz w:val="24"/>
                <w:highlight w:val="none"/>
              </w:rPr>
              <w:t>，否则不得分</w:t>
            </w:r>
            <w:r>
              <w:rPr>
                <w:rFonts w:hint="eastAsia" w:ascii="宋体" w:hAnsi="宋体" w:eastAsia="宋体" w:cs="宋体"/>
                <w:b/>
                <w:bCs/>
                <w:color w:val="auto"/>
                <w:kern w:val="0"/>
                <w:sz w:val="24"/>
                <w:highlight w:val="none"/>
                <w:lang w:bidi="ar"/>
              </w:rPr>
              <w:t>。</w:t>
            </w:r>
          </w:p>
        </w:tc>
      </w:tr>
    </w:tbl>
    <w:p>
      <w:pPr>
        <w:pStyle w:val="21"/>
        <w:keepNext w:val="0"/>
        <w:keepLines w:val="0"/>
        <w:pageBreakBefore w:val="0"/>
        <w:widowControl w:val="0"/>
        <w:kinsoku/>
        <w:wordWrap/>
        <w:overflowPunct/>
        <w:topLinePunct w:val="0"/>
        <w:autoSpaceDE/>
        <w:autoSpaceDN/>
        <w:bidi w:val="0"/>
        <w:adjustRightInd/>
        <w:snapToGrid w:val="0"/>
        <w:spacing w:line="500" w:lineRule="exact"/>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除本章第6.3条第</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款规定情形和落实政府采购政策需进行的价格扣除情形外，不能对投标人的投标报价进行任何调整</w:t>
      </w:r>
      <w:r>
        <w:rPr>
          <w:rFonts w:hint="eastAsia" w:ascii="宋体" w:hAnsi="宋体" w:eastAsia="宋体" w:cs="宋体"/>
          <w:b/>
          <w:bCs/>
          <w:color w:val="auto"/>
          <w:sz w:val="24"/>
          <w:szCs w:val="24"/>
          <w:highlight w:val="none"/>
          <w:lang w:val="en-US" w:eastAsia="zh-CN"/>
        </w:rPr>
        <w:t>。</w:t>
      </w:r>
    </w:p>
    <w:p>
      <w:pPr>
        <w:pStyle w:val="21"/>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中标候选人排列规则顺序如下</w:t>
      </w:r>
      <w:r>
        <w:rPr>
          <w:rFonts w:hint="eastAsia" w:ascii="宋体" w:hAnsi="宋体" w:eastAsia="宋体" w:cs="宋体"/>
          <w:color w:val="auto"/>
          <w:sz w:val="24"/>
          <w:szCs w:val="24"/>
          <w:highlight w:val="none"/>
          <w:lang w:val="en-US" w:eastAsia="zh-CN"/>
        </w:rPr>
        <w:t>：</w:t>
      </w:r>
    </w:p>
    <w:p>
      <w:pPr>
        <w:pStyle w:val="21"/>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按照评标总得分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FA</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由高到低顺序排列</w:t>
      </w:r>
      <w:r>
        <w:rPr>
          <w:rFonts w:hint="eastAsia" w:ascii="宋体" w:hAnsi="宋体" w:eastAsia="宋体" w:cs="宋体"/>
          <w:color w:val="auto"/>
          <w:sz w:val="24"/>
          <w:szCs w:val="24"/>
          <w:highlight w:val="none"/>
          <w:lang w:val="en-US" w:eastAsia="zh-CN"/>
        </w:rPr>
        <w:t>。</w:t>
      </w:r>
    </w:p>
    <w:p>
      <w:pPr>
        <w:pStyle w:val="21"/>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b.评标总得分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FA</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相同的，按照评标价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即价格扣除后的投标报价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由低到高顺序排列。</w:t>
      </w:r>
    </w:p>
    <w:p>
      <w:pPr>
        <w:pStyle w:val="21"/>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c.评标总得分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FA</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且评标价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即价格扣除后的投标报价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相同的并列。</w:t>
      </w:r>
    </w:p>
    <w:p>
      <w:pPr>
        <w:pStyle w:val="21"/>
        <w:keepNext w:val="0"/>
        <w:keepLines w:val="0"/>
        <w:pageBreakBefore w:val="0"/>
        <w:widowControl w:val="0"/>
        <w:kinsoku/>
        <w:wordWrap/>
        <w:overflowPunct/>
        <w:topLinePunct w:val="0"/>
        <w:autoSpaceDE/>
        <w:autoSpaceDN/>
        <w:bidi w:val="0"/>
        <w:adjustRightInd/>
        <w:snapToGrid w:val="0"/>
        <w:spacing w:line="5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8、其他规定</w:t>
      </w:r>
    </w:p>
    <w:p>
      <w:pPr>
        <w:pStyle w:val="21"/>
        <w:keepNext w:val="0"/>
        <w:keepLines w:val="0"/>
        <w:pageBreakBefore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评标应全程保密且不得透露给任一投标人或与评标工作无关的人员。</w:t>
      </w:r>
    </w:p>
    <w:p>
      <w:pPr>
        <w:pStyle w:val="21"/>
        <w:keepNext w:val="0"/>
        <w:keepLines w:val="0"/>
        <w:pageBreakBefore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评标将进行全程实时录音录像，录音录像资料随采购文件一并存档。</w:t>
      </w:r>
    </w:p>
    <w:p>
      <w:pPr>
        <w:pStyle w:val="21"/>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8.3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若投标人有任何试图干扰具体评标事务，影响评标委员会独立履行职责的行为，其投标无效且不予退还投标保证金或通过投标保函进行索赔。情节严重的，由财政部门列入不良行为记录</w:t>
      </w:r>
      <w:r>
        <w:rPr>
          <w:rFonts w:hint="eastAsia" w:ascii="宋体" w:hAnsi="宋体" w:eastAsia="宋体" w:cs="宋体"/>
          <w:b w:val="0"/>
          <w:bCs/>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8.4</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其他：无</w:t>
      </w:r>
      <w:r>
        <w:rPr>
          <w:rFonts w:hint="eastAsia" w:ascii="宋体" w:hAnsi="宋体" w:eastAsia="宋体" w:cs="宋体"/>
          <w:b w:val="0"/>
          <w:bCs/>
          <w:color w:val="auto"/>
          <w:sz w:val="24"/>
          <w:szCs w:val="24"/>
          <w:highlight w:val="none"/>
          <w:lang w:eastAsia="zh-CN"/>
        </w:rPr>
        <w:t>。</w:t>
      </w:r>
    </w:p>
    <w:p>
      <w:pPr>
        <w:keepNext w:val="0"/>
        <w:keepLines w:val="0"/>
        <w:pageBreakBefore w:val="0"/>
        <w:widowControl w:val="0"/>
        <w:kinsoku/>
        <w:overflowPunct/>
        <w:topLinePunct w:val="0"/>
        <w:autoSpaceDE/>
        <w:bidi w:val="0"/>
        <w:adjustRightInd/>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p>
    <w:p>
      <w:pPr>
        <w:pStyle w:val="2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0"/>
        <w:rPr>
          <w:rFonts w:hint="eastAsia" w:ascii="宋体" w:hAnsi="宋体" w:eastAsia="宋体" w:cs="宋体"/>
          <w:color w:val="auto"/>
          <w:sz w:val="24"/>
          <w:szCs w:val="24"/>
          <w:highlight w:val="none"/>
        </w:rPr>
      </w:pPr>
      <w:bookmarkStart w:id="19" w:name="_Toc21637"/>
      <w:r>
        <w:rPr>
          <w:rFonts w:hint="eastAsia" w:ascii="宋体" w:hAnsi="宋体" w:eastAsia="宋体" w:cs="宋体"/>
          <w:b/>
          <w:color w:val="auto"/>
          <w:sz w:val="32"/>
          <w:szCs w:val="32"/>
          <w:highlight w:val="none"/>
        </w:rPr>
        <w:t>第五章</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招标内容及要求</w:t>
      </w:r>
      <w:bookmarkEnd w:id="19"/>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一、项目概况</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采购标的</w:t>
      </w:r>
      <w:r>
        <w:rPr>
          <w:rFonts w:hint="eastAsia" w:ascii="宋体" w:hAnsi="宋体" w:eastAsia="宋体" w:cs="宋体"/>
          <w:b/>
          <w:color w:val="auto"/>
          <w:sz w:val="24"/>
          <w:szCs w:val="24"/>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lang w:val="en-US" w:eastAsia="zh-CN"/>
        </w:rPr>
      </w:pPr>
      <w:r>
        <w:rPr>
          <w:rFonts w:ascii="宋体" w:hAnsi="宋体" w:eastAsia="宋体" w:cs="宋体"/>
          <w:color w:val="auto"/>
          <w:sz w:val="24"/>
          <w:highlight w:val="none"/>
        </w:rPr>
        <w:t>根据2025年水利部下达建设任务及我省山灾“四预”能力建设需求，2025年福建省小流域“四预”算据建设方面要开展新增算据建设任务。新增算据建设包括补充调查评价、小流域山洪灾害风险隐患数据补充建设、山洪灾害小流域复核和特性提取、洪水历史数据入库</w:t>
      </w:r>
      <w:r>
        <w:rPr>
          <w:rFonts w:hint="eastAsia" w:ascii="宋体" w:hAnsi="宋体" w:eastAsia="宋体" w:cs="宋体"/>
          <w:b w:val="0"/>
          <w:bCs/>
          <w:color w:val="auto"/>
          <w:sz w:val="24"/>
          <w:szCs w:val="24"/>
          <w:highlight w:val="none"/>
          <w:lang w:val="en-US" w:eastAsia="zh-CN"/>
        </w:rPr>
        <w:t>。</w:t>
      </w: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二、技术和服务要求</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以“★”标示的内容为不允许负偏离的实质性要求</w:t>
      </w:r>
      <w:r>
        <w:rPr>
          <w:rFonts w:hint="eastAsia" w:ascii="宋体" w:hAnsi="宋体" w:eastAsia="宋体" w:cs="宋体"/>
          <w:b/>
          <w:color w:val="auto"/>
          <w:sz w:val="24"/>
          <w:szCs w:val="24"/>
          <w:highlight w:val="none"/>
          <w:lang w:eastAsia="zh-CN"/>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（一）补充调查评价</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对目前调查评价未覆盖的重要经济活动区、旅游景区及实施整体搬迁后风险源发生变化等开展调查评价，通过完善补充调查评价，科学划定危险区并确定预警指标，将新增防治对象的调查评价数据和危险区划定成果审核后，汇集至</w:t>
      </w:r>
      <w:r>
        <w:rPr>
          <w:rFonts w:hint="eastAsia" w:ascii="宋体" w:hAnsi="宋体" w:eastAsia="宋体" w:cs="宋体"/>
          <w:color w:val="auto"/>
          <w:sz w:val="24"/>
          <w:highlight w:val="none"/>
        </w:rPr>
        <w:t>采购方指定的防汛业务系统平台</w:t>
      </w:r>
      <w:r>
        <w:rPr>
          <w:rFonts w:ascii="宋体" w:hAnsi="宋体" w:eastAsia="宋体" w:cs="宋体"/>
          <w:color w:val="auto"/>
          <w:sz w:val="24"/>
          <w:highlight w:val="none"/>
        </w:rPr>
        <w:t>，确保山洪灾害防治措施与区域发展现状的适配性，切实提升新型城镇化背景下的灾害防控能力。</w:t>
      </w:r>
    </w:p>
    <w:p>
      <w:pPr>
        <w:spacing w:line="500" w:lineRule="exact"/>
        <w:ind w:firstLine="482" w:firstLineChars="200"/>
        <w:rPr>
          <w:rFonts w:ascii="宋体" w:hAnsi="宋体" w:eastAsia="宋体" w:cs="宋体"/>
          <w:b/>
          <w:bCs/>
          <w:color w:val="auto"/>
          <w:sz w:val="24"/>
          <w:highlight w:val="none"/>
        </w:rPr>
      </w:pPr>
      <w:r>
        <w:rPr>
          <w:rFonts w:ascii="宋体" w:hAnsi="宋体" w:eastAsia="宋体" w:cs="宋体"/>
          <w:b/>
          <w:bCs/>
          <w:color w:val="auto"/>
          <w:sz w:val="24"/>
          <w:highlight w:val="none"/>
        </w:rPr>
        <w:t>★在闽江流域内近年山洪灾害较为频繁的福州、南平、三明地区选取60个新增防治对象（对象清单需经采购人确认），开展山洪灾害补充调查评价工作。</w:t>
      </w:r>
    </w:p>
    <w:p>
      <w:pPr>
        <w:spacing w:line="500" w:lineRule="exact"/>
        <w:ind w:firstLine="480" w:firstLineChars="200"/>
        <w:rPr>
          <w:rFonts w:ascii="宋体" w:hAnsi="宋体" w:eastAsia="宋体" w:cs="宋体"/>
          <w:bCs/>
          <w:color w:val="auto"/>
          <w:sz w:val="24"/>
          <w:highlight w:val="none"/>
        </w:rPr>
      </w:pPr>
      <w:r>
        <w:rPr>
          <w:rFonts w:ascii="宋体" w:hAnsi="宋体" w:eastAsia="宋体" w:cs="宋体"/>
          <w:color w:val="auto"/>
          <w:sz w:val="24"/>
          <w:highlight w:val="none"/>
        </w:rPr>
        <w:t>1、工作要求</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（1）沿河村落（新增防治对象）现场详查</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①沿河村落（新增防治对象）详查</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确定新增防治对象名录后，对新增防治对象进行调查，内容包括：村落名称、村落代码、基准点经度、基准点纬度、基准点高程、户主姓名、家庭人口、住房（包括建筑面积、建筑类型、结构形式、经度、维度、宅基高程、临水、切坡）。测量住房坐标和宅基高程，将住房位置标绘在工作底图上。对住房拍摄满足分辨率要求（像素不小于800×600）的住房照片。沿河村落详查应能满足绘制沿河村落水位～人口、水位～房屋关系曲线。（</w:t>
      </w:r>
      <w:r>
        <w:rPr>
          <w:rFonts w:ascii="宋体" w:hAnsi="宋体" w:eastAsia="宋体" w:cs="宋体"/>
          <w:b/>
          <w:color w:val="auto"/>
          <w:sz w:val="24"/>
          <w:highlight w:val="none"/>
        </w:rPr>
        <w:t>评审项</w:t>
      </w:r>
      <w:r>
        <w:rPr>
          <w:rFonts w:hint="eastAsia" w:ascii="宋体" w:hAnsi="宋体" w:eastAsia="宋体" w:cs="宋体"/>
          <w:b/>
          <w:color w:val="auto"/>
          <w:sz w:val="24"/>
          <w:highlight w:val="none"/>
          <w:lang w:val="en-US" w:eastAsia="zh-CN"/>
        </w:rPr>
        <w:t>1</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b/>
          <w:color w:val="auto"/>
          <w:sz w:val="24"/>
          <w:highlight w:val="none"/>
        </w:rPr>
      </w:pPr>
      <w:r>
        <w:rPr>
          <w:rFonts w:ascii="宋体" w:hAnsi="宋体" w:eastAsia="宋体" w:cs="宋体"/>
          <w:color w:val="auto"/>
          <w:sz w:val="24"/>
          <w:highlight w:val="none"/>
        </w:rPr>
        <w:t>②对于新增防治对象内的企事业单位，应调查办公楼的相应信息。</w:t>
      </w:r>
      <w:r>
        <w:rPr>
          <w:rFonts w:ascii="宋体" w:hAnsi="宋体" w:eastAsia="宋体" w:cs="宋体"/>
          <w:b/>
          <w:color w:val="auto"/>
          <w:sz w:val="24"/>
          <w:highlight w:val="none"/>
        </w:rPr>
        <w:t>（评审项</w:t>
      </w:r>
      <w:r>
        <w:rPr>
          <w:rFonts w:hint="eastAsia" w:ascii="宋体" w:hAnsi="宋体" w:eastAsia="宋体" w:cs="宋体"/>
          <w:b/>
          <w:color w:val="auto"/>
          <w:sz w:val="24"/>
          <w:highlight w:val="none"/>
          <w:lang w:val="en-US" w:eastAsia="zh-CN"/>
        </w:rPr>
        <w:t>2</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（2）沟道控制断面测量</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对影响新增防治对象安全的河（沟）道进行控制断面测量，以满足小流域暴雨洪水分析计算、防洪现状评价、危险区划定和预警指标分析的要求。控制断面测量成果要反映河道断面形态和特征，标注成灾水位和历史最高洪水位等。对补充调查的防治对象河道控制断面测量，断面测量工作的范围为新增防治对象所在沟道的控制断面测量，测量要求如下：</w:t>
      </w:r>
    </w:p>
    <w:p>
      <w:pPr>
        <w:spacing w:line="500" w:lineRule="exact"/>
        <w:ind w:firstLine="480" w:firstLineChars="200"/>
        <w:rPr>
          <w:rFonts w:ascii="宋体" w:hAnsi="宋体" w:eastAsia="宋体" w:cs="宋体"/>
          <w:b/>
          <w:color w:val="auto"/>
          <w:sz w:val="24"/>
          <w:highlight w:val="none"/>
        </w:rPr>
      </w:pPr>
      <w:r>
        <w:rPr>
          <w:rFonts w:ascii="宋体" w:hAnsi="宋体" w:eastAsia="宋体" w:cs="宋体"/>
          <w:color w:val="auto"/>
          <w:sz w:val="24"/>
          <w:highlight w:val="none"/>
        </w:rPr>
        <w:t>①每个新增防治对象测量1个纵断面和2～3个横断面(其中标注成灾水位的横断面为控制断面)，如有多条支流汇入，每条支流应加测1个纵断面和2～3个横断面。</w:t>
      </w:r>
      <w:r>
        <w:rPr>
          <w:rFonts w:ascii="宋体" w:hAnsi="宋体" w:eastAsia="宋体" w:cs="宋体"/>
          <w:b/>
          <w:color w:val="auto"/>
          <w:sz w:val="24"/>
          <w:highlight w:val="none"/>
        </w:rPr>
        <w:t>（评审项</w:t>
      </w:r>
      <w:r>
        <w:rPr>
          <w:rFonts w:hint="eastAsia" w:ascii="宋体" w:hAnsi="宋体" w:eastAsia="宋体" w:cs="宋体"/>
          <w:b/>
          <w:color w:val="auto"/>
          <w:sz w:val="24"/>
          <w:highlight w:val="none"/>
          <w:lang w:val="en-US" w:eastAsia="zh-CN"/>
        </w:rPr>
        <w:t>3</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b/>
          <w:color w:val="auto"/>
          <w:sz w:val="24"/>
          <w:highlight w:val="none"/>
        </w:rPr>
      </w:pPr>
      <w:r>
        <w:rPr>
          <w:rFonts w:ascii="宋体" w:hAnsi="宋体" w:eastAsia="宋体" w:cs="宋体"/>
          <w:color w:val="auto"/>
          <w:sz w:val="24"/>
          <w:highlight w:val="none"/>
        </w:rPr>
        <w:t>②新增防治对象的上下游横断面间距，参照《水工建筑物与堰槽测流规程》（SL537-2011）。</w:t>
      </w:r>
      <w:r>
        <w:rPr>
          <w:rFonts w:ascii="宋体" w:hAnsi="宋体" w:eastAsia="宋体" w:cs="宋体"/>
          <w:b/>
          <w:color w:val="auto"/>
          <w:sz w:val="24"/>
          <w:highlight w:val="none"/>
        </w:rPr>
        <w:t>（评审项</w:t>
      </w:r>
      <w:r>
        <w:rPr>
          <w:rFonts w:hint="eastAsia" w:ascii="宋体" w:hAnsi="宋体" w:eastAsia="宋体" w:cs="宋体"/>
          <w:b/>
          <w:color w:val="auto"/>
          <w:sz w:val="24"/>
          <w:highlight w:val="none"/>
          <w:lang w:val="en-US" w:eastAsia="zh-CN"/>
        </w:rPr>
        <w:t>4</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b/>
          <w:color w:val="auto"/>
          <w:sz w:val="24"/>
          <w:highlight w:val="none"/>
        </w:rPr>
      </w:pPr>
      <w:r>
        <w:rPr>
          <w:rFonts w:ascii="宋体" w:hAnsi="宋体" w:eastAsia="宋体" w:cs="宋体"/>
          <w:color w:val="auto"/>
          <w:sz w:val="24"/>
          <w:highlight w:val="none"/>
        </w:rPr>
        <w:t>③纵断面测量（含水面线测量）一般沿沟（河）道深泓线（山谷线）布置，并向上下游断面外各延伸100m～200m。对于有水面的河道在测量河底高程的同时测量水面高程。对于有历史洪痕的河段需测洪痕点坐标和高程。</w:t>
      </w:r>
      <w:r>
        <w:rPr>
          <w:rFonts w:ascii="宋体" w:hAnsi="宋体" w:eastAsia="宋体" w:cs="宋体"/>
          <w:b/>
          <w:color w:val="auto"/>
          <w:sz w:val="24"/>
          <w:highlight w:val="none"/>
        </w:rPr>
        <w:t>（评审项</w:t>
      </w:r>
      <w:r>
        <w:rPr>
          <w:rFonts w:hint="eastAsia" w:ascii="宋体" w:hAnsi="宋体" w:eastAsia="宋体" w:cs="宋体"/>
          <w:b/>
          <w:color w:val="auto"/>
          <w:sz w:val="24"/>
          <w:highlight w:val="none"/>
          <w:lang w:val="en-US" w:eastAsia="zh-CN"/>
        </w:rPr>
        <w:t>5</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b/>
          <w:color w:val="auto"/>
          <w:sz w:val="24"/>
          <w:highlight w:val="none"/>
        </w:rPr>
      </w:pPr>
      <w:r>
        <w:rPr>
          <w:rFonts w:ascii="宋体" w:hAnsi="宋体" w:eastAsia="宋体" w:cs="宋体"/>
          <w:color w:val="auto"/>
          <w:sz w:val="24"/>
          <w:highlight w:val="none"/>
        </w:rPr>
        <w:t>④断面属性描述：河道/沟道的断面形态（三角形、抛物线形、矩形、复式）和河床底质（泥质、沙质、卵石、岩石）情况，糙率取值。</w:t>
      </w:r>
      <w:r>
        <w:rPr>
          <w:rFonts w:ascii="宋体" w:hAnsi="宋体" w:eastAsia="宋体" w:cs="宋体"/>
          <w:b/>
          <w:color w:val="auto"/>
          <w:sz w:val="24"/>
          <w:highlight w:val="none"/>
        </w:rPr>
        <w:t>（评审项</w:t>
      </w:r>
      <w:r>
        <w:rPr>
          <w:rFonts w:hint="eastAsia" w:ascii="宋体" w:hAnsi="宋体" w:eastAsia="宋体" w:cs="宋体"/>
          <w:b/>
          <w:color w:val="auto"/>
          <w:sz w:val="24"/>
          <w:highlight w:val="none"/>
          <w:lang w:val="en-US" w:eastAsia="zh-CN"/>
        </w:rPr>
        <w:t>6</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b/>
          <w:color w:val="auto"/>
          <w:sz w:val="24"/>
          <w:highlight w:val="none"/>
        </w:rPr>
      </w:pPr>
      <w:r>
        <w:rPr>
          <w:rFonts w:ascii="宋体" w:hAnsi="宋体" w:eastAsia="宋体" w:cs="宋体"/>
          <w:color w:val="auto"/>
          <w:sz w:val="24"/>
          <w:highlight w:val="none"/>
        </w:rPr>
        <w:t>⑤测量成灾水位和历史最高洪水位。在河道断面测量阶段，将现场详查阶段，标注出的成灾水位位置和历史最高洪水位位置，测量出经纬度坐标和高程，并转化为控制断面上的成灾水位和历史最高洪水位。</w:t>
      </w:r>
      <w:r>
        <w:rPr>
          <w:rFonts w:ascii="宋体" w:hAnsi="宋体" w:eastAsia="宋体" w:cs="宋体"/>
          <w:b/>
          <w:color w:val="auto"/>
          <w:sz w:val="24"/>
          <w:highlight w:val="none"/>
        </w:rPr>
        <w:t>（评审项</w:t>
      </w:r>
      <w:r>
        <w:rPr>
          <w:rFonts w:hint="eastAsia" w:ascii="宋体" w:hAnsi="宋体" w:eastAsia="宋体" w:cs="宋体"/>
          <w:b/>
          <w:color w:val="auto"/>
          <w:sz w:val="24"/>
          <w:highlight w:val="none"/>
          <w:lang w:val="en-US" w:eastAsia="zh-CN"/>
        </w:rPr>
        <w:t>7</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b/>
          <w:color w:val="auto"/>
          <w:sz w:val="24"/>
          <w:highlight w:val="none"/>
        </w:rPr>
      </w:pPr>
      <w:r>
        <w:rPr>
          <w:rFonts w:ascii="宋体" w:hAnsi="宋体" w:eastAsia="宋体" w:cs="宋体"/>
          <w:color w:val="auto"/>
          <w:sz w:val="24"/>
          <w:highlight w:val="none"/>
        </w:rPr>
        <w:t>⑥断面测量方法：根据现场实际情况可选择不同的测量方法，如CORS法、全站仪法、GNSSRTK法、三维激光扫描仪法等。水下部分测量参考《水文普通测量规范》（SL58-2014），河道/沟道较窄时可测3-5个点（含深泓点），河道/沟道较宽时测点密度应能够反映水下地形变化，测点间距一般不超过20m。</w:t>
      </w:r>
      <w:r>
        <w:rPr>
          <w:rFonts w:ascii="宋体" w:hAnsi="宋体" w:eastAsia="宋体" w:cs="宋体"/>
          <w:b/>
          <w:color w:val="auto"/>
          <w:sz w:val="24"/>
          <w:highlight w:val="none"/>
        </w:rPr>
        <w:t>（评审项</w:t>
      </w:r>
      <w:r>
        <w:rPr>
          <w:rFonts w:hint="eastAsia" w:ascii="宋体" w:hAnsi="宋体" w:eastAsia="宋体" w:cs="宋体"/>
          <w:b/>
          <w:color w:val="auto"/>
          <w:sz w:val="24"/>
          <w:highlight w:val="none"/>
          <w:lang w:val="en-US" w:eastAsia="zh-CN"/>
        </w:rPr>
        <w:t>8</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b/>
          <w:color w:val="auto"/>
          <w:sz w:val="24"/>
          <w:highlight w:val="none"/>
        </w:rPr>
      </w:pPr>
      <w:r>
        <w:rPr>
          <w:rFonts w:ascii="宋体" w:hAnsi="宋体" w:eastAsia="宋体" w:cs="宋体"/>
          <w:color w:val="auto"/>
          <w:sz w:val="24"/>
          <w:highlight w:val="none"/>
        </w:rPr>
        <w:t>⑦断面特征点的选取：横断面的基点以左岸断面桩的起点作为横断面的基点（即起点距的零点），若自右岸断面桩作为基点则应注明。每个河道横断面应不少于8个能反映河道特征的特征点，应包括基点、堤（坡）顶、堤（坡）脚、水边点、历史最高洪水位点、深泓线点（或河底点）。</w:t>
      </w:r>
      <w:r>
        <w:rPr>
          <w:rFonts w:ascii="宋体" w:hAnsi="宋体" w:eastAsia="宋体" w:cs="宋体"/>
          <w:b/>
          <w:color w:val="auto"/>
          <w:sz w:val="24"/>
          <w:highlight w:val="none"/>
        </w:rPr>
        <w:t>（评审项</w:t>
      </w:r>
      <w:r>
        <w:rPr>
          <w:rFonts w:hint="eastAsia" w:ascii="宋体" w:hAnsi="宋体" w:eastAsia="宋体" w:cs="宋体"/>
          <w:b/>
          <w:color w:val="auto"/>
          <w:sz w:val="24"/>
          <w:highlight w:val="none"/>
          <w:lang w:val="en-US" w:eastAsia="zh-CN"/>
        </w:rPr>
        <w:t>9</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b/>
          <w:color w:val="auto"/>
          <w:sz w:val="24"/>
          <w:highlight w:val="none"/>
        </w:rPr>
      </w:pPr>
      <w:r>
        <w:rPr>
          <w:rFonts w:ascii="宋体" w:hAnsi="宋体" w:eastAsia="宋体" w:cs="宋体"/>
          <w:color w:val="auto"/>
          <w:sz w:val="24"/>
          <w:highlight w:val="none"/>
        </w:rPr>
        <w:t>⑧新增防治对象的每个横断面至少附照片2张，左右岸各1张，根据断面起伏适当增加照片。</w:t>
      </w:r>
      <w:r>
        <w:rPr>
          <w:rFonts w:ascii="宋体" w:hAnsi="宋体" w:eastAsia="宋体" w:cs="宋体"/>
          <w:b/>
          <w:color w:val="auto"/>
          <w:sz w:val="24"/>
          <w:highlight w:val="none"/>
        </w:rPr>
        <w:t>（评审项1</w:t>
      </w:r>
      <w:r>
        <w:rPr>
          <w:rFonts w:hint="eastAsia" w:ascii="宋体" w:hAnsi="宋体" w:eastAsia="宋体" w:cs="宋体"/>
          <w:b/>
          <w:color w:val="auto"/>
          <w:sz w:val="24"/>
          <w:highlight w:val="none"/>
          <w:lang w:val="en-US" w:eastAsia="zh-CN"/>
        </w:rPr>
        <w:t>0</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b/>
          <w:color w:val="auto"/>
          <w:sz w:val="24"/>
          <w:highlight w:val="none"/>
        </w:rPr>
      </w:pPr>
      <w:r>
        <w:rPr>
          <w:rFonts w:ascii="宋体" w:hAnsi="宋体" w:eastAsia="宋体" w:cs="宋体"/>
          <w:color w:val="auto"/>
          <w:sz w:val="24"/>
          <w:highlight w:val="none"/>
        </w:rPr>
        <w:t>⑨纵、横断面测量成果：纵断面测量成果由沟道基点构成的深泓线断面数据和属性或历史洪痕构成，测量成果需填表。</w:t>
      </w:r>
      <w:r>
        <w:rPr>
          <w:rFonts w:ascii="宋体" w:hAnsi="宋体" w:eastAsia="宋体" w:cs="宋体"/>
          <w:b/>
          <w:color w:val="auto"/>
          <w:sz w:val="24"/>
          <w:highlight w:val="none"/>
        </w:rPr>
        <w:t>（评审项</w:t>
      </w: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1</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（3）防洪现状评价</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根据前期基础工作和调查结果，利用小流域工作底图，计算出该新增防治对象小流域控制断面以上的面积、形状、河道坡度、河道长度及小流域出口断面情况，计算出该小流域安全流量和小流域可能最大降雨和流量，分析发生超过安全流量的暴雨洪水时，新增防治对象的淹没、损失情况，对新增防治对象的防洪现状作出初步评价和提出相应的防洪措施。</w:t>
      </w:r>
      <w:r>
        <w:rPr>
          <w:rFonts w:ascii="宋体" w:hAnsi="宋体" w:eastAsia="宋体" w:cs="宋体"/>
          <w:b/>
          <w:color w:val="auto"/>
          <w:sz w:val="24"/>
          <w:highlight w:val="none"/>
        </w:rPr>
        <w:t>（评审项1</w:t>
      </w:r>
      <w:r>
        <w:rPr>
          <w:rFonts w:hint="eastAsia" w:ascii="宋体" w:hAnsi="宋体" w:eastAsia="宋体" w:cs="宋体"/>
          <w:b/>
          <w:color w:val="auto"/>
          <w:sz w:val="24"/>
          <w:highlight w:val="none"/>
          <w:lang w:val="en-US" w:eastAsia="zh-CN"/>
        </w:rPr>
        <w:t>2</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现状防洪能力分析主要内容：新增防治对象成灾水位对应洪峰流量的频率分析，并根据需要辅助分析沿河道路、桥涵、沿河房屋地基等特征水位对应洪峰流量的频率，统计确定成灾水位和其他特征水位、各频率设计洪水位下的累计人口和房屋数，综合评价现状防洪能力。</w:t>
      </w:r>
    </w:p>
    <w:p>
      <w:pPr>
        <w:spacing w:line="500" w:lineRule="exact"/>
        <w:ind w:firstLine="482" w:firstLineChars="200"/>
        <w:rPr>
          <w:rFonts w:ascii="宋体" w:hAnsi="宋体" w:eastAsia="宋体" w:cs="宋体"/>
          <w:b/>
          <w:bCs/>
          <w:color w:val="auto"/>
          <w:sz w:val="24"/>
          <w:highlight w:val="none"/>
        </w:rPr>
      </w:pPr>
      <w:r>
        <w:rPr>
          <w:rFonts w:ascii="宋体" w:hAnsi="宋体" w:eastAsia="宋体" w:cs="宋体"/>
          <w:b/>
          <w:bCs/>
          <w:color w:val="auto"/>
          <w:sz w:val="24"/>
          <w:highlight w:val="none"/>
        </w:rPr>
        <w:t>★①成灾水位确定。根据前期居民位置及高程测量成果，将各户居民住宅高程借用水面比降和离控制断面的距离，将居民住宅实测高程值换算成控制断面处高程数，选取后的居民住宅最低高程数据即为成灾水位。</w:t>
      </w:r>
    </w:p>
    <w:p>
      <w:pPr>
        <w:spacing w:line="500" w:lineRule="exact"/>
        <w:ind w:firstLine="482" w:firstLineChars="200"/>
        <w:rPr>
          <w:rFonts w:ascii="宋体" w:hAnsi="宋体" w:eastAsia="宋体" w:cs="宋体"/>
          <w:b/>
          <w:bCs/>
          <w:color w:val="auto"/>
          <w:sz w:val="24"/>
          <w:highlight w:val="none"/>
        </w:rPr>
      </w:pPr>
      <w:r>
        <w:rPr>
          <w:rFonts w:ascii="宋体" w:hAnsi="宋体" w:eastAsia="宋体" w:cs="宋体"/>
          <w:b/>
          <w:bCs/>
          <w:color w:val="auto"/>
          <w:sz w:val="24"/>
          <w:highlight w:val="none"/>
        </w:rPr>
        <w:t>★②成灾水位对应的洪水频率分析。采用水位流量关系或曼宁公式等水力学方法，求出成灾水位对应的洪峰流量，采用频率分析法或插值法等方法，确定该流量对应的洪水频率。</w:t>
      </w:r>
    </w:p>
    <w:p>
      <w:pPr>
        <w:spacing w:line="500" w:lineRule="exact"/>
        <w:ind w:firstLine="482" w:firstLineChars="200"/>
        <w:rPr>
          <w:rFonts w:ascii="宋体" w:hAnsi="宋体" w:eastAsia="宋体" w:cs="宋体"/>
          <w:b/>
          <w:bCs/>
          <w:color w:val="auto"/>
          <w:sz w:val="24"/>
          <w:highlight w:val="none"/>
        </w:rPr>
      </w:pPr>
      <w:r>
        <w:rPr>
          <w:rFonts w:ascii="宋体" w:hAnsi="宋体" w:eastAsia="宋体" w:cs="宋体"/>
          <w:b/>
          <w:bCs/>
          <w:color w:val="auto"/>
          <w:sz w:val="24"/>
          <w:highlight w:val="none"/>
        </w:rPr>
        <w:t>★③现状防洪能力确定。根据现场调查的沿河村落人口高程分布关系，统计确定成灾水位（及其他特征水位）、各频率设计洪水位下的累计人口和房屋数，绘制防洪现状评价图。根据防洪现状评价图，结合控制断面水位流量关系特点，综合确定沿河村落防灾对象的现状防洪能力。</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（4）危险区等级划分</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依据不同频率降雨条件下河（沟）道洪水淹没范围，结合历史山洪调查资料和现场调查，依照危险区划定技术要求，对现场调查中初步确定的危险区范围、转移路线和临时安置地点进行核对和分级，在地形图或影像图上标注不同等级的山洪灾害危险区范围，标明相应的转移路线和临时避险安置地点。</w:t>
      </w:r>
      <w:r>
        <w:rPr>
          <w:rFonts w:ascii="宋体" w:hAnsi="宋体" w:eastAsia="宋体" w:cs="宋体"/>
          <w:b/>
          <w:bCs/>
          <w:color w:val="auto"/>
          <w:sz w:val="24"/>
          <w:highlight w:val="none"/>
        </w:rPr>
        <w:t>（评审项1</w:t>
      </w:r>
      <w:r>
        <w:rPr>
          <w:rFonts w:hint="eastAsia" w:ascii="宋体" w:hAnsi="宋体" w:eastAsia="宋体" w:cs="宋体"/>
          <w:b/>
          <w:bCs/>
          <w:color w:val="auto"/>
          <w:sz w:val="24"/>
          <w:highlight w:val="none"/>
          <w:lang w:val="en-US" w:eastAsia="zh-CN"/>
        </w:rPr>
        <w:t>3</w:t>
      </w:r>
      <w:r>
        <w:rPr>
          <w:rFonts w:ascii="宋体" w:hAnsi="宋体" w:eastAsia="宋体" w:cs="宋体"/>
          <w:b/>
          <w:bCs/>
          <w:color w:val="auto"/>
          <w:sz w:val="24"/>
          <w:highlight w:val="none"/>
        </w:rPr>
        <w:t>）</w:t>
      </w:r>
    </w:p>
    <w:p>
      <w:pPr>
        <w:spacing w:line="500" w:lineRule="exact"/>
        <w:ind w:firstLine="480" w:firstLineChars="200"/>
        <w:rPr>
          <w:rFonts w:ascii="宋体" w:hAnsi="宋体" w:eastAsia="宋体" w:cs="宋体"/>
          <w:bCs/>
          <w:color w:val="auto"/>
          <w:sz w:val="24"/>
          <w:highlight w:val="none"/>
        </w:rPr>
      </w:pPr>
      <w:r>
        <w:rPr>
          <w:rFonts w:ascii="宋体" w:hAnsi="宋体" w:eastAsia="宋体" w:cs="宋体"/>
          <w:color w:val="auto"/>
          <w:sz w:val="24"/>
          <w:highlight w:val="none"/>
        </w:rPr>
        <w:t>采用频率法对危险区进行危险等级划分，并统计人口、房屋等信息。根据5年一遇、20年一遇、100年一遇（或最高历史洪水位，或PMF的最大淹没范围）的洪水位，确定危险区等级，结合地形地貌情况，划定对应等级的危险区范围。在此基础上，基于危险区范围及山洪灾害调查数据，统计各级危险区对应的人口、房屋以及重要基础设施等信息。危险区划分要注意：</w:t>
      </w:r>
      <w:r>
        <w:rPr>
          <w:rFonts w:ascii="宋体" w:hAnsi="宋体" w:eastAsia="宋体" w:cs="宋体"/>
          <w:bCs/>
          <w:color w:val="auto"/>
          <w:sz w:val="24"/>
          <w:highlight w:val="none"/>
        </w:rPr>
        <w:t>①根据具体情况适当调整危险区等级。②考虑工程失事等特殊工况的危险区划分。</w:t>
      </w:r>
      <w:r>
        <w:rPr>
          <w:rFonts w:ascii="宋体" w:hAnsi="宋体" w:eastAsia="宋体" w:cs="宋体"/>
          <w:b/>
          <w:bCs w:val="0"/>
          <w:color w:val="auto"/>
          <w:sz w:val="24"/>
          <w:highlight w:val="none"/>
        </w:rPr>
        <w:t>（评审项1</w:t>
      </w:r>
      <w:r>
        <w:rPr>
          <w:rFonts w:hint="eastAsia" w:ascii="宋体" w:hAnsi="宋体" w:eastAsia="宋体" w:cs="宋体"/>
          <w:b/>
          <w:bCs w:val="0"/>
          <w:color w:val="auto"/>
          <w:sz w:val="24"/>
          <w:highlight w:val="none"/>
          <w:lang w:val="en-US" w:eastAsia="zh-CN"/>
        </w:rPr>
        <w:t>4</w:t>
      </w:r>
      <w:r>
        <w:rPr>
          <w:rFonts w:ascii="宋体" w:hAnsi="宋体" w:eastAsia="宋体" w:cs="宋体"/>
          <w:b/>
          <w:bCs w:val="0"/>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在危险区等级划分的基础上，还应结合沿河村落防灾对象的地形地貌、交通条件等信息，对现场调查的转移路线和安置地点进行评价和修订，以确定最佳的转移路线和临时安置地点。</w:t>
      </w:r>
      <w:r>
        <w:rPr>
          <w:rFonts w:ascii="宋体" w:hAnsi="宋体" w:eastAsia="宋体" w:cs="宋体"/>
          <w:b/>
          <w:bCs/>
          <w:color w:val="auto"/>
          <w:sz w:val="24"/>
          <w:highlight w:val="none"/>
        </w:rPr>
        <w:t>（评审项1</w:t>
      </w:r>
      <w:r>
        <w:rPr>
          <w:rFonts w:hint="eastAsia" w:ascii="宋体" w:hAnsi="宋体" w:eastAsia="宋体" w:cs="宋体"/>
          <w:b/>
          <w:bCs/>
          <w:color w:val="auto"/>
          <w:sz w:val="24"/>
          <w:highlight w:val="none"/>
          <w:lang w:val="en-US" w:eastAsia="zh-CN"/>
        </w:rPr>
        <w:t>5</w:t>
      </w:r>
      <w:r>
        <w:rPr>
          <w:rFonts w:ascii="宋体" w:hAnsi="宋体" w:eastAsia="宋体" w:cs="宋体"/>
          <w:b/>
          <w:bCs/>
          <w:color w:val="auto"/>
          <w:sz w:val="24"/>
          <w:highlight w:val="none"/>
        </w:rPr>
        <w:t>）</w:t>
      </w:r>
    </w:p>
    <w:p>
      <w:pPr>
        <w:spacing w:line="500" w:lineRule="exact"/>
        <w:ind w:firstLine="482" w:firstLineChars="200"/>
        <w:rPr>
          <w:rFonts w:ascii="宋体" w:hAnsi="宋体" w:eastAsia="宋体" w:cs="宋体"/>
          <w:b/>
          <w:bCs/>
          <w:color w:val="auto"/>
          <w:sz w:val="24"/>
          <w:highlight w:val="none"/>
        </w:rPr>
      </w:pPr>
      <w:r>
        <w:rPr>
          <w:rFonts w:ascii="宋体" w:hAnsi="宋体" w:eastAsia="宋体" w:cs="宋体"/>
          <w:b/>
          <w:bCs/>
          <w:color w:val="auto"/>
          <w:sz w:val="24"/>
          <w:highlight w:val="none"/>
        </w:rPr>
        <w:t>★（5）预警指标分析计算</w:t>
      </w:r>
    </w:p>
    <w:p>
      <w:pPr>
        <w:spacing w:line="500" w:lineRule="exact"/>
        <w:ind w:firstLine="482" w:firstLineChars="200"/>
        <w:rPr>
          <w:rFonts w:ascii="宋体" w:hAnsi="宋体" w:eastAsia="宋体" w:cs="宋体"/>
          <w:b/>
          <w:bCs/>
          <w:color w:val="auto"/>
          <w:sz w:val="24"/>
          <w:highlight w:val="none"/>
        </w:rPr>
      </w:pPr>
      <w:r>
        <w:rPr>
          <w:rFonts w:ascii="宋体" w:hAnsi="宋体" w:eastAsia="宋体" w:cs="宋体"/>
          <w:b/>
          <w:bCs/>
          <w:color w:val="auto"/>
          <w:sz w:val="24"/>
          <w:highlight w:val="none"/>
        </w:rPr>
        <w:t>分析计算60个新增防治对象的预警指标阈值，并在危险区图上标明关联的监测站点及相应的预警指标和阈值。山洪灾害预警指标分析针对各个沿河村落防灾对象进行。对于地理位置非常接近且所在河段河流地貌形态相似的多个防灾对象，可以使用相同的预警指标。预警指标包括雨量预警指标与水位预警指标两类，阈值按准备准备转移和立即转移两级确定。根据各地实际情况，也可基于气象预报或水文预报信息，增加一级警戒预警阈值。</w:t>
      </w:r>
    </w:p>
    <w:p>
      <w:pPr>
        <w:spacing w:line="500" w:lineRule="exact"/>
        <w:ind w:firstLine="482" w:firstLineChars="200"/>
        <w:rPr>
          <w:rFonts w:ascii="宋体" w:hAnsi="宋体" w:eastAsia="宋体" w:cs="宋体"/>
          <w:b/>
          <w:bCs/>
          <w:color w:val="auto"/>
          <w:sz w:val="24"/>
          <w:highlight w:val="none"/>
        </w:rPr>
      </w:pPr>
      <w:r>
        <w:rPr>
          <w:rFonts w:ascii="宋体" w:hAnsi="宋体" w:eastAsia="宋体" w:cs="宋体"/>
          <w:b/>
          <w:bCs/>
          <w:color w:val="auto"/>
          <w:sz w:val="24"/>
          <w:highlight w:val="none"/>
        </w:rPr>
        <w:t>预警指标分析成果是山洪灾害预警的重要依据，各地应在分析成果的基础上，根据实际情况进行检验修正，在工作中运用和改进。</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（二）小流域山洪灾害风险隐患数据补充建设</w:t>
      </w:r>
    </w:p>
    <w:p>
      <w:pPr>
        <w:spacing w:line="500" w:lineRule="exact"/>
        <w:ind w:firstLine="480" w:firstLineChars="200"/>
        <w:rPr>
          <w:rFonts w:ascii="宋体" w:hAnsi="宋体" w:eastAsia="宋体" w:cs="宋体"/>
          <w:b/>
          <w:bCs/>
          <w:color w:val="auto"/>
          <w:sz w:val="24"/>
          <w:highlight w:val="none"/>
        </w:rPr>
      </w:pPr>
      <w:r>
        <w:rPr>
          <w:rFonts w:ascii="宋体" w:hAnsi="宋体" w:eastAsia="宋体" w:cs="宋体"/>
          <w:color w:val="auto"/>
          <w:sz w:val="24"/>
          <w:highlight w:val="none"/>
        </w:rPr>
        <w:t>为加快堤防数据修正、补充，保证“多源汇聚、一数一源”，自行收集闽江流域内的5级以上堤防，开展堤防分布矢量修正和堤顶高程点补充测量工作，夯实闽江流域堤防数据，提高完整性和准确性。主要工作内容为复核并修正闽江流域内5级以上堤防矢量数据，补充测量部分堤段的高程点数据，对补测涉及到的堤防、居民点进行360全景拍摄。经过各方数据比对分析，补测堤防长度约2000km，拍摄点204处。</w:t>
      </w:r>
      <w:r>
        <w:rPr>
          <w:rFonts w:ascii="宋体" w:hAnsi="宋体" w:eastAsia="宋体" w:cs="宋体"/>
          <w:b/>
          <w:bCs/>
          <w:color w:val="auto"/>
          <w:sz w:val="24"/>
          <w:highlight w:val="none"/>
        </w:rPr>
        <w:t>（评审项</w:t>
      </w:r>
      <w:r>
        <w:rPr>
          <w:rFonts w:hint="eastAsia" w:ascii="宋体" w:hAnsi="宋体" w:eastAsia="宋体" w:cs="宋体"/>
          <w:b/>
          <w:bCs/>
          <w:color w:val="auto"/>
          <w:sz w:val="24"/>
          <w:highlight w:val="none"/>
          <w:lang w:val="en-US" w:eastAsia="zh-CN"/>
        </w:rPr>
        <w:t>16</w:t>
      </w:r>
      <w:r>
        <w:rPr>
          <w:rFonts w:ascii="宋体" w:hAnsi="宋体" w:eastAsia="宋体" w:cs="宋体"/>
          <w:b/>
          <w:bCs/>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（1）堤顶高程测量</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①堤顶高程测量范围：</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1）补测堤防高程点，测量间隔20m-50m，要求能够充分反映堤防现状防御能力，并在堤防走向变化、堤顶高程变动幅度较大以及存在明显薄弱环节堤段加密测量点。</w:t>
      </w:r>
      <w:r>
        <w:rPr>
          <w:rFonts w:ascii="宋体" w:hAnsi="宋体" w:eastAsia="宋体" w:cs="宋体"/>
          <w:b/>
          <w:color w:val="auto"/>
          <w:sz w:val="24"/>
          <w:highlight w:val="none"/>
        </w:rPr>
        <w:t>（评审项</w:t>
      </w: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7</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2）堤防典型堤段和堤防薄弱处需拍照1-2张。</w:t>
      </w:r>
      <w:r>
        <w:rPr>
          <w:rFonts w:ascii="宋体" w:hAnsi="宋体" w:eastAsia="宋体" w:cs="宋体"/>
          <w:b/>
          <w:color w:val="auto"/>
          <w:sz w:val="24"/>
          <w:highlight w:val="none"/>
        </w:rPr>
        <w:t>（评审项</w:t>
      </w:r>
      <w:r>
        <w:rPr>
          <w:rFonts w:hint="eastAsia" w:ascii="宋体" w:hAnsi="宋体" w:eastAsia="宋体" w:cs="宋体"/>
          <w:b/>
          <w:color w:val="auto"/>
          <w:sz w:val="24"/>
          <w:highlight w:val="none"/>
          <w:lang w:val="en-US" w:eastAsia="zh-CN"/>
        </w:rPr>
        <w:t>18</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3）堤防后为乡镇政府驻地、镇区学校应补充测量代表高程点。</w:t>
      </w:r>
      <w:r>
        <w:rPr>
          <w:rFonts w:ascii="宋体" w:hAnsi="宋体" w:eastAsia="宋体" w:cs="宋体"/>
          <w:b/>
          <w:color w:val="auto"/>
          <w:sz w:val="24"/>
          <w:highlight w:val="none"/>
        </w:rPr>
        <w:t>（评审项</w:t>
      </w:r>
      <w:r>
        <w:rPr>
          <w:rFonts w:hint="eastAsia" w:ascii="宋体" w:hAnsi="宋体" w:eastAsia="宋体" w:cs="宋体"/>
          <w:b/>
          <w:color w:val="auto"/>
          <w:sz w:val="24"/>
          <w:highlight w:val="none"/>
          <w:lang w:val="en-US" w:eastAsia="zh-CN"/>
        </w:rPr>
        <w:t>19</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4）堤顶与背水堤脚高差过大，应补充测量代表高程点。</w:t>
      </w:r>
      <w:r>
        <w:rPr>
          <w:rFonts w:ascii="宋体" w:hAnsi="宋体" w:eastAsia="宋体" w:cs="宋体"/>
          <w:b/>
          <w:color w:val="auto"/>
          <w:sz w:val="24"/>
          <w:highlight w:val="none"/>
        </w:rPr>
        <w:t>（评审项</w:t>
      </w: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0</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5）堤防附近若有已建水文站、水位站或立杆水位站等，应测量平面位置并拍照。</w:t>
      </w:r>
      <w:r>
        <w:rPr>
          <w:rFonts w:ascii="宋体" w:hAnsi="宋体" w:eastAsia="宋体" w:cs="宋体"/>
          <w:b/>
          <w:color w:val="auto"/>
          <w:sz w:val="24"/>
          <w:highlight w:val="none"/>
        </w:rPr>
        <w:t>（评审项</w:t>
      </w:r>
      <w:r>
        <w:rPr>
          <w:rFonts w:hint="eastAsia" w:ascii="宋体" w:hAnsi="宋体" w:eastAsia="宋体" w:cs="宋体"/>
          <w:b/>
          <w:color w:val="auto"/>
          <w:sz w:val="24"/>
          <w:highlight w:val="none"/>
          <w:lang w:val="en-US" w:eastAsia="zh-CN"/>
        </w:rPr>
        <w:t>21</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②堤顶高程测量技术要求：</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1）按照RTK碎部点高程测量采集规范，作业时保留所测RTK高程数据。流动站RTK测量接收设备持续显示固定解后方可开始观测，采用带圆气泡的对中杆进行测量，测量过程中应准确量取或计算对中杆的长度。</w:t>
      </w:r>
      <w:r>
        <w:rPr>
          <w:rFonts w:ascii="宋体" w:hAnsi="宋体" w:eastAsia="宋体" w:cs="宋体"/>
          <w:b/>
          <w:color w:val="auto"/>
          <w:sz w:val="24"/>
          <w:highlight w:val="none"/>
        </w:rPr>
        <w:t>（评审项2</w:t>
      </w:r>
      <w:r>
        <w:rPr>
          <w:rFonts w:hint="eastAsia" w:ascii="宋体" w:hAnsi="宋体" w:eastAsia="宋体" w:cs="宋体"/>
          <w:b/>
          <w:color w:val="auto"/>
          <w:sz w:val="24"/>
          <w:highlight w:val="none"/>
          <w:lang w:val="en-US" w:eastAsia="zh-CN"/>
        </w:rPr>
        <w:t>2</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2）平面坐标要求统一为2000国家大地坐标系（CGCS2000），高程要求统一为1985国家高程基准，满足数据整编及上图要求。</w:t>
      </w:r>
      <w:r>
        <w:rPr>
          <w:rFonts w:ascii="宋体" w:hAnsi="宋体" w:eastAsia="宋体" w:cs="宋体"/>
          <w:b/>
          <w:color w:val="auto"/>
          <w:sz w:val="24"/>
          <w:highlight w:val="none"/>
        </w:rPr>
        <w:t>（评审项2</w:t>
      </w:r>
      <w:r>
        <w:rPr>
          <w:rFonts w:hint="eastAsia" w:ascii="宋体" w:hAnsi="宋体" w:eastAsia="宋体" w:cs="宋体"/>
          <w:b/>
          <w:color w:val="auto"/>
          <w:sz w:val="24"/>
          <w:highlight w:val="none"/>
          <w:lang w:val="en-US" w:eastAsia="zh-CN"/>
        </w:rPr>
        <w:t>3</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3）测量精度参照《水文测量规范》（SL58-2014）、《水利水电工程测量规范》（SL197-2013）、《连续运行基准站网网络RTK高程测量技术规范》（DB35/T1604-2016）等要求，高程碎步点似大地水准面精化模型内符合精度≤10.0cm。</w:t>
      </w:r>
      <w:r>
        <w:rPr>
          <w:rFonts w:ascii="宋体" w:hAnsi="宋体" w:eastAsia="宋体" w:cs="宋体"/>
          <w:b/>
          <w:color w:val="auto"/>
          <w:sz w:val="24"/>
          <w:highlight w:val="none"/>
        </w:rPr>
        <w:t>（评审项2</w:t>
      </w:r>
      <w:r>
        <w:rPr>
          <w:rFonts w:hint="eastAsia" w:ascii="宋体" w:hAnsi="宋体" w:eastAsia="宋体" w:cs="宋体"/>
          <w:b/>
          <w:color w:val="auto"/>
          <w:sz w:val="24"/>
          <w:highlight w:val="none"/>
          <w:lang w:val="en-US" w:eastAsia="zh-CN"/>
        </w:rPr>
        <w:t>4</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4）测量过程中或成果提交前，应按相关技术规定进行实地检核。网络RTK检核可采用网络RTK高程测量方法测量已知控制点高程值（有条件区域）或重测部分已测的测量点高程值（无条件区域）进行比较检核，测量点检测较差应满足DB35/T1604-2016检测较差的规定。</w:t>
      </w:r>
      <w:r>
        <w:rPr>
          <w:rFonts w:ascii="宋体" w:hAnsi="宋体" w:eastAsia="宋体" w:cs="宋体"/>
          <w:b/>
          <w:color w:val="auto"/>
          <w:sz w:val="24"/>
          <w:highlight w:val="none"/>
        </w:rPr>
        <w:t>（评审项2</w:t>
      </w:r>
      <w:r>
        <w:rPr>
          <w:rFonts w:hint="eastAsia" w:ascii="宋体" w:hAnsi="宋体" w:eastAsia="宋体" w:cs="宋体"/>
          <w:b/>
          <w:color w:val="auto"/>
          <w:sz w:val="24"/>
          <w:highlight w:val="none"/>
          <w:lang w:val="en-US" w:eastAsia="zh-CN"/>
        </w:rPr>
        <w:t>5</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5）成果体系要求形成高程点测量成果表（xls格式）、高程点电子成果图（cad或shp格式）、堤防照片（jpg或png格式）。</w:t>
      </w:r>
      <w:r>
        <w:rPr>
          <w:rFonts w:ascii="宋体" w:hAnsi="宋体" w:eastAsia="宋体" w:cs="宋体"/>
          <w:b/>
          <w:color w:val="auto"/>
          <w:sz w:val="24"/>
          <w:highlight w:val="none"/>
        </w:rPr>
        <w:t>（评审项</w:t>
      </w: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6</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（2）堤防360全景拍摄</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针对本次补测堤防集中的河段、乡镇或行政村，采用无人机进行全景照片航拍，标注河流流向、堤防名称、所在乡镇等关键信息，利用专业软件生成全景照片。航拍对象重点关注两岸堤防，用于堤防轴线修正复核，辅助汛期防御过程现场防洪能力查看。</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①堤防 360 全景拍摄技术要求：</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1）利用无人机悬停，悬停高度应能够清晰捕捉堤防主要构筑物及其保护建筑物的分布。拍摄多张照片，相邻照片之间要求30％-40％画面重合，画面过渡流畅，无明显色差变形。</w:t>
      </w:r>
      <w:r>
        <w:rPr>
          <w:rFonts w:ascii="宋体" w:hAnsi="宋体" w:eastAsia="宋体" w:cs="宋体"/>
          <w:b/>
          <w:color w:val="auto"/>
          <w:sz w:val="24"/>
          <w:highlight w:val="none"/>
        </w:rPr>
        <w:t>（评审项</w:t>
      </w:r>
      <w:r>
        <w:rPr>
          <w:rFonts w:hint="eastAsia" w:ascii="宋体" w:hAnsi="宋体" w:eastAsia="宋体" w:cs="宋体"/>
          <w:b/>
          <w:color w:val="auto"/>
          <w:sz w:val="24"/>
          <w:highlight w:val="none"/>
          <w:lang w:val="en-US" w:eastAsia="zh-CN"/>
        </w:rPr>
        <w:t>27</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2）全景照片生成过程中，应标注河流流向、堤防名称、所在乡镇等关键信息。</w:t>
      </w:r>
      <w:r>
        <w:rPr>
          <w:rFonts w:ascii="宋体" w:hAnsi="宋体" w:eastAsia="宋体" w:cs="宋体"/>
          <w:b/>
          <w:color w:val="auto"/>
          <w:sz w:val="24"/>
          <w:highlight w:val="none"/>
        </w:rPr>
        <w:t>（评审项</w:t>
      </w:r>
      <w:r>
        <w:rPr>
          <w:rFonts w:hint="eastAsia" w:ascii="宋体" w:hAnsi="宋体" w:eastAsia="宋体" w:cs="宋体"/>
          <w:b/>
          <w:color w:val="auto"/>
          <w:sz w:val="24"/>
          <w:highlight w:val="none"/>
          <w:lang w:val="en-US" w:eastAsia="zh-CN"/>
        </w:rPr>
        <w:t>28</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（3）堤防分布矢量修正</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补充本次测量成果、航飞全景照片作为参考，开展堤防矢量修正，补充完整堤防矢量分布，避免出现堤防轴线偏移过大。</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①堤防分布矢量修正技术要求：</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1）工作底图采用近期遥感影像，并结合新版1:10000地形图、沿河条带地形图等进行分析。</w:t>
      </w:r>
      <w:r>
        <w:rPr>
          <w:rFonts w:ascii="宋体" w:hAnsi="宋体" w:eastAsia="宋体" w:cs="宋体"/>
          <w:b/>
          <w:color w:val="auto"/>
          <w:sz w:val="24"/>
          <w:highlight w:val="none"/>
        </w:rPr>
        <w:t>（评审项</w:t>
      </w:r>
      <w:r>
        <w:rPr>
          <w:rFonts w:hint="eastAsia" w:ascii="宋体" w:hAnsi="宋体" w:eastAsia="宋体" w:cs="宋体"/>
          <w:b/>
          <w:color w:val="auto"/>
          <w:sz w:val="24"/>
          <w:highlight w:val="none"/>
          <w:lang w:val="en-US" w:eastAsia="zh-CN"/>
        </w:rPr>
        <w:t>29</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2）堤防起止与分段属性，根据自行收集的报告资料、补测成果进行数据补充和属性复核。</w:t>
      </w:r>
      <w:r>
        <w:rPr>
          <w:rFonts w:ascii="宋体" w:hAnsi="宋体" w:eastAsia="宋体" w:cs="宋体"/>
          <w:b/>
          <w:color w:val="auto"/>
          <w:sz w:val="24"/>
          <w:highlight w:val="none"/>
        </w:rPr>
        <w:t>（评审项</w:t>
      </w: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0</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b/>
          <w:color w:val="auto"/>
          <w:sz w:val="24"/>
          <w:highlight w:val="none"/>
        </w:rPr>
      </w:pPr>
      <w:r>
        <w:rPr>
          <w:rFonts w:ascii="宋体" w:hAnsi="宋体" w:eastAsia="宋体" w:cs="宋体"/>
          <w:color w:val="auto"/>
          <w:sz w:val="24"/>
          <w:highlight w:val="none"/>
        </w:rPr>
        <w:t>3）统一根据堤顶轴线进行矢量修正，用来表征堤防走向和位置。</w:t>
      </w:r>
      <w:r>
        <w:rPr>
          <w:rFonts w:ascii="宋体" w:hAnsi="宋体" w:eastAsia="宋体" w:cs="宋体"/>
          <w:b/>
          <w:color w:val="auto"/>
          <w:sz w:val="24"/>
          <w:highlight w:val="none"/>
        </w:rPr>
        <w:t>（评审项3</w:t>
      </w:r>
      <w:r>
        <w:rPr>
          <w:rFonts w:hint="eastAsia" w:ascii="宋体" w:hAnsi="宋体" w:eastAsia="宋体" w:cs="宋体"/>
          <w:b/>
          <w:color w:val="auto"/>
          <w:sz w:val="24"/>
          <w:highlight w:val="none"/>
          <w:lang w:val="en-US" w:eastAsia="zh-CN"/>
        </w:rPr>
        <w:t>1</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ascii="宋体" w:hAnsi="宋体" w:eastAsia="宋体" w:cs="宋体"/>
          <w:color w:val="auto"/>
          <w:sz w:val="24"/>
          <w:highlight w:val="none"/>
        </w:rPr>
        <w:t>4</w:t>
      </w:r>
      <w:r>
        <w:rPr>
          <w:rFonts w:hint="eastAsia" w:ascii="宋体" w:hAnsi="宋体" w:eastAsia="宋体" w:cs="宋体"/>
          <w:color w:val="auto"/>
          <w:sz w:val="24"/>
          <w:highlight w:val="none"/>
        </w:rPr>
        <w:t>）</w:t>
      </w:r>
      <w:r>
        <w:rPr>
          <w:rFonts w:ascii="宋体" w:hAnsi="宋体" w:eastAsia="宋体" w:cs="宋体"/>
          <w:color w:val="auto"/>
          <w:sz w:val="24"/>
          <w:highlight w:val="none"/>
        </w:rPr>
        <w:t>堤防成果汇集</w:t>
      </w:r>
    </w:p>
    <w:p>
      <w:pPr>
        <w:spacing w:line="500" w:lineRule="exact"/>
        <w:ind w:firstLine="480" w:firstLineChars="200"/>
        <w:rPr>
          <w:rFonts w:ascii="宋体" w:hAnsi="宋体" w:eastAsia="宋体" w:cs="宋体"/>
          <w:bCs/>
          <w:color w:val="auto"/>
          <w:sz w:val="24"/>
          <w:highlight w:val="none"/>
        </w:rPr>
      </w:pPr>
      <w:r>
        <w:rPr>
          <w:rFonts w:ascii="宋体" w:hAnsi="宋体" w:eastAsia="宋体" w:cs="宋体"/>
          <w:color w:val="auto"/>
          <w:sz w:val="24"/>
          <w:highlight w:val="none"/>
        </w:rPr>
        <w:t>将本次补充测量成果与已有堤防高程信息</w:t>
      </w:r>
      <w:r>
        <w:rPr>
          <w:rFonts w:hint="eastAsia" w:ascii="宋体" w:hAnsi="宋体" w:eastAsia="宋体" w:cs="宋体"/>
          <w:color w:val="auto"/>
          <w:sz w:val="24"/>
          <w:highlight w:val="none"/>
        </w:rPr>
        <w:t>，</w:t>
      </w:r>
      <w:r>
        <w:rPr>
          <w:rFonts w:ascii="宋体" w:hAnsi="宋体" w:eastAsia="宋体" w:cs="宋体"/>
          <w:color w:val="auto"/>
          <w:sz w:val="24"/>
          <w:highlight w:val="none"/>
        </w:rPr>
        <w:t>即闽江流域内</w:t>
      </w:r>
      <w:r>
        <w:rPr>
          <w:rFonts w:hint="eastAsia" w:ascii="宋体" w:hAnsi="宋体" w:eastAsia="宋体" w:cs="宋体"/>
          <w:color w:val="auto"/>
          <w:sz w:val="24"/>
          <w:highlight w:val="none"/>
        </w:rPr>
        <w:t>5级以上堤防高程信息全部汇集至采购方指定的防汛业务系统平台。集成要素包括堤轴线、堤顶高程、堤防所在河段3</w:t>
      </w:r>
      <w:r>
        <w:rPr>
          <w:rFonts w:ascii="宋体" w:hAnsi="宋体" w:eastAsia="宋体" w:cs="宋体"/>
          <w:color w:val="auto"/>
          <w:sz w:val="24"/>
          <w:highlight w:val="none"/>
        </w:rPr>
        <w:t>60全景照片</w:t>
      </w:r>
      <w:r>
        <w:rPr>
          <w:rFonts w:hint="eastAsia" w:ascii="宋体" w:hAnsi="宋体" w:eastAsia="宋体" w:cs="宋体"/>
          <w:color w:val="auto"/>
          <w:sz w:val="24"/>
          <w:highlight w:val="none"/>
        </w:rPr>
        <w:t>。</w:t>
      </w:r>
      <w:r>
        <w:rPr>
          <w:rFonts w:ascii="宋体" w:hAnsi="宋体" w:eastAsia="宋体" w:cs="宋体"/>
          <w:b/>
          <w:color w:val="auto"/>
          <w:sz w:val="24"/>
          <w:highlight w:val="none"/>
        </w:rPr>
        <w:t>（评审项3</w:t>
      </w:r>
      <w:r>
        <w:rPr>
          <w:rFonts w:hint="eastAsia" w:ascii="宋体" w:hAnsi="宋体" w:eastAsia="宋体" w:cs="宋体"/>
          <w:b/>
          <w:color w:val="auto"/>
          <w:sz w:val="24"/>
          <w:highlight w:val="none"/>
          <w:lang w:val="en-US" w:eastAsia="zh-CN"/>
        </w:rPr>
        <w:t>2</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（三）山洪灾害小流域复核和特性提取</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根据全国山洪灾害调查名录，我省共有1600多个流域面积20-50km</w:t>
      </w:r>
      <w:r>
        <w:rPr>
          <w:rFonts w:ascii="宋体" w:hAnsi="宋体" w:eastAsia="宋体" w:cs="宋体"/>
          <w:color w:val="auto"/>
          <w:sz w:val="24"/>
          <w:highlight w:val="none"/>
          <w:vertAlign w:val="superscript"/>
        </w:rPr>
        <w:t>2</w:t>
      </w:r>
      <w:r>
        <w:rPr>
          <w:rFonts w:ascii="宋体" w:hAnsi="宋体" w:eastAsia="宋体" w:cs="宋体"/>
          <w:color w:val="auto"/>
          <w:sz w:val="24"/>
          <w:highlight w:val="none"/>
        </w:rPr>
        <w:t>的小流域。针对已划分的小流域成果进行检查复核，分析合理性，复核修正河流中心线、补充提取河流范围矢量数据，梳理上下级流域拓扑关系，清查河流名称、河流编码、河源、河口、流经城镇、平均坡降等基本特征。</w:t>
      </w:r>
      <w:r>
        <w:rPr>
          <w:rFonts w:ascii="宋体" w:hAnsi="宋体" w:eastAsia="宋体" w:cs="宋体"/>
          <w:b/>
          <w:color w:val="auto"/>
          <w:sz w:val="24"/>
          <w:highlight w:val="none"/>
        </w:rPr>
        <w:t>（评审项3</w:t>
      </w:r>
      <w:r>
        <w:rPr>
          <w:rFonts w:hint="eastAsia" w:ascii="宋体" w:hAnsi="宋体" w:eastAsia="宋体" w:cs="宋体"/>
          <w:b/>
          <w:color w:val="auto"/>
          <w:sz w:val="24"/>
          <w:highlight w:val="none"/>
          <w:lang w:val="en-US" w:eastAsia="zh-CN"/>
        </w:rPr>
        <w:t>3</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（1）河流中心线复核</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针对小流域河流中心线，结合新版1:10000地形图、遥感影像图进行叠加查看，并根据实际河道情况对水系分布进行核查和修正。</w:t>
      </w:r>
      <w:r>
        <w:rPr>
          <w:rFonts w:ascii="宋体" w:hAnsi="宋体" w:eastAsia="宋体" w:cs="宋体"/>
          <w:b/>
          <w:color w:val="auto"/>
          <w:sz w:val="24"/>
          <w:highlight w:val="none"/>
        </w:rPr>
        <w:t>（评审项3</w:t>
      </w:r>
      <w:r>
        <w:rPr>
          <w:rFonts w:hint="eastAsia" w:ascii="宋体" w:hAnsi="宋体" w:eastAsia="宋体" w:cs="宋体"/>
          <w:b/>
          <w:color w:val="auto"/>
          <w:sz w:val="24"/>
          <w:highlight w:val="none"/>
          <w:lang w:val="en-US" w:eastAsia="zh-CN"/>
        </w:rPr>
        <w:t>4</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（2）小流域范围提取</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根据修正之后的河流中心线，根据自行收集的DEM数据提取对应的小流域范围，要求DEM分辨率优于15m。提取结果需要进行复核修正，主要参考1:10000地形图，根据地形图山脊线走势，以及实际河网分布情况，来对提取结果进行修正。</w:t>
      </w:r>
      <w:r>
        <w:rPr>
          <w:rFonts w:ascii="宋体" w:hAnsi="宋体" w:eastAsia="宋体" w:cs="宋体"/>
          <w:b/>
          <w:bCs/>
          <w:color w:val="auto"/>
          <w:sz w:val="24"/>
          <w:highlight w:val="none"/>
        </w:rPr>
        <w:t>（评审项3</w:t>
      </w:r>
      <w:r>
        <w:rPr>
          <w:rFonts w:hint="eastAsia" w:ascii="宋体" w:hAnsi="宋体" w:eastAsia="宋体" w:cs="宋体"/>
          <w:b/>
          <w:bCs/>
          <w:color w:val="auto"/>
          <w:sz w:val="24"/>
          <w:highlight w:val="none"/>
          <w:lang w:val="en-US" w:eastAsia="zh-CN"/>
        </w:rPr>
        <w:t>5</w:t>
      </w:r>
      <w:r>
        <w:rPr>
          <w:rFonts w:ascii="宋体" w:hAnsi="宋体" w:eastAsia="宋体" w:cs="宋体"/>
          <w:b/>
          <w:bCs/>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（3）拓扑关系建立</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在提取小流域范围完成之后，需要根据河流名称、流域等级进行上下级流域拓扑关系建立，各小流域能够对应索引至上一级流域面积50km</w:t>
      </w:r>
      <w:r>
        <w:rPr>
          <w:rFonts w:ascii="宋体" w:hAnsi="宋体" w:eastAsia="宋体" w:cs="宋体"/>
          <w:color w:val="auto"/>
          <w:sz w:val="24"/>
          <w:highlight w:val="none"/>
          <w:vertAlign w:val="superscript"/>
        </w:rPr>
        <w:t>2</w:t>
      </w:r>
      <w:r>
        <w:rPr>
          <w:rFonts w:ascii="宋体" w:hAnsi="宋体" w:eastAsia="宋体" w:cs="宋体"/>
          <w:color w:val="auto"/>
          <w:sz w:val="24"/>
          <w:highlight w:val="none"/>
        </w:rPr>
        <w:t>以上河流。</w:t>
      </w:r>
      <w:r>
        <w:rPr>
          <w:rFonts w:ascii="宋体" w:hAnsi="宋体" w:eastAsia="宋体" w:cs="宋体"/>
          <w:b/>
          <w:color w:val="auto"/>
          <w:sz w:val="24"/>
          <w:highlight w:val="none"/>
        </w:rPr>
        <w:t>（评审项</w:t>
      </w:r>
      <w:r>
        <w:rPr>
          <w:rFonts w:hint="eastAsia" w:ascii="宋体" w:hAnsi="宋体" w:eastAsia="宋体" w:cs="宋体"/>
          <w:b/>
          <w:color w:val="auto"/>
          <w:sz w:val="24"/>
          <w:highlight w:val="none"/>
          <w:lang w:val="en-US" w:eastAsia="zh-CN"/>
        </w:rPr>
        <w:t>36</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（4）流域属性赋值</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①河流命名原则</w:t>
      </w:r>
    </w:p>
    <w:p>
      <w:pPr>
        <w:spacing w:line="500" w:lineRule="exact"/>
        <w:ind w:firstLine="480" w:firstLineChars="200"/>
        <w:rPr>
          <w:rFonts w:ascii="宋体" w:hAnsi="宋体" w:eastAsia="宋体" w:cs="宋体"/>
          <w:b/>
          <w:color w:val="auto"/>
          <w:sz w:val="24"/>
          <w:highlight w:val="none"/>
        </w:rPr>
      </w:pPr>
      <w:r>
        <w:rPr>
          <w:rFonts w:ascii="宋体" w:hAnsi="宋体" w:eastAsia="宋体" w:cs="宋体"/>
          <w:color w:val="auto"/>
          <w:sz w:val="24"/>
          <w:highlight w:val="none"/>
        </w:rPr>
        <w:t>自行收集小流域名称，河流名称在县级行政区内具有唯一性，若已有惯例名称或常用名称，则使用原名称。</w:t>
      </w:r>
      <w:r>
        <w:rPr>
          <w:rFonts w:hint="eastAsia" w:ascii="宋体" w:hAnsi="宋体" w:eastAsia="宋体" w:cs="宋体"/>
          <w:color w:val="auto"/>
          <w:sz w:val="24"/>
          <w:highlight w:val="none"/>
        </w:rPr>
        <w:t>需要新命名的小流域，命名应力求简明确切，易于辨识，可采用当地沟道、村庄、山脉或河流的名称；若一个小流域内包含多个村庄时，命名可采用人口最多的村庄名称。</w:t>
      </w:r>
      <w:r>
        <w:rPr>
          <w:rFonts w:ascii="宋体" w:hAnsi="宋体" w:eastAsia="宋体" w:cs="宋体"/>
          <w:b/>
          <w:color w:val="auto"/>
          <w:sz w:val="24"/>
          <w:highlight w:val="none"/>
        </w:rPr>
        <w:t>（评审项</w:t>
      </w:r>
      <w:r>
        <w:rPr>
          <w:rFonts w:hint="eastAsia" w:ascii="宋体" w:hAnsi="宋体" w:eastAsia="宋体" w:cs="宋体"/>
          <w:b/>
          <w:color w:val="auto"/>
          <w:sz w:val="24"/>
          <w:highlight w:val="none"/>
          <w:lang w:val="en-US" w:eastAsia="zh-CN"/>
        </w:rPr>
        <w:t>37</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②河流编码结构</w:t>
      </w:r>
    </w:p>
    <w:p>
      <w:pPr>
        <w:spacing w:line="500" w:lineRule="exact"/>
        <w:ind w:firstLine="480" w:firstLineChars="200"/>
        <w:rPr>
          <w:rFonts w:ascii="宋体" w:hAnsi="宋体" w:eastAsia="宋体" w:cs="宋体"/>
          <w:b/>
          <w:color w:val="auto"/>
          <w:sz w:val="24"/>
          <w:highlight w:val="none"/>
        </w:rPr>
      </w:pPr>
      <w:r>
        <w:rPr>
          <w:rFonts w:ascii="宋体" w:hAnsi="宋体" w:eastAsia="宋体" w:cs="宋体"/>
          <w:color w:val="auto"/>
          <w:sz w:val="24"/>
          <w:highlight w:val="none"/>
        </w:rPr>
        <w:t>河流编码采用拉丁字母(I、O、Z舍弃)和数字的混合编码，共12位，分别表示河流所在的流域、水系、编码和类别。编码规则</w:t>
      </w:r>
      <w:r>
        <w:rPr>
          <w:rFonts w:hint="eastAsia" w:ascii="宋体" w:hAnsi="宋体" w:eastAsia="宋体" w:cs="宋体"/>
          <w:color w:val="auto"/>
          <w:sz w:val="24"/>
          <w:highlight w:val="none"/>
        </w:rPr>
        <w:t>参</w:t>
      </w:r>
      <w:r>
        <w:rPr>
          <w:rFonts w:ascii="宋体" w:hAnsi="宋体" w:eastAsia="宋体" w:cs="宋体"/>
          <w:color w:val="auto"/>
          <w:sz w:val="24"/>
          <w:highlight w:val="none"/>
        </w:rPr>
        <w:t>照第一次全国水利普查河流编码规则</w:t>
      </w:r>
      <w:r>
        <w:rPr>
          <w:rFonts w:hint="eastAsia" w:ascii="宋体" w:hAnsi="宋体" w:eastAsia="宋体" w:cs="宋体"/>
          <w:color w:val="auto"/>
          <w:sz w:val="24"/>
          <w:highlight w:val="none"/>
        </w:rPr>
        <w:t>。</w:t>
      </w:r>
      <w:r>
        <w:rPr>
          <w:rFonts w:ascii="宋体" w:hAnsi="宋体" w:eastAsia="宋体" w:cs="宋体"/>
          <w:b/>
          <w:color w:val="auto"/>
          <w:sz w:val="24"/>
          <w:highlight w:val="none"/>
        </w:rPr>
        <w:t>（评审项</w:t>
      </w:r>
      <w:r>
        <w:rPr>
          <w:rFonts w:hint="eastAsia" w:ascii="宋体" w:hAnsi="宋体" w:eastAsia="宋体" w:cs="宋体"/>
          <w:b/>
          <w:color w:val="auto"/>
          <w:sz w:val="24"/>
          <w:highlight w:val="none"/>
          <w:lang w:val="en-US" w:eastAsia="zh-CN"/>
        </w:rPr>
        <w:t>38</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③属性赋值</w:t>
      </w:r>
    </w:p>
    <w:p>
      <w:pPr>
        <w:spacing w:line="500" w:lineRule="exact"/>
        <w:ind w:firstLine="480" w:firstLineChars="200"/>
        <w:rPr>
          <w:rFonts w:ascii="宋体" w:hAnsi="宋体" w:eastAsia="宋体" w:cs="宋体"/>
          <w:b/>
          <w:color w:val="auto"/>
          <w:sz w:val="24"/>
          <w:highlight w:val="none"/>
        </w:rPr>
      </w:pPr>
      <w:r>
        <w:rPr>
          <w:rFonts w:ascii="宋体" w:hAnsi="宋体" w:eastAsia="宋体" w:cs="宋体"/>
          <w:color w:val="auto"/>
          <w:sz w:val="24"/>
          <w:highlight w:val="none"/>
        </w:rPr>
        <w:t>小流域属性包括小流域名称、编码、面积、河长、平均坡降、河源、河口、流经城镇等特征属性，同时包括上一级河流名称、上一级河流编码等关联属性。</w:t>
      </w:r>
      <w:r>
        <w:rPr>
          <w:rFonts w:ascii="宋体" w:hAnsi="宋体" w:eastAsia="宋体" w:cs="宋体"/>
          <w:b/>
          <w:color w:val="auto"/>
          <w:sz w:val="24"/>
          <w:highlight w:val="none"/>
        </w:rPr>
        <w:t>（评审项</w:t>
      </w:r>
      <w:r>
        <w:rPr>
          <w:rFonts w:hint="eastAsia" w:ascii="宋体" w:hAnsi="宋体" w:eastAsia="宋体" w:cs="宋体"/>
          <w:b/>
          <w:color w:val="auto"/>
          <w:sz w:val="24"/>
          <w:highlight w:val="none"/>
          <w:lang w:val="en-US" w:eastAsia="zh-CN"/>
        </w:rPr>
        <w:t>39</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（5）小流域划分数据成果集成</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将本次小流域划分矢量信息全部汇集至</w:t>
      </w:r>
      <w:r>
        <w:rPr>
          <w:rFonts w:hint="eastAsia" w:ascii="宋体" w:hAnsi="宋体" w:eastAsia="宋体" w:cs="宋体"/>
          <w:color w:val="auto"/>
          <w:sz w:val="24"/>
          <w:highlight w:val="none"/>
        </w:rPr>
        <w:t>及采购方指定的防汛业务</w:t>
      </w:r>
      <w:r>
        <w:rPr>
          <w:rFonts w:ascii="宋体" w:hAnsi="宋体" w:eastAsia="宋体" w:cs="宋体"/>
          <w:color w:val="auto"/>
          <w:sz w:val="24"/>
          <w:highlight w:val="none"/>
        </w:rPr>
        <w:t>系统平台</w:t>
      </w:r>
      <w:r>
        <w:rPr>
          <w:rFonts w:hint="eastAsia" w:ascii="宋体" w:hAnsi="宋体" w:eastAsia="宋体" w:cs="宋体"/>
          <w:color w:val="auto"/>
          <w:sz w:val="24"/>
          <w:highlight w:val="none"/>
        </w:rPr>
        <w:t>。</w:t>
      </w:r>
      <w:r>
        <w:rPr>
          <w:rFonts w:ascii="宋体" w:hAnsi="宋体" w:eastAsia="宋体" w:cs="宋体"/>
          <w:color w:val="auto"/>
          <w:sz w:val="24"/>
          <w:highlight w:val="none"/>
        </w:rPr>
        <w:t>集成要素包括流域范围</w:t>
      </w:r>
      <w:r>
        <w:rPr>
          <w:rFonts w:hint="eastAsia" w:ascii="宋体" w:hAnsi="宋体" w:eastAsia="宋体" w:cs="宋体"/>
          <w:color w:val="auto"/>
          <w:sz w:val="24"/>
          <w:highlight w:val="none"/>
        </w:rPr>
        <w:t>、</w:t>
      </w:r>
      <w:r>
        <w:rPr>
          <w:rFonts w:ascii="宋体" w:hAnsi="宋体" w:eastAsia="宋体" w:cs="宋体"/>
          <w:color w:val="auto"/>
          <w:sz w:val="24"/>
          <w:highlight w:val="none"/>
        </w:rPr>
        <w:t>流域名称</w:t>
      </w:r>
      <w:r>
        <w:rPr>
          <w:rFonts w:hint="eastAsia" w:ascii="宋体" w:hAnsi="宋体" w:eastAsia="宋体" w:cs="宋体"/>
          <w:color w:val="auto"/>
          <w:sz w:val="24"/>
          <w:highlight w:val="none"/>
        </w:rPr>
        <w:t>、</w:t>
      </w:r>
      <w:r>
        <w:rPr>
          <w:rFonts w:ascii="宋体" w:hAnsi="宋体" w:eastAsia="宋体" w:cs="宋体"/>
          <w:color w:val="auto"/>
          <w:sz w:val="24"/>
          <w:highlight w:val="none"/>
        </w:rPr>
        <w:t>流域面积等</w:t>
      </w:r>
      <w:r>
        <w:rPr>
          <w:rFonts w:hint="eastAsia" w:ascii="宋体" w:hAnsi="宋体" w:eastAsia="宋体" w:cs="宋体"/>
          <w:color w:val="auto"/>
          <w:sz w:val="24"/>
          <w:highlight w:val="none"/>
        </w:rPr>
        <w:t>。</w:t>
      </w:r>
      <w:r>
        <w:rPr>
          <w:rFonts w:ascii="宋体" w:hAnsi="宋体" w:eastAsia="宋体" w:cs="宋体"/>
          <w:b/>
          <w:color w:val="auto"/>
          <w:sz w:val="24"/>
          <w:highlight w:val="none"/>
        </w:rPr>
        <w:t>（评审项</w:t>
      </w:r>
      <w:r>
        <w:rPr>
          <w:rFonts w:hint="eastAsia" w:ascii="宋体" w:hAnsi="宋体" w:eastAsia="宋体" w:cs="宋体"/>
          <w:b/>
          <w:color w:val="auto"/>
          <w:sz w:val="24"/>
          <w:highlight w:val="none"/>
        </w:rPr>
        <w:t>4</w:t>
      </w:r>
      <w:r>
        <w:rPr>
          <w:rFonts w:hint="eastAsia" w:ascii="宋体" w:hAnsi="宋体" w:eastAsia="宋体" w:cs="宋体"/>
          <w:b/>
          <w:color w:val="auto"/>
          <w:sz w:val="24"/>
          <w:highlight w:val="none"/>
          <w:lang w:val="en-US" w:eastAsia="zh-CN"/>
        </w:rPr>
        <w:t>0</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（四）洪水历史数据入库</w:t>
      </w:r>
    </w:p>
    <w:p>
      <w:pPr>
        <w:spacing w:line="500" w:lineRule="exact"/>
        <w:ind w:firstLine="480" w:firstLineChars="200"/>
        <w:rPr>
          <w:rFonts w:ascii="宋体" w:hAnsi="宋体" w:eastAsia="宋体" w:cs="宋体"/>
          <w:b/>
          <w:color w:val="auto"/>
          <w:sz w:val="24"/>
          <w:highlight w:val="none"/>
        </w:rPr>
      </w:pPr>
      <w:r>
        <w:rPr>
          <w:rFonts w:ascii="宋体" w:hAnsi="宋体" w:eastAsia="宋体" w:cs="宋体"/>
          <w:color w:val="auto"/>
          <w:sz w:val="24"/>
          <w:highlight w:val="none"/>
        </w:rPr>
        <w:t>全面、系统地自行收集与</w:t>
      </w:r>
      <w:r>
        <w:rPr>
          <w:rFonts w:hint="eastAsia" w:ascii="宋体" w:hAnsi="宋体" w:eastAsia="宋体" w:cs="宋体"/>
          <w:color w:val="auto"/>
          <w:sz w:val="24"/>
          <w:highlight w:val="none"/>
          <w:lang w:eastAsia="zh-CN"/>
        </w:rPr>
        <w:t>福建省内历史</w:t>
      </w:r>
      <w:r>
        <w:rPr>
          <w:rFonts w:ascii="宋体" w:hAnsi="宋体" w:eastAsia="宋体" w:cs="宋体"/>
          <w:color w:val="auto"/>
          <w:sz w:val="24"/>
          <w:highlight w:val="none"/>
        </w:rPr>
        <w:t>洪水相关的各类资料，为后续的数据处理和分析提供丰富、准确的数据基础。洪水相关的各类资料包括降雨分布、雨洪过程、灾情报告、复盘资料、调查成果、暴雨频率成果数据等。</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（1）洪水底板建设服务</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①洪水资料收集与梳理</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收集有记录洪水相关资料，包括降雨分布、雨洪过程、灾情报告、暴雨频率等，并进行系统梳理，明确数据来源、类型及业务含义。</w:t>
      </w:r>
      <w:r>
        <w:rPr>
          <w:rFonts w:ascii="宋体" w:hAnsi="宋体" w:eastAsia="宋体" w:cs="宋体"/>
          <w:b/>
          <w:bCs/>
          <w:color w:val="auto"/>
          <w:sz w:val="24"/>
          <w:highlight w:val="none"/>
        </w:rPr>
        <w:t>（评审项4</w:t>
      </w:r>
      <w:r>
        <w:rPr>
          <w:rFonts w:hint="eastAsia" w:ascii="宋体" w:hAnsi="宋体" w:eastAsia="宋体" w:cs="宋体"/>
          <w:b/>
          <w:bCs/>
          <w:color w:val="auto"/>
          <w:sz w:val="24"/>
          <w:highlight w:val="none"/>
          <w:lang w:val="en-US" w:eastAsia="zh-CN"/>
        </w:rPr>
        <w:t>1</w:t>
      </w:r>
      <w:r>
        <w:rPr>
          <w:rFonts w:ascii="宋体" w:hAnsi="宋体" w:eastAsia="宋体" w:cs="宋体"/>
          <w:b/>
          <w:bCs/>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②纸质数据数字化</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对水库扩展资料、历史洪水库资料及洪水调查成果进行数字化处理，转换为电子化、标准化的数字格式，便于后续入库。</w:t>
      </w:r>
      <w:r>
        <w:rPr>
          <w:rFonts w:ascii="宋体" w:hAnsi="宋体" w:eastAsia="宋体" w:cs="宋体"/>
          <w:b/>
          <w:bCs/>
          <w:color w:val="auto"/>
          <w:sz w:val="24"/>
          <w:highlight w:val="none"/>
        </w:rPr>
        <w:t>（评审项</w:t>
      </w:r>
      <w:r>
        <w:rPr>
          <w:rFonts w:hint="eastAsia" w:ascii="宋体" w:hAnsi="宋体" w:eastAsia="宋体" w:cs="宋体"/>
          <w:b/>
          <w:bCs/>
          <w:color w:val="auto"/>
          <w:sz w:val="24"/>
          <w:highlight w:val="none"/>
          <w:lang w:val="en-US" w:eastAsia="zh-CN"/>
        </w:rPr>
        <w:t>42</w:t>
      </w:r>
      <w:r>
        <w:rPr>
          <w:rFonts w:ascii="宋体" w:hAnsi="宋体" w:eastAsia="宋体" w:cs="宋体"/>
          <w:b/>
          <w:bCs/>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③数据建库与治理</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设计合理数据库结构，构建洪水资料数据库，确保可扩展性和兼容性；同时提供数据治理服务，包括数据表规范命名、数据补全、去重及格式转换。</w:t>
      </w:r>
      <w:r>
        <w:rPr>
          <w:rFonts w:ascii="宋体" w:hAnsi="宋体" w:eastAsia="宋体" w:cs="宋体"/>
          <w:b/>
          <w:bCs/>
          <w:color w:val="auto"/>
          <w:sz w:val="24"/>
          <w:highlight w:val="none"/>
        </w:rPr>
        <w:t>（评审项4</w:t>
      </w:r>
      <w:r>
        <w:rPr>
          <w:rFonts w:hint="eastAsia" w:ascii="宋体" w:hAnsi="宋体" w:eastAsia="宋体" w:cs="宋体"/>
          <w:b/>
          <w:bCs/>
          <w:color w:val="auto"/>
          <w:sz w:val="24"/>
          <w:highlight w:val="none"/>
          <w:lang w:val="en-US" w:eastAsia="zh-CN"/>
        </w:rPr>
        <w:t>3</w:t>
      </w:r>
      <w:r>
        <w:rPr>
          <w:rFonts w:ascii="宋体" w:hAnsi="宋体" w:eastAsia="宋体" w:cs="宋体"/>
          <w:b/>
          <w:bCs/>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④洪水数据可视化</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提供水库扩展信息、历史洪水库信息及洪水调查成果的可视化服务，展示详细信息及调查现场照片等。投标人投标文件中须提供水库扩展信息、历史洪水库信息及洪水调查成果可视化设计截图。</w:t>
      </w:r>
      <w:r>
        <w:rPr>
          <w:rFonts w:ascii="宋体" w:hAnsi="宋体" w:eastAsia="宋体" w:cs="宋体"/>
          <w:b/>
          <w:bCs/>
          <w:color w:val="auto"/>
          <w:sz w:val="24"/>
          <w:highlight w:val="none"/>
        </w:rPr>
        <w:t>（评审项4</w:t>
      </w:r>
      <w:r>
        <w:rPr>
          <w:rFonts w:hint="eastAsia" w:ascii="宋体" w:hAnsi="宋体" w:eastAsia="宋体" w:cs="宋体"/>
          <w:b/>
          <w:bCs/>
          <w:color w:val="auto"/>
          <w:sz w:val="24"/>
          <w:highlight w:val="none"/>
          <w:lang w:val="en-US" w:eastAsia="zh-CN"/>
        </w:rPr>
        <w:t>4</w:t>
      </w:r>
      <w:r>
        <w:rPr>
          <w:rFonts w:ascii="宋体" w:hAnsi="宋体" w:eastAsia="宋体" w:cs="宋体"/>
          <w:b/>
          <w:bCs/>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（2）洪水灾害多维度统计分析服务</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①雨水情统计分析</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提供超警洪水统计、江河洪水预测、径流分析、短历时暴雨站点统计、雨情统计、降雨量分析及雨情旬月报统计等服务，涵盖按站次、水系、站点、流域、行政区划等多维度分析。</w:t>
      </w:r>
      <w:r>
        <w:rPr>
          <w:rFonts w:ascii="宋体" w:hAnsi="宋体" w:eastAsia="宋体" w:cs="宋体"/>
          <w:b/>
          <w:bCs/>
          <w:color w:val="auto"/>
          <w:sz w:val="24"/>
          <w:highlight w:val="none"/>
        </w:rPr>
        <w:t>（评审项</w:t>
      </w: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lang w:val="en-US" w:eastAsia="zh-CN"/>
        </w:rPr>
        <w:t>5</w:t>
      </w:r>
      <w:r>
        <w:rPr>
          <w:rFonts w:ascii="宋体" w:hAnsi="宋体" w:eastAsia="宋体" w:cs="宋体"/>
          <w:b/>
          <w:bCs/>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②库情统计分析</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提供水库蓄水量统计分析，包括上月、去年、常年同期蓄量比对，以及大型、中型、小型水库纳雨能力分析。</w:t>
      </w:r>
      <w:r>
        <w:rPr>
          <w:rFonts w:ascii="宋体" w:hAnsi="宋体" w:eastAsia="宋体" w:cs="宋体"/>
          <w:b/>
          <w:bCs/>
          <w:color w:val="auto"/>
          <w:sz w:val="24"/>
          <w:highlight w:val="none"/>
        </w:rPr>
        <w:t>（评审项</w:t>
      </w:r>
      <w:r>
        <w:rPr>
          <w:rFonts w:hint="eastAsia" w:ascii="宋体" w:hAnsi="宋体" w:eastAsia="宋体" w:cs="宋体"/>
          <w:b/>
          <w:bCs/>
          <w:color w:val="auto"/>
          <w:sz w:val="24"/>
          <w:highlight w:val="none"/>
          <w:lang w:val="en-US" w:eastAsia="zh-CN"/>
        </w:rPr>
        <w:t>46</w:t>
      </w:r>
      <w:r>
        <w:rPr>
          <w:rFonts w:ascii="宋体" w:hAnsi="宋体" w:eastAsia="宋体" w:cs="宋体"/>
          <w:b/>
          <w:bCs/>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③暴雨洪水综合统计分析</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综合统计暴雨洪水场次、超警站点及成因等信息。</w:t>
      </w:r>
      <w:r>
        <w:rPr>
          <w:rFonts w:ascii="宋体" w:hAnsi="宋体" w:eastAsia="宋体" w:cs="宋体"/>
          <w:b/>
          <w:bCs/>
          <w:color w:val="auto"/>
          <w:sz w:val="24"/>
          <w:highlight w:val="none"/>
        </w:rPr>
        <w:t>（评审项</w:t>
      </w:r>
      <w:r>
        <w:rPr>
          <w:rFonts w:hint="eastAsia" w:ascii="宋体" w:hAnsi="宋体" w:eastAsia="宋体" w:cs="宋体"/>
          <w:b/>
          <w:bCs/>
          <w:color w:val="auto"/>
          <w:sz w:val="24"/>
          <w:highlight w:val="none"/>
          <w:lang w:val="en-US" w:eastAsia="zh-CN"/>
        </w:rPr>
        <w:t>47</w:t>
      </w:r>
      <w:r>
        <w:rPr>
          <w:rFonts w:ascii="宋体" w:hAnsi="宋体" w:eastAsia="宋体" w:cs="宋体"/>
          <w:b/>
          <w:bCs/>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④特征值统计分析</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提供水位流量及雨情特征值统计分析，包括年、月、旬、日极值统计，旬月平均值统计，雨量累计值统计及短历时最大降水量统计。</w:t>
      </w:r>
      <w:r>
        <w:rPr>
          <w:rFonts w:ascii="宋体" w:hAnsi="宋体" w:eastAsia="宋体" w:cs="宋体"/>
          <w:b/>
          <w:bCs/>
          <w:color w:val="auto"/>
          <w:sz w:val="24"/>
          <w:highlight w:val="none"/>
        </w:rPr>
        <w:t>（评审项</w:t>
      </w:r>
      <w:r>
        <w:rPr>
          <w:rFonts w:hint="eastAsia" w:ascii="宋体" w:hAnsi="宋体" w:eastAsia="宋体" w:cs="宋体"/>
          <w:b/>
          <w:bCs/>
          <w:color w:val="auto"/>
          <w:sz w:val="24"/>
          <w:highlight w:val="none"/>
          <w:lang w:val="en-US" w:eastAsia="zh-CN"/>
        </w:rPr>
        <w:t>48</w:t>
      </w:r>
      <w:r>
        <w:rPr>
          <w:rFonts w:ascii="宋体" w:hAnsi="宋体" w:eastAsia="宋体" w:cs="宋体"/>
          <w:b/>
          <w:bCs/>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⑤暴雨频率分析</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基于历史暴雨数据，提供暴雨频率及重现期分析服务。</w:t>
      </w:r>
      <w:r>
        <w:rPr>
          <w:rFonts w:ascii="宋体" w:hAnsi="宋体" w:eastAsia="宋体" w:cs="宋体"/>
          <w:b/>
          <w:bCs/>
          <w:color w:val="auto"/>
          <w:sz w:val="24"/>
          <w:highlight w:val="none"/>
        </w:rPr>
        <w:t>（评审项</w:t>
      </w:r>
      <w:r>
        <w:rPr>
          <w:rFonts w:hint="eastAsia" w:ascii="宋体" w:hAnsi="宋体" w:eastAsia="宋体" w:cs="宋体"/>
          <w:b/>
          <w:bCs/>
          <w:color w:val="auto"/>
          <w:sz w:val="24"/>
          <w:highlight w:val="none"/>
          <w:lang w:val="en-US" w:eastAsia="zh-CN"/>
        </w:rPr>
        <w:t>49</w:t>
      </w:r>
      <w:r>
        <w:rPr>
          <w:rFonts w:ascii="宋体" w:hAnsi="宋体" w:eastAsia="宋体" w:cs="宋体"/>
          <w:b/>
          <w:bCs/>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⑥报汛质量分析</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提供雨情、水情、库情及预报精度报汛质量统计分析，涵盖迟报、缺报、错报情况。</w:t>
      </w:r>
      <w:r>
        <w:rPr>
          <w:rFonts w:ascii="宋体" w:hAnsi="宋体" w:eastAsia="宋体" w:cs="宋体"/>
          <w:b/>
          <w:bCs/>
          <w:color w:val="auto"/>
          <w:sz w:val="24"/>
          <w:highlight w:val="none"/>
        </w:rPr>
        <w:t>（评审项5</w:t>
      </w:r>
      <w:r>
        <w:rPr>
          <w:rFonts w:hint="eastAsia" w:ascii="宋体" w:hAnsi="宋体" w:eastAsia="宋体" w:cs="宋体"/>
          <w:b/>
          <w:bCs/>
          <w:color w:val="auto"/>
          <w:sz w:val="24"/>
          <w:highlight w:val="none"/>
          <w:lang w:val="en-US" w:eastAsia="zh-CN"/>
        </w:rPr>
        <w:t>0</w:t>
      </w:r>
      <w:r>
        <w:rPr>
          <w:rFonts w:ascii="宋体" w:hAnsi="宋体" w:eastAsia="宋体" w:cs="宋体"/>
          <w:b/>
          <w:bCs/>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（3）洪水灾害多维度统计分析可视化服务</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①提供水情、雨情、库情及暴雨洪水综合统计分析成果的可视化展示。投标人投标文件中须根据统计分析服务成果提供以上可视化设计截图。</w:t>
      </w:r>
      <w:r>
        <w:rPr>
          <w:rFonts w:ascii="宋体" w:hAnsi="宋体" w:eastAsia="宋体" w:cs="宋体"/>
          <w:b/>
          <w:bCs/>
          <w:color w:val="auto"/>
          <w:sz w:val="24"/>
          <w:highlight w:val="none"/>
        </w:rPr>
        <w:t>（评审项5</w:t>
      </w:r>
      <w:r>
        <w:rPr>
          <w:rFonts w:hint="eastAsia" w:ascii="宋体" w:hAnsi="宋体" w:eastAsia="宋体" w:cs="宋体"/>
          <w:b/>
          <w:bCs/>
          <w:color w:val="auto"/>
          <w:sz w:val="24"/>
          <w:highlight w:val="none"/>
          <w:lang w:val="en-US" w:eastAsia="zh-CN"/>
        </w:rPr>
        <w:t>1</w:t>
      </w:r>
      <w:r>
        <w:rPr>
          <w:rFonts w:ascii="宋体" w:hAnsi="宋体" w:eastAsia="宋体" w:cs="宋体"/>
          <w:b/>
          <w:bCs/>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②提供水位流量及雨情特征值统计分析成果的可视化展示。投标人投标文件中须根据统计分析服务成果提供以上可视化设计截图。</w:t>
      </w:r>
      <w:r>
        <w:rPr>
          <w:rFonts w:ascii="宋体" w:hAnsi="宋体" w:eastAsia="宋体" w:cs="宋体"/>
          <w:b/>
          <w:bCs/>
          <w:color w:val="auto"/>
          <w:sz w:val="24"/>
          <w:highlight w:val="none"/>
        </w:rPr>
        <w:t>（评审项5</w:t>
      </w:r>
      <w:r>
        <w:rPr>
          <w:rFonts w:hint="eastAsia" w:ascii="宋体" w:hAnsi="宋体" w:eastAsia="宋体" w:cs="宋体"/>
          <w:b/>
          <w:bCs/>
          <w:color w:val="auto"/>
          <w:sz w:val="24"/>
          <w:highlight w:val="none"/>
          <w:lang w:val="en-US" w:eastAsia="zh-CN"/>
        </w:rPr>
        <w:t>2</w:t>
      </w:r>
      <w:r>
        <w:rPr>
          <w:rFonts w:ascii="宋体" w:hAnsi="宋体" w:eastAsia="宋体" w:cs="宋体"/>
          <w:b/>
          <w:bCs/>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③提供暴雨频率及重现期分析成果的可视化展示。投标人投标文件中须根据统计分析服务成果提供以上可视化设计截图。</w:t>
      </w:r>
      <w:r>
        <w:rPr>
          <w:rFonts w:ascii="宋体" w:hAnsi="宋体" w:eastAsia="宋体" w:cs="宋体"/>
          <w:b/>
          <w:bCs/>
          <w:color w:val="auto"/>
          <w:sz w:val="24"/>
          <w:highlight w:val="none"/>
        </w:rPr>
        <w:t>（评审项5</w:t>
      </w:r>
      <w:r>
        <w:rPr>
          <w:rFonts w:hint="eastAsia" w:ascii="宋体" w:hAnsi="宋体" w:eastAsia="宋体" w:cs="宋体"/>
          <w:b/>
          <w:bCs/>
          <w:color w:val="auto"/>
          <w:sz w:val="24"/>
          <w:highlight w:val="none"/>
          <w:lang w:val="en-US" w:eastAsia="zh-CN"/>
        </w:rPr>
        <w:t>3</w:t>
      </w:r>
      <w:r>
        <w:rPr>
          <w:rFonts w:ascii="宋体" w:hAnsi="宋体" w:eastAsia="宋体" w:cs="宋体"/>
          <w:b/>
          <w:bCs/>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④提供实时数据报汛质量及预报精度报汛质量统计分析成果的可视化展示。投标人投标文件中须根据统计分析服务成果提供以上可视化设计截图。</w:t>
      </w:r>
      <w:r>
        <w:rPr>
          <w:rFonts w:ascii="宋体" w:hAnsi="宋体" w:eastAsia="宋体" w:cs="宋体"/>
          <w:b/>
          <w:bCs/>
          <w:color w:val="auto"/>
          <w:sz w:val="24"/>
          <w:highlight w:val="none"/>
        </w:rPr>
        <w:t>（评审项5</w:t>
      </w:r>
      <w:r>
        <w:rPr>
          <w:rFonts w:hint="eastAsia" w:ascii="宋体" w:hAnsi="宋体" w:eastAsia="宋体" w:cs="宋体"/>
          <w:b/>
          <w:bCs/>
          <w:color w:val="auto"/>
          <w:sz w:val="24"/>
          <w:highlight w:val="none"/>
          <w:lang w:val="en-US" w:eastAsia="zh-CN"/>
        </w:rPr>
        <w:t>4</w:t>
      </w:r>
      <w:r>
        <w:rPr>
          <w:rFonts w:ascii="宋体" w:hAnsi="宋体" w:eastAsia="宋体" w:cs="宋体"/>
          <w:b/>
          <w:bCs/>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（4）防洪风险与雨量制图服务</w:t>
      </w:r>
    </w:p>
    <w:p>
      <w:pPr>
        <w:spacing w:line="500" w:lineRule="exact"/>
        <w:ind w:firstLine="480" w:firstLineChars="200"/>
        <w:rPr>
          <w:rFonts w:ascii="宋体" w:hAnsi="宋体" w:eastAsia="宋体" w:cs="宋体"/>
          <w:b/>
          <w:color w:val="auto"/>
          <w:sz w:val="24"/>
          <w:highlight w:val="none"/>
        </w:rPr>
      </w:pPr>
      <w:r>
        <w:rPr>
          <w:rFonts w:ascii="宋体" w:hAnsi="宋体" w:eastAsia="宋体" w:cs="宋体"/>
          <w:color w:val="auto"/>
          <w:sz w:val="24"/>
          <w:highlight w:val="none"/>
        </w:rPr>
        <w:t>①基于观测站历史水位数据，划分预警等级，绘制防洪风险阶梯图，标注关键信息。投标人投标文件中须提供防洪风险阶梯图可视化设计截图。</w:t>
      </w:r>
      <w:r>
        <w:rPr>
          <w:rFonts w:ascii="宋体" w:hAnsi="宋体" w:eastAsia="宋体" w:cs="宋体"/>
          <w:b/>
          <w:color w:val="auto"/>
          <w:sz w:val="24"/>
          <w:highlight w:val="none"/>
        </w:rPr>
        <w:t>（评审项</w:t>
      </w:r>
      <w:r>
        <w:rPr>
          <w:rFonts w:hint="eastAsia" w:ascii="宋体" w:hAnsi="宋体" w:eastAsia="宋体" w:cs="宋体"/>
          <w:b/>
          <w:color w:val="auto"/>
          <w:sz w:val="24"/>
          <w:highlight w:val="none"/>
          <w:lang w:val="en-US" w:eastAsia="zh-CN"/>
        </w:rPr>
        <w:t>55</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b/>
          <w:color w:val="auto"/>
          <w:sz w:val="24"/>
          <w:highlight w:val="none"/>
        </w:rPr>
      </w:pPr>
      <w:r>
        <w:rPr>
          <w:rFonts w:ascii="宋体" w:hAnsi="宋体" w:eastAsia="宋体" w:cs="宋体"/>
          <w:color w:val="auto"/>
          <w:sz w:val="24"/>
          <w:highlight w:val="none"/>
        </w:rPr>
        <w:t>②收集雨量观测点数据，生成网格数据，绘制雨量等值线图与等值面图，并裁剪至特定区域边界。</w:t>
      </w:r>
      <w:r>
        <w:rPr>
          <w:rFonts w:ascii="宋体" w:hAnsi="宋体" w:eastAsia="宋体" w:cs="宋体"/>
          <w:b/>
          <w:color w:val="auto"/>
          <w:sz w:val="24"/>
          <w:highlight w:val="none"/>
        </w:rPr>
        <w:t>（评审项</w:t>
      </w:r>
      <w:r>
        <w:rPr>
          <w:rFonts w:hint="eastAsia" w:ascii="宋体" w:hAnsi="宋体" w:eastAsia="宋体" w:cs="宋体"/>
          <w:b/>
          <w:color w:val="auto"/>
          <w:sz w:val="24"/>
          <w:highlight w:val="none"/>
          <w:lang w:val="en-US" w:eastAsia="zh-CN"/>
        </w:rPr>
        <w:t>56</w:t>
      </w:r>
      <w:r>
        <w:rPr>
          <w:rFonts w:ascii="宋体" w:hAnsi="宋体" w:eastAsia="宋体" w:cs="宋体"/>
          <w:b/>
          <w:color w:val="auto"/>
          <w:sz w:val="24"/>
          <w:highlight w:val="none"/>
        </w:rPr>
        <w:t>）</w:t>
      </w:r>
    </w:p>
    <w:p>
      <w:pPr>
        <w:spacing w:line="5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③提供防洪风险阶梯图及雨量等值线面图的详细展示。</w:t>
      </w:r>
      <w:r>
        <w:rPr>
          <w:rFonts w:ascii="宋体" w:hAnsi="宋体" w:eastAsia="宋体" w:cs="宋体"/>
          <w:b/>
          <w:color w:val="auto"/>
          <w:sz w:val="24"/>
          <w:highlight w:val="none"/>
        </w:rPr>
        <w:t>（评审项</w:t>
      </w:r>
      <w:r>
        <w:rPr>
          <w:rFonts w:hint="eastAsia" w:ascii="宋体" w:hAnsi="宋体" w:eastAsia="宋体" w:cs="宋体"/>
          <w:b/>
          <w:color w:val="auto"/>
          <w:sz w:val="24"/>
          <w:highlight w:val="none"/>
          <w:lang w:val="en-US" w:eastAsia="zh-CN"/>
        </w:rPr>
        <w:t>57</w:t>
      </w:r>
      <w:r>
        <w:rPr>
          <w:rFonts w:ascii="宋体" w:hAnsi="宋体" w:eastAsia="宋体" w:cs="宋体"/>
          <w:b/>
          <w:color w:val="auto"/>
          <w:sz w:val="24"/>
          <w:highlight w:val="none"/>
        </w:rPr>
        <w:t>）</w:t>
      </w:r>
    </w:p>
    <w:p>
      <w:pPr>
        <w:spacing w:line="500" w:lineRule="exact"/>
        <w:ind w:firstLine="482" w:firstLineChars="200"/>
        <w:rPr>
          <w:rFonts w:ascii="宋体" w:hAnsi="宋体" w:eastAsia="宋体" w:cs="宋体"/>
          <w:b/>
          <w:bCs/>
          <w:color w:val="auto"/>
          <w:sz w:val="24"/>
          <w:highlight w:val="none"/>
        </w:rPr>
      </w:pPr>
      <w:r>
        <w:rPr>
          <w:rFonts w:ascii="宋体" w:hAnsi="宋体" w:eastAsia="宋体" w:cs="宋体"/>
          <w:b/>
          <w:bCs/>
          <w:color w:val="auto"/>
          <w:sz w:val="24"/>
          <w:highlight w:val="none"/>
        </w:rPr>
        <w:t>★（5）投标人承诺洪水历史数据入库需汇集至</w:t>
      </w:r>
      <w:r>
        <w:rPr>
          <w:rFonts w:hint="eastAsia" w:ascii="宋体" w:hAnsi="宋体" w:eastAsia="宋体" w:cs="宋体"/>
          <w:b/>
          <w:bCs/>
          <w:color w:val="auto"/>
          <w:sz w:val="24"/>
          <w:highlight w:val="none"/>
        </w:rPr>
        <w:t>采购方指定的业务系统</w:t>
      </w:r>
      <w:r>
        <w:rPr>
          <w:rFonts w:ascii="宋体" w:hAnsi="宋体" w:eastAsia="宋体" w:cs="宋体"/>
          <w:b/>
          <w:bCs/>
          <w:color w:val="auto"/>
          <w:sz w:val="24"/>
          <w:highlight w:val="none"/>
        </w:rPr>
        <w:t>数据库。投标人须提供承诺函（格式自拟）。</w:t>
      </w:r>
    </w:p>
    <w:p>
      <w:pPr>
        <w:spacing w:line="500" w:lineRule="exact"/>
        <w:ind w:firstLine="482" w:firstLineChars="200"/>
        <w:rPr>
          <w:rFonts w:ascii="宋体" w:hAnsi="宋体" w:eastAsia="宋体" w:cs="宋体"/>
          <w:b/>
          <w:bCs/>
          <w:color w:val="auto"/>
          <w:sz w:val="24"/>
          <w:highlight w:val="none"/>
        </w:rPr>
      </w:pPr>
      <w:r>
        <w:rPr>
          <w:rFonts w:ascii="宋体" w:hAnsi="宋体" w:eastAsia="宋体" w:cs="宋体"/>
          <w:b/>
          <w:bCs/>
          <w:color w:val="auto"/>
          <w:sz w:val="24"/>
          <w:highlight w:val="none"/>
        </w:rPr>
        <w:t>★（6）投标人承诺如果实施服务没有达到要求，并且没有在采购人规定时间内改善的，经采购人确认，有权中止合同，中标人根据合同进行赔偿。投标人须提供承诺函（格式自拟）。</w:t>
      </w:r>
    </w:p>
    <w:p>
      <w:pPr>
        <w:spacing w:line="500" w:lineRule="exact"/>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ascii="宋体" w:hAnsi="宋体" w:eastAsia="宋体" w:cs="宋体"/>
          <w:b/>
          <w:bCs/>
          <w:color w:val="auto"/>
          <w:sz w:val="24"/>
          <w:highlight w:val="none"/>
        </w:rPr>
        <w:t>（五）其他技术要求</w:t>
      </w:r>
    </w:p>
    <w:p>
      <w:pPr>
        <w:spacing w:line="500" w:lineRule="exact"/>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ascii="宋体" w:hAnsi="宋体" w:eastAsia="宋体" w:cs="宋体"/>
          <w:b/>
          <w:bCs/>
          <w:color w:val="auto"/>
          <w:sz w:val="24"/>
          <w:highlight w:val="none"/>
        </w:rPr>
        <w:t>平面坐标要求统一为2000国家大地坐标系（CGCS2000），高程要求统一为1985国家高程基准，满足数据整编及上图要求。</w:t>
      </w:r>
    </w:p>
    <w:p>
      <w:pPr>
        <w:spacing w:line="500" w:lineRule="exact"/>
        <w:ind w:firstLine="482" w:firstLineChars="200"/>
        <w:rPr>
          <w:rFonts w:hint="default" w:ascii="宋体" w:hAnsi="宋体" w:eastAsia="宋体" w:cs="宋体"/>
          <w:b/>
          <w:color w:val="auto"/>
          <w:sz w:val="24"/>
          <w:szCs w:val="24"/>
          <w:highlight w:val="none"/>
        </w:rPr>
      </w:pPr>
      <w:r>
        <w:rPr>
          <w:rFonts w:hint="eastAsia" w:ascii="宋体" w:hAnsi="宋体" w:eastAsia="宋体" w:cs="宋体"/>
          <w:b/>
          <w:bCs/>
          <w:color w:val="auto"/>
          <w:sz w:val="24"/>
          <w:highlight w:val="none"/>
        </w:rPr>
        <w:t>2、投标人所提供的服务达到文件规定的要求后，可进行项目验收。项目按采购人验收标准（符合国家或行业或地方标准）、招标文件、投标文件等有关内容进行验收。采购人与中标人按有关规定进行项目验收，在验收时所发生的一切费用均由中标人承担（并入投标报价内）。若验收不能符合要求，采购人将按合同商务条款的有关规定执行。</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outlineLvl w:val="9"/>
        <w:rPr>
          <w:rFonts w:hint="eastAsia" w:ascii="宋体" w:hAnsi="宋体" w:eastAsia="宋体" w:cs="宋体"/>
          <w:b/>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三、商务要求</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以“★”标示的内容为不允许负偏离的实质性要求</w:t>
      </w:r>
      <w:r>
        <w:rPr>
          <w:rFonts w:hint="eastAsia" w:ascii="宋体" w:hAnsi="宋体" w:eastAsia="宋体" w:cs="宋体"/>
          <w:b/>
          <w:color w:val="auto"/>
          <w:sz w:val="24"/>
          <w:szCs w:val="24"/>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采购包1：</w:t>
      </w:r>
    </w:p>
    <w:tbl>
      <w:tblPr>
        <w:tblStyle w:val="1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24"/>
        <w:gridCol w:w="1233"/>
        <w:gridCol w:w="1692"/>
        <w:gridCol w:w="567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388"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序号</w:t>
            </w:r>
          </w:p>
        </w:tc>
        <w:tc>
          <w:tcPr>
            <w:tcW w:w="661"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参数性质</w:t>
            </w:r>
          </w:p>
        </w:tc>
        <w:tc>
          <w:tcPr>
            <w:tcW w:w="907"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类型</w:t>
            </w:r>
          </w:p>
        </w:tc>
        <w:tc>
          <w:tcPr>
            <w:tcW w:w="3042"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388"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661"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w:t>
            </w:r>
          </w:p>
        </w:tc>
        <w:tc>
          <w:tcPr>
            <w:tcW w:w="907"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交货时间</w:t>
            </w:r>
          </w:p>
        </w:tc>
        <w:tc>
          <w:tcPr>
            <w:tcW w:w="3042"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自合同签订之日起180天。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388"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661"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w:t>
            </w:r>
          </w:p>
        </w:tc>
        <w:tc>
          <w:tcPr>
            <w:tcW w:w="907"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交货地点</w:t>
            </w:r>
          </w:p>
        </w:tc>
        <w:tc>
          <w:tcPr>
            <w:tcW w:w="3042"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eastAsia="zh-CN"/>
              </w:rPr>
              <w:t>福州市鼓楼区东大路229号。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388"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661"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w:t>
            </w:r>
          </w:p>
        </w:tc>
        <w:tc>
          <w:tcPr>
            <w:tcW w:w="907"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交货条件</w:t>
            </w:r>
          </w:p>
        </w:tc>
        <w:tc>
          <w:tcPr>
            <w:tcW w:w="3042"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验收合格后交付。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388"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661"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w:t>
            </w:r>
          </w:p>
        </w:tc>
        <w:tc>
          <w:tcPr>
            <w:tcW w:w="907"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是否邀请投标人验收</w:t>
            </w:r>
          </w:p>
        </w:tc>
        <w:tc>
          <w:tcPr>
            <w:tcW w:w="3042"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388"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661"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w:t>
            </w:r>
          </w:p>
        </w:tc>
        <w:tc>
          <w:tcPr>
            <w:tcW w:w="907"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履约验收方式</w:t>
            </w:r>
          </w:p>
        </w:tc>
        <w:tc>
          <w:tcPr>
            <w:tcW w:w="5673" w:type="dxa"/>
            <w:vAlign w:val="center"/>
          </w:tcPr>
          <w:p>
            <w:pPr>
              <w:pStyle w:val="21"/>
              <w:widowControl w:val="0"/>
              <w:numPr>
                <w:ilvl w:val="0"/>
                <w:numId w:val="1"/>
              </w:numPr>
              <w:spacing w:line="50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期次1，说明：合同签订后120天内提交成果并通过省水文中心组织的初步验收。</w:t>
            </w:r>
          </w:p>
          <w:p>
            <w:pPr>
              <w:pStyle w:val="21"/>
              <w:widowControl w:val="0"/>
              <w:numPr>
                <w:ilvl w:val="0"/>
                <w:numId w:val="1"/>
              </w:numPr>
              <w:spacing w:line="50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期次2，说明：通过省水利厅组织的最终验收。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388"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661"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w:t>
            </w:r>
          </w:p>
        </w:tc>
        <w:tc>
          <w:tcPr>
            <w:tcW w:w="907"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合同支付方式</w:t>
            </w:r>
          </w:p>
        </w:tc>
        <w:tc>
          <w:tcPr>
            <w:tcW w:w="5673" w:type="dxa"/>
            <w:vAlign w:val="center"/>
          </w:tcPr>
          <w:p>
            <w:pPr>
              <w:pStyle w:val="21"/>
              <w:widowControl w:val="0"/>
              <w:numPr>
                <w:ilvl w:val="255"/>
                <w:numId w:val="0"/>
              </w:numPr>
              <w:spacing w:line="500" w:lineRule="exact"/>
              <w:jc w:val="both"/>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1、合同签订后30日内，提交技术路线方案经评审后，达到付款条件起</w:t>
            </w:r>
            <w:r>
              <w:rPr>
                <w:rFonts w:ascii="宋体" w:hAnsi="宋体" w:eastAsia="宋体" w:cs="宋体"/>
                <w:color w:val="auto"/>
                <w:sz w:val="24"/>
                <w:szCs w:val="24"/>
                <w:highlight w:val="none"/>
                <w:u w:val="single"/>
                <w:lang w:eastAsia="zh-CN"/>
              </w:rPr>
              <w:t xml:space="preserve"> 20 </w:t>
            </w:r>
            <w:r>
              <w:rPr>
                <w:rFonts w:ascii="宋体" w:hAnsi="宋体" w:eastAsia="宋体" w:cs="宋体"/>
                <w:color w:val="auto"/>
                <w:sz w:val="24"/>
                <w:szCs w:val="24"/>
                <w:highlight w:val="none"/>
                <w:lang w:eastAsia="zh-CN"/>
              </w:rPr>
              <w:t>日内，支付合同总金额的</w:t>
            </w:r>
            <w:r>
              <w:rPr>
                <w:rFonts w:ascii="宋体" w:hAnsi="宋体" w:eastAsia="宋体" w:cs="宋体"/>
                <w:color w:val="auto"/>
                <w:sz w:val="24"/>
                <w:szCs w:val="24"/>
                <w:highlight w:val="none"/>
                <w:u w:val="single"/>
                <w:lang w:eastAsia="zh-CN"/>
              </w:rPr>
              <w:t xml:space="preserve"> 30 </w:t>
            </w:r>
            <w:r>
              <w:rPr>
                <w:rFonts w:ascii="宋体" w:hAnsi="宋体" w:eastAsia="宋体" w:cs="宋体"/>
                <w:color w:val="auto"/>
                <w:sz w:val="24"/>
                <w:szCs w:val="24"/>
                <w:highlight w:val="none"/>
                <w:lang w:eastAsia="zh-CN"/>
              </w:rPr>
              <w:t>％；</w:t>
            </w:r>
          </w:p>
          <w:p>
            <w:pPr>
              <w:pStyle w:val="21"/>
              <w:widowControl w:val="0"/>
              <w:spacing w:line="500" w:lineRule="exact"/>
              <w:jc w:val="both"/>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2、项目通过省水文中心组织的</w:t>
            </w:r>
            <w:r>
              <w:rPr>
                <w:rFonts w:hint="eastAsia" w:ascii="宋体" w:hAnsi="宋体" w:eastAsia="宋体" w:cs="宋体"/>
                <w:color w:val="auto"/>
                <w:sz w:val="24"/>
                <w:szCs w:val="24"/>
                <w:highlight w:val="none"/>
                <w:lang w:val="en-US" w:eastAsia="zh-CN"/>
              </w:rPr>
              <w:t>初步验收</w:t>
            </w:r>
            <w:r>
              <w:rPr>
                <w:rFonts w:ascii="宋体" w:hAnsi="宋体" w:eastAsia="宋体" w:cs="宋体"/>
                <w:color w:val="auto"/>
                <w:sz w:val="24"/>
                <w:szCs w:val="24"/>
                <w:highlight w:val="none"/>
                <w:lang w:eastAsia="zh-CN"/>
              </w:rPr>
              <w:t>后30日内，达到付款条件起</w:t>
            </w:r>
            <w:r>
              <w:rPr>
                <w:rFonts w:ascii="宋体" w:hAnsi="宋体" w:eastAsia="宋体" w:cs="宋体"/>
                <w:color w:val="auto"/>
                <w:sz w:val="24"/>
                <w:szCs w:val="24"/>
                <w:highlight w:val="none"/>
                <w:u w:val="single"/>
                <w:lang w:eastAsia="zh-CN"/>
              </w:rPr>
              <w:t xml:space="preserve"> 20 </w:t>
            </w:r>
            <w:r>
              <w:rPr>
                <w:rFonts w:ascii="宋体" w:hAnsi="宋体" w:eastAsia="宋体" w:cs="宋体"/>
                <w:color w:val="auto"/>
                <w:sz w:val="24"/>
                <w:szCs w:val="24"/>
                <w:highlight w:val="none"/>
                <w:lang w:eastAsia="zh-CN"/>
              </w:rPr>
              <w:t>日内，支付合同总金额的</w:t>
            </w:r>
            <w:r>
              <w:rPr>
                <w:rFonts w:ascii="宋体" w:hAnsi="宋体" w:eastAsia="宋体" w:cs="宋体"/>
                <w:color w:val="auto"/>
                <w:sz w:val="24"/>
                <w:szCs w:val="24"/>
                <w:highlight w:val="none"/>
                <w:u w:val="single"/>
                <w:lang w:eastAsia="zh-CN"/>
              </w:rPr>
              <w:t xml:space="preserve"> 50 </w:t>
            </w:r>
            <w:r>
              <w:rPr>
                <w:rFonts w:ascii="宋体" w:hAnsi="宋体" w:eastAsia="宋体" w:cs="宋体"/>
                <w:color w:val="auto"/>
                <w:sz w:val="24"/>
                <w:szCs w:val="24"/>
                <w:highlight w:val="none"/>
                <w:lang w:eastAsia="zh-CN"/>
              </w:rPr>
              <w:t>％；</w:t>
            </w:r>
          </w:p>
          <w:p>
            <w:pPr>
              <w:pStyle w:val="21"/>
              <w:widowControl w:val="0"/>
              <w:spacing w:line="500" w:lineRule="exact"/>
              <w:jc w:val="both"/>
              <w:rPr>
                <w:rFonts w:hint="default"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lang w:eastAsia="zh-CN"/>
              </w:rPr>
              <w:t>3、项目</w:t>
            </w:r>
            <w:r>
              <w:rPr>
                <w:rFonts w:hint="eastAsia" w:ascii="宋体" w:hAnsi="宋体" w:eastAsia="宋体" w:cs="宋体"/>
                <w:color w:val="auto"/>
                <w:sz w:val="24"/>
                <w:szCs w:val="24"/>
                <w:highlight w:val="none"/>
                <w:lang w:val="en-US" w:eastAsia="zh-CN"/>
              </w:rPr>
              <w:t>通过省水利厅组织的最终验收</w:t>
            </w:r>
            <w:r>
              <w:rPr>
                <w:rFonts w:ascii="宋体" w:hAnsi="宋体" w:eastAsia="宋体" w:cs="宋体"/>
                <w:color w:val="auto"/>
                <w:sz w:val="24"/>
                <w:szCs w:val="24"/>
                <w:highlight w:val="none"/>
                <w:lang w:eastAsia="zh-CN"/>
              </w:rPr>
              <w:t>后30日内，达到付款条件起</w:t>
            </w:r>
            <w:r>
              <w:rPr>
                <w:rFonts w:ascii="宋体" w:hAnsi="宋体" w:eastAsia="宋体" w:cs="宋体"/>
                <w:color w:val="auto"/>
                <w:sz w:val="24"/>
                <w:szCs w:val="24"/>
                <w:highlight w:val="none"/>
                <w:u w:val="single"/>
                <w:lang w:eastAsia="zh-CN"/>
              </w:rPr>
              <w:t xml:space="preserve"> 20 </w:t>
            </w:r>
            <w:r>
              <w:rPr>
                <w:rFonts w:ascii="宋体" w:hAnsi="宋体" w:eastAsia="宋体" w:cs="宋体"/>
                <w:color w:val="auto"/>
                <w:sz w:val="24"/>
                <w:szCs w:val="24"/>
                <w:highlight w:val="none"/>
                <w:lang w:eastAsia="zh-CN"/>
              </w:rPr>
              <w:t>日内，支付合同总金额的</w:t>
            </w:r>
            <w:r>
              <w:rPr>
                <w:rFonts w:ascii="宋体" w:hAnsi="宋体" w:eastAsia="宋体" w:cs="宋体"/>
                <w:color w:val="auto"/>
                <w:sz w:val="24"/>
                <w:szCs w:val="24"/>
                <w:highlight w:val="none"/>
                <w:u w:val="single"/>
                <w:lang w:eastAsia="zh-CN"/>
              </w:rPr>
              <w:t xml:space="preserve"> 20 </w:t>
            </w:r>
            <w:r>
              <w:rPr>
                <w:rFonts w:ascii="宋体" w:hAnsi="宋体" w:eastAsia="宋体" w:cs="宋体"/>
                <w:color w:val="auto"/>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388"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w:t>
            </w:r>
          </w:p>
        </w:tc>
        <w:tc>
          <w:tcPr>
            <w:tcW w:w="661"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p>
        </w:tc>
        <w:tc>
          <w:tcPr>
            <w:tcW w:w="907" w:type="pct"/>
            <w:vAlign w:val="center"/>
          </w:tcPr>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val="0"/>
                <w:bCs/>
                <w:color w:val="auto"/>
                <w:sz w:val="24"/>
                <w:szCs w:val="24"/>
                <w:highlight w:val="none"/>
                <w:lang w:val="en-US" w:eastAsia="zh-CN"/>
              </w:rPr>
              <w:t>履约保证金</w:t>
            </w:r>
          </w:p>
        </w:tc>
        <w:tc>
          <w:tcPr>
            <w:tcW w:w="5673" w:type="dxa"/>
            <w:vAlign w:val="center"/>
          </w:tcPr>
          <w:p>
            <w:pPr>
              <w:pStyle w:val="21"/>
              <w:widowControl w:val="0"/>
              <w:spacing w:line="500" w:lineRule="exact"/>
              <w:jc w:val="both"/>
              <w:rPr>
                <w:rFonts w:hint="default"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缴纳，本采购包履约保证金为合同金额的5</w:t>
            </w:r>
            <w:r>
              <w:rPr>
                <w:rFonts w:ascii="宋体" w:hAnsi="宋体" w:eastAsia="宋体" w:cs="宋体"/>
                <w:bCs/>
                <w:color w:val="auto"/>
                <w:sz w:val="24"/>
                <w:szCs w:val="24"/>
                <w:highlight w:val="none"/>
              </w:rPr>
              <w:t>％</w:t>
            </w:r>
            <w:r>
              <w:rPr>
                <w:rFonts w:ascii="宋体" w:hAnsi="宋体" w:eastAsia="宋体" w:cs="宋体"/>
                <w:bCs/>
                <w:color w:val="auto"/>
                <w:sz w:val="24"/>
                <w:szCs w:val="24"/>
                <w:highlight w:val="none"/>
                <w:lang w:eastAsia="zh-CN"/>
              </w:rPr>
              <w:t>。</w:t>
            </w:r>
          </w:p>
          <w:p>
            <w:pPr>
              <w:pStyle w:val="21"/>
              <w:widowControl w:val="0"/>
              <w:spacing w:line="500" w:lineRule="exact"/>
              <w:jc w:val="both"/>
              <w:rPr>
                <w:rFonts w:hint="default"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 xml:space="preserve">缴纳方式：银行转账，支票/汇票/本票，保函/保险。 </w:t>
            </w:r>
          </w:p>
          <w:p>
            <w:pPr>
              <w:pStyle w:val="21"/>
              <w:widowControl w:val="0"/>
              <w:spacing w:line="500" w:lineRule="exact"/>
              <w:jc w:val="both"/>
              <w:rPr>
                <w:rFonts w:hint="default"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说明：</w:t>
            </w:r>
          </w:p>
          <w:p>
            <w:pPr>
              <w:pStyle w:val="21"/>
              <w:widowControl w:val="0"/>
              <w:spacing w:line="500" w:lineRule="exact"/>
              <w:jc w:val="both"/>
              <w:rPr>
                <w:rFonts w:hint="default"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1、履约保证金</w:t>
            </w:r>
            <w:r>
              <w:rPr>
                <w:rFonts w:ascii="宋体" w:hAnsi="宋体" w:eastAsia="宋体" w:cs="宋体"/>
                <w:bCs/>
                <w:color w:val="auto"/>
                <w:sz w:val="24"/>
                <w:szCs w:val="24"/>
                <w:highlight w:val="none"/>
              </w:rPr>
              <w:t>期限：自</w:t>
            </w:r>
            <w:r>
              <w:rPr>
                <w:rFonts w:ascii="宋体" w:hAnsi="宋体" w:eastAsia="宋体" w:cs="宋体"/>
                <w:bCs/>
                <w:color w:val="auto"/>
                <w:sz w:val="24"/>
                <w:szCs w:val="24"/>
                <w:highlight w:val="none"/>
                <w:lang w:eastAsia="zh-CN"/>
              </w:rPr>
              <w:t>中标人</w:t>
            </w:r>
            <w:r>
              <w:rPr>
                <w:rFonts w:ascii="宋体" w:hAnsi="宋体" w:eastAsia="宋体" w:cs="宋体"/>
                <w:bCs/>
                <w:color w:val="auto"/>
                <w:sz w:val="24"/>
                <w:szCs w:val="24"/>
                <w:highlight w:val="none"/>
              </w:rPr>
              <w:t>与</w:t>
            </w:r>
            <w:r>
              <w:rPr>
                <w:rFonts w:ascii="宋体" w:hAnsi="宋体" w:eastAsia="宋体" w:cs="宋体"/>
                <w:bCs/>
                <w:color w:val="auto"/>
                <w:sz w:val="24"/>
                <w:szCs w:val="24"/>
                <w:highlight w:val="none"/>
                <w:lang w:eastAsia="zh-CN"/>
              </w:rPr>
              <w:t>采购</w:t>
            </w:r>
            <w:r>
              <w:rPr>
                <w:rFonts w:ascii="宋体" w:hAnsi="宋体" w:eastAsia="宋体" w:cs="宋体"/>
                <w:bCs/>
                <w:color w:val="auto"/>
                <w:sz w:val="24"/>
                <w:szCs w:val="24"/>
                <w:highlight w:val="none"/>
              </w:rPr>
              <w:t>人签订的合同生效之日起至</w:t>
            </w:r>
            <w:r>
              <w:rPr>
                <w:rFonts w:ascii="宋体" w:hAnsi="宋体" w:eastAsia="宋体" w:cs="宋体"/>
                <w:bCs/>
                <w:color w:val="auto"/>
                <w:sz w:val="24"/>
                <w:szCs w:val="24"/>
                <w:highlight w:val="none"/>
                <w:lang w:eastAsia="zh-CN"/>
              </w:rPr>
              <w:t>采购</w:t>
            </w:r>
            <w:r>
              <w:rPr>
                <w:rFonts w:ascii="宋体" w:hAnsi="宋体" w:eastAsia="宋体" w:cs="宋体"/>
                <w:bCs/>
                <w:color w:val="auto"/>
                <w:sz w:val="24"/>
                <w:szCs w:val="24"/>
                <w:highlight w:val="none"/>
              </w:rPr>
              <w:t>合同约定的</w:t>
            </w:r>
            <w:r>
              <w:rPr>
                <w:rFonts w:ascii="宋体" w:hAnsi="宋体" w:eastAsia="宋体" w:cs="宋体"/>
                <w:bCs/>
                <w:color w:val="auto"/>
                <w:sz w:val="24"/>
                <w:szCs w:val="24"/>
                <w:highlight w:val="none"/>
                <w:lang w:eastAsia="zh-CN"/>
              </w:rPr>
              <w:t>结束</w:t>
            </w:r>
            <w:r>
              <w:rPr>
                <w:rFonts w:ascii="宋体" w:hAnsi="宋体" w:eastAsia="宋体" w:cs="宋体"/>
                <w:bCs/>
                <w:color w:val="auto"/>
                <w:sz w:val="24"/>
                <w:szCs w:val="24"/>
                <w:highlight w:val="none"/>
              </w:rPr>
              <w:t>之日后</w:t>
            </w:r>
            <w:r>
              <w:rPr>
                <w:rFonts w:hint="eastAsia" w:ascii="宋体" w:hAnsi="宋体" w:eastAsia="宋体" w:cs="宋体"/>
                <w:bCs/>
                <w:color w:val="auto"/>
                <w:sz w:val="24"/>
                <w:szCs w:val="24"/>
                <w:highlight w:val="none"/>
                <w:lang w:eastAsia="zh-CN"/>
              </w:rPr>
              <w:t>两个汛期</w:t>
            </w:r>
            <w:r>
              <w:rPr>
                <w:rFonts w:ascii="宋体" w:hAnsi="宋体" w:eastAsia="宋体" w:cs="宋体"/>
                <w:bCs/>
                <w:color w:val="auto"/>
                <w:sz w:val="24"/>
                <w:szCs w:val="24"/>
                <w:highlight w:val="none"/>
              </w:rPr>
              <w:t>止</w:t>
            </w:r>
            <w:r>
              <w:rPr>
                <w:rFonts w:ascii="宋体" w:hAnsi="宋体" w:eastAsia="宋体" w:cs="宋体"/>
                <w:bCs/>
                <w:color w:val="auto"/>
                <w:sz w:val="24"/>
                <w:szCs w:val="24"/>
                <w:highlight w:val="none"/>
                <w:lang w:eastAsia="zh-CN"/>
              </w:rPr>
              <w:t>。</w:t>
            </w:r>
          </w:p>
          <w:p>
            <w:pPr>
              <w:pStyle w:val="21"/>
              <w:widowControl w:val="0"/>
              <w:spacing w:line="500" w:lineRule="exact"/>
              <w:jc w:val="both"/>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lang w:eastAsia="zh-CN"/>
              </w:rPr>
              <w:t>2、履约保证金</w:t>
            </w:r>
            <w:r>
              <w:rPr>
                <w:rFonts w:ascii="宋体" w:hAnsi="宋体" w:eastAsia="宋体" w:cs="宋体"/>
                <w:bCs/>
                <w:color w:val="auto"/>
                <w:sz w:val="24"/>
                <w:szCs w:val="24"/>
                <w:highlight w:val="none"/>
              </w:rPr>
              <w:t>提交时间：</w:t>
            </w:r>
            <w:r>
              <w:rPr>
                <w:rFonts w:ascii="宋体" w:hAnsi="宋体" w:eastAsia="宋体" w:cs="宋体"/>
                <w:bCs/>
                <w:color w:val="auto"/>
                <w:sz w:val="24"/>
                <w:szCs w:val="24"/>
                <w:highlight w:val="none"/>
                <w:lang w:eastAsia="zh-CN"/>
              </w:rPr>
              <w:t>采购</w:t>
            </w:r>
            <w:r>
              <w:rPr>
                <w:rFonts w:ascii="宋体" w:hAnsi="宋体" w:eastAsia="宋体" w:cs="宋体"/>
                <w:bCs/>
                <w:color w:val="auto"/>
                <w:sz w:val="24"/>
                <w:szCs w:val="24"/>
                <w:highlight w:val="none"/>
              </w:rPr>
              <w:t>合同</w:t>
            </w:r>
            <w:r>
              <w:rPr>
                <w:rFonts w:ascii="宋体" w:hAnsi="宋体" w:eastAsia="宋体" w:cs="宋体"/>
                <w:bCs/>
                <w:color w:val="auto"/>
                <w:sz w:val="24"/>
                <w:szCs w:val="24"/>
                <w:highlight w:val="none"/>
                <w:lang w:eastAsia="zh-CN"/>
              </w:rPr>
              <w:t>签订后，在第一笔</w:t>
            </w:r>
            <w:r>
              <w:rPr>
                <w:rFonts w:hint="eastAsia" w:ascii="宋体" w:hAnsi="宋体" w:eastAsia="宋体" w:cs="宋体"/>
                <w:bCs/>
                <w:color w:val="auto"/>
                <w:sz w:val="24"/>
                <w:szCs w:val="24"/>
                <w:highlight w:val="none"/>
                <w:lang w:eastAsia="zh-CN"/>
              </w:rPr>
              <w:t>合同</w:t>
            </w:r>
            <w:r>
              <w:rPr>
                <w:rFonts w:ascii="宋体" w:hAnsi="宋体" w:eastAsia="宋体" w:cs="宋体"/>
                <w:bCs/>
                <w:color w:val="auto"/>
                <w:sz w:val="24"/>
                <w:szCs w:val="24"/>
                <w:highlight w:val="none"/>
                <w:lang w:eastAsia="zh-CN"/>
              </w:rPr>
              <w:t>款支付前</w:t>
            </w:r>
            <w:r>
              <w:rPr>
                <w:rFonts w:ascii="宋体" w:hAnsi="宋体" w:eastAsia="宋体" w:cs="宋体"/>
                <w:bCs/>
                <w:color w:val="auto"/>
                <w:sz w:val="24"/>
                <w:szCs w:val="24"/>
                <w:highlight w:val="none"/>
              </w:rPr>
              <w:t>。</w:t>
            </w:r>
          </w:p>
          <w:p>
            <w:pPr>
              <w:spacing w:line="50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highlight w:val="none"/>
              </w:rPr>
              <w:t>3、履约保证金退还：履约保证金期限结束且经采购人确认中标人不存在任何违约行为后，由采购人无息返还。</w:t>
            </w:r>
          </w:p>
        </w:tc>
      </w:tr>
    </w:tbl>
    <w:p>
      <w:pPr>
        <w:pStyle w:val="21"/>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其他商务要求</w:t>
      </w:r>
      <w:r>
        <w:rPr>
          <w:rFonts w:hint="eastAsia" w:ascii="宋体" w:hAnsi="宋体" w:eastAsia="宋体" w:cs="宋体"/>
          <w:b/>
          <w:color w:val="auto"/>
          <w:sz w:val="24"/>
          <w:szCs w:val="24"/>
          <w:highlight w:val="none"/>
          <w:lang w:eastAsia="zh-CN"/>
        </w:rPr>
        <w:t>：</w:t>
      </w:r>
    </w:p>
    <w:p>
      <w:pPr>
        <w:pStyle w:val="21"/>
        <w:widowControl w:val="0"/>
        <w:spacing w:line="500" w:lineRule="exact"/>
        <w:ind w:firstLine="241" w:firstLineChars="100"/>
        <w:jc w:val="both"/>
        <w:rPr>
          <w:rFonts w:hint="default"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ascii="宋体" w:hAnsi="宋体" w:eastAsia="宋体" w:cs="宋体"/>
          <w:b/>
          <w:bCs w:val="0"/>
          <w:color w:val="auto"/>
          <w:sz w:val="24"/>
          <w:szCs w:val="24"/>
          <w:highlight w:val="none"/>
        </w:rPr>
        <w:t>8、违约责任</w:t>
      </w:r>
    </w:p>
    <w:p>
      <w:pPr>
        <w:pStyle w:val="21"/>
        <w:widowControl w:val="0"/>
        <w:spacing w:line="500" w:lineRule="exact"/>
        <w:ind w:firstLine="482" w:firstLineChars="200"/>
        <w:jc w:val="both"/>
        <w:rPr>
          <w:rFonts w:hint="default" w:ascii="宋体" w:hAnsi="宋体" w:eastAsia="宋体" w:cs="宋体"/>
          <w:b/>
          <w:bCs w:val="0"/>
          <w:color w:val="auto"/>
          <w:sz w:val="24"/>
          <w:szCs w:val="24"/>
          <w:highlight w:val="none"/>
          <w:lang w:eastAsia="zh-CN"/>
        </w:rPr>
      </w:pPr>
      <w:r>
        <w:rPr>
          <w:rFonts w:ascii="宋体" w:hAnsi="宋体" w:eastAsia="宋体" w:cs="宋体"/>
          <w:b/>
          <w:bCs w:val="0"/>
          <w:color w:val="auto"/>
          <w:sz w:val="24"/>
          <w:szCs w:val="24"/>
          <w:highlight w:val="none"/>
          <w:lang w:eastAsia="zh-CN"/>
        </w:rPr>
        <w:t>8.1 合同签订后，中标人应按采购人要求合同签订后在20个工作日内提交项目技术路线方案，并通过评审。若未通过评审，中标人应在10日内根据评审意见完成整改并重新提交评审，累计整改两次仍未通过的，采购人有权解除合同。</w:t>
      </w:r>
    </w:p>
    <w:p>
      <w:pPr>
        <w:pStyle w:val="21"/>
        <w:widowControl w:val="0"/>
        <w:spacing w:line="500" w:lineRule="exact"/>
        <w:ind w:firstLine="482" w:firstLineChars="200"/>
        <w:jc w:val="both"/>
        <w:rPr>
          <w:rFonts w:hint="default" w:ascii="宋体" w:hAnsi="宋体" w:eastAsia="宋体" w:cs="宋体"/>
          <w:b/>
          <w:bCs w:val="0"/>
          <w:color w:val="auto"/>
          <w:sz w:val="24"/>
          <w:szCs w:val="24"/>
          <w:highlight w:val="none"/>
          <w:lang w:eastAsia="zh-CN"/>
        </w:rPr>
      </w:pPr>
      <w:r>
        <w:rPr>
          <w:rFonts w:ascii="宋体" w:hAnsi="宋体" w:eastAsia="宋体" w:cs="宋体"/>
          <w:b/>
          <w:bCs w:val="0"/>
          <w:color w:val="auto"/>
          <w:sz w:val="24"/>
          <w:szCs w:val="24"/>
          <w:highlight w:val="none"/>
          <w:lang w:eastAsia="zh-CN"/>
        </w:rPr>
        <w:t>8.2 若未在约定期限内通过初验，中标人应在</w:t>
      </w:r>
      <w:r>
        <w:rPr>
          <w:rFonts w:hint="default" w:ascii="宋体" w:hAnsi="宋体" w:eastAsia="宋体" w:cs="宋体"/>
          <w:b/>
          <w:bCs w:val="0"/>
          <w:color w:val="auto"/>
          <w:sz w:val="24"/>
          <w:szCs w:val="24"/>
          <w:highlight w:val="none"/>
          <w:lang w:eastAsia="zh-CN"/>
        </w:rPr>
        <w:t>15</w:t>
      </w:r>
      <w:r>
        <w:rPr>
          <w:rFonts w:ascii="宋体" w:hAnsi="宋体" w:eastAsia="宋体" w:cs="宋体"/>
          <w:b/>
          <w:bCs w:val="0"/>
          <w:color w:val="auto"/>
          <w:sz w:val="24"/>
          <w:szCs w:val="24"/>
          <w:highlight w:val="none"/>
          <w:lang w:eastAsia="zh-CN"/>
        </w:rPr>
        <w:t>日内完成整改并重新提交成果再次进行初步验收。若仍未通过，采购人有权解除合同，中标人应向采购人支付合同总金额20％的违约金，并承担由此给采购人造成的全部损失。</w:t>
      </w:r>
    </w:p>
    <w:p>
      <w:pPr>
        <w:pStyle w:val="21"/>
        <w:widowControl w:val="0"/>
        <w:spacing w:line="500" w:lineRule="exact"/>
        <w:ind w:firstLine="482" w:firstLineChars="200"/>
        <w:jc w:val="both"/>
        <w:rPr>
          <w:rFonts w:hint="default" w:ascii="宋体" w:hAnsi="宋体" w:eastAsia="宋体" w:cs="宋体"/>
          <w:b/>
          <w:bCs w:val="0"/>
          <w:color w:val="auto"/>
          <w:sz w:val="24"/>
          <w:szCs w:val="24"/>
          <w:highlight w:val="none"/>
          <w:lang w:eastAsia="zh-CN"/>
        </w:rPr>
      </w:pPr>
      <w:r>
        <w:rPr>
          <w:rFonts w:ascii="宋体" w:hAnsi="宋体" w:eastAsia="宋体" w:cs="宋体"/>
          <w:b/>
          <w:bCs w:val="0"/>
          <w:color w:val="auto"/>
          <w:sz w:val="24"/>
          <w:szCs w:val="24"/>
          <w:highlight w:val="none"/>
          <w:lang w:eastAsia="zh-CN"/>
        </w:rPr>
        <w:t>8.</w:t>
      </w:r>
      <w:r>
        <w:rPr>
          <w:rFonts w:hint="default" w:ascii="宋体" w:hAnsi="宋体" w:eastAsia="宋体" w:cs="宋体"/>
          <w:b/>
          <w:bCs w:val="0"/>
          <w:color w:val="auto"/>
          <w:sz w:val="24"/>
          <w:szCs w:val="24"/>
          <w:highlight w:val="none"/>
          <w:lang w:eastAsia="zh-CN"/>
        </w:rPr>
        <w:t>3</w:t>
      </w:r>
      <w:r>
        <w:rPr>
          <w:rFonts w:ascii="宋体" w:hAnsi="宋体" w:eastAsia="宋体" w:cs="宋体"/>
          <w:b/>
          <w:bCs w:val="0"/>
          <w:color w:val="auto"/>
          <w:sz w:val="24"/>
          <w:szCs w:val="24"/>
          <w:highlight w:val="none"/>
          <w:lang w:eastAsia="zh-CN"/>
        </w:rPr>
        <w:t xml:space="preserve"> 中标人无正当理由逾期交付，每延期一日，中标人应以合同总价的0.5％向采购人支付违约金，由采购人从待付合同款中扣除，逾期违约金最高不超过合同总金额的</w:t>
      </w:r>
      <w:r>
        <w:rPr>
          <w:rFonts w:hint="default" w:ascii="宋体" w:hAnsi="宋体" w:eastAsia="宋体" w:cs="宋体"/>
          <w:b/>
          <w:bCs w:val="0"/>
          <w:color w:val="auto"/>
          <w:sz w:val="24"/>
          <w:szCs w:val="24"/>
          <w:highlight w:val="none"/>
          <w:lang w:eastAsia="zh-CN"/>
        </w:rPr>
        <w:t>10</w:t>
      </w:r>
      <w:r>
        <w:rPr>
          <w:rFonts w:ascii="宋体" w:hAnsi="宋体" w:eastAsia="宋体" w:cs="宋体"/>
          <w:b/>
          <w:bCs w:val="0"/>
          <w:color w:val="auto"/>
          <w:sz w:val="24"/>
          <w:szCs w:val="24"/>
          <w:highlight w:val="none"/>
          <w:lang w:eastAsia="zh-CN"/>
        </w:rPr>
        <w:t>％。当逾期达到3</w:t>
      </w:r>
      <w:r>
        <w:rPr>
          <w:rFonts w:hint="default" w:ascii="宋体" w:hAnsi="宋体" w:eastAsia="宋体" w:cs="宋体"/>
          <w:b/>
          <w:bCs w:val="0"/>
          <w:color w:val="auto"/>
          <w:sz w:val="24"/>
          <w:szCs w:val="24"/>
          <w:highlight w:val="none"/>
          <w:lang w:eastAsia="zh-CN"/>
        </w:rPr>
        <w:t>0</w:t>
      </w:r>
      <w:r>
        <w:rPr>
          <w:rFonts w:ascii="宋体" w:hAnsi="宋体" w:eastAsia="宋体" w:cs="宋体"/>
          <w:b/>
          <w:bCs w:val="0"/>
          <w:color w:val="auto"/>
          <w:sz w:val="24"/>
          <w:szCs w:val="24"/>
          <w:highlight w:val="none"/>
          <w:lang w:eastAsia="zh-CN"/>
        </w:rPr>
        <w:t>日时，采购人有权解除合同、拒付未付款项，并没收履约保证金。</w:t>
      </w:r>
    </w:p>
    <w:p>
      <w:pPr>
        <w:pStyle w:val="21"/>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outlineLvl w:val="9"/>
        <w:rPr>
          <w:rFonts w:hint="eastAsia" w:ascii="宋体" w:hAnsi="宋体" w:eastAsia="宋体" w:cs="宋体"/>
          <w:b/>
          <w:bCs w:val="0"/>
          <w:color w:val="auto"/>
          <w:sz w:val="24"/>
          <w:szCs w:val="24"/>
          <w:highlight w:val="none"/>
        </w:rPr>
      </w:pPr>
      <w:r>
        <w:rPr>
          <w:rFonts w:ascii="宋体" w:hAnsi="宋体" w:eastAsia="宋体" w:cs="宋体"/>
          <w:b/>
          <w:bCs w:val="0"/>
          <w:color w:val="auto"/>
          <w:sz w:val="24"/>
          <w:szCs w:val="24"/>
          <w:highlight w:val="none"/>
          <w:lang w:eastAsia="zh-CN"/>
        </w:rPr>
        <w:t>8</w:t>
      </w:r>
      <w:r>
        <w:rPr>
          <w:rFonts w:hint="default" w:ascii="宋体" w:hAnsi="宋体" w:eastAsia="宋体" w:cs="宋体"/>
          <w:b/>
          <w:bCs w:val="0"/>
          <w:color w:val="auto"/>
          <w:sz w:val="24"/>
          <w:szCs w:val="24"/>
          <w:highlight w:val="none"/>
          <w:lang w:eastAsia="zh-CN"/>
        </w:rPr>
        <w:t xml:space="preserve">.4 </w:t>
      </w:r>
      <w:r>
        <w:rPr>
          <w:rFonts w:ascii="宋体" w:hAnsi="宋体" w:eastAsia="宋体" w:cs="宋体"/>
          <w:b/>
          <w:bCs w:val="0"/>
          <w:color w:val="auto"/>
          <w:sz w:val="24"/>
          <w:szCs w:val="24"/>
          <w:highlight w:val="none"/>
          <w:lang w:eastAsia="zh-CN"/>
        </w:rPr>
        <w:t>若未通过终验，中标人应在</w:t>
      </w:r>
      <w:r>
        <w:rPr>
          <w:rFonts w:hint="default" w:ascii="宋体" w:hAnsi="宋体" w:eastAsia="宋体" w:cs="宋体"/>
          <w:b/>
          <w:bCs w:val="0"/>
          <w:color w:val="auto"/>
          <w:sz w:val="24"/>
          <w:szCs w:val="24"/>
          <w:highlight w:val="none"/>
          <w:lang w:eastAsia="zh-CN"/>
        </w:rPr>
        <w:t>15</w:t>
      </w:r>
      <w:r>
        <w:rPr>
          <w:rFonts w:ascii="宋体" w:hAnsi="宋体" w:eastAsia="宋体" w:cs="宋体"/>
          <w:b/>
          <w:bCs w:val="0"/>
          <w:color w:val="auto"/>
          <w:sz w:val="24"/>
          <w:szCs w:val="24"/>
          <w:highlight w:val="none"/>
          <w:lang w:eastAsia="zh-CN"/>
        </w:rPr>
        <w:t>日内完成整改并重新提交成果再次进行终验。若仍未通过，采购人有权解除合同，中标人应向采购人支付合同总金额20％的违约金，并承担由此给采购人造成的全部损失。</w:t>
      </w: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bCs w:val="0"/>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四、其他事项</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1、除</w:t>
      </w:r>
      <w:r>
        <w:rPr>
          <w:rFonts w:hint="eastAsia" w:ascii="宋体" w:hAnsi="宋体" w:eastAsia="宋体" w:cs="宋体"/>
          <w:b w:val="0"/>
          <w:bCs/>
          <w:color w:val="auto"/>
          <w:sz w:val="24"/>
          <w:szCs w:val="24"/>
          <w:highlight w:val="none"/>
          <w:lang w:eastAsia="zh-CN"/>
        </w:rPr>
        <w:t>招标文件</w:t>
      </w:r>
      <w:r>
        <w:rPr>
          <w:rFonts w:hint="eastAsia" w:ascii="宋体" w:hAnsi="宋体" w:eastAsia="宋体" w:cs="宋体"/>
          <w:b w:val="0"/>
          <w:bCs/>
          <w:color w:val="auto"/>
          <w:sz w:val="24"/>
          <w:szCs w:val="24"/>
          <w:highlight w:val="none"/>
        </w:rPr>
        <w:t>另有规定外，若出现有关法律、法规和规章有强制性规定但</w:t>
      </w:r>
      <w:r>
        <w:rPr>
          <w:rFonts w:hint="eastAsia" w:ascii="宋体" w:hAnsi="宋体" w:eastAsia="宋体" w:cs="宋体"/>
          <w:b w:val="0"/>
          <w:bCs/>
          <w:color w:val="auto"/>
          <w:sz w:val="24"/>
          <w:szCs w:val="24"/>
          <w:highlight w:val="none"/>
          <w:lang w:eastAsia="zh-CN"/>
        </w:rPr>
        <w:t>招标文件</w:t>
      </w:r>
      <w:r>
        <w:rPr>
          <w:rFonts w:hint="eastAsia" w:ascii="宋体" w:hAnsi="宋体" w:eastAsia="宋体" w:cs="宋体"/>
          <w:b w:val="0"/>
          <w:bCs/>
          <w:color w:val="auto"/>
          <w:sz w:val="24"/>
          <w:szCs w:val="24"/>
          <w:highlight w:val="none"/>
        </w:rPr>
        <w:t>未列明的情形，则</w:t>
      </w: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应按照有关法律、法规和规章强制性规定执行。</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2、其他：</w:t>
      </w:r>
    </w:p>
    <w:p>
      <w:pPr>
        <w:pStyle w:val="14"/>
        <w:keepNext w:val="0"/>
        <w:keepLines w:val="0"/>
        <w:pageBreakBefore w:val="0"/>
        <w:widowControl w:val="0"/>
        <w:kinsoku/>
        <w:wordWrap/>
        <w:overflowPunct/>
        <w:topLinePunct w:val="0"/>
        <w:autoSpaceDE/>
        <w:autoSpaceDN/>
        <w:bidi w:val="0"/>
        <w:adjustRightInd/>
        <w:spacing w:beforeAutospacing="0" w:afterAutospacing="0" w:line="500" w:lineRule="exact"/>
        <w:ind w:firstLine="480"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2.1</w:t>
      </w:r>
      <w:r>
        <w:rPr>
          <w:rFonts w:hint="eastAsia" w:ascii="宋体" w:hAnsi="宋体" w:eastAsia="宋体" w:cs="宋体"/>
          <w:b w:val="0"/>
          <w:bCs/>
          <w:color w:val="auto"/>
          <w:highlight w:val="none"/>
          <w:lang w:val="en-US" w:eastAsia="zh-CN"/>
        </w:rPr>
        <w:t xml:space="preserve"> </w:t>
      </w:r>
      <w:r>
        <w:rPr>
          <w:rFonts w:hint="eastAsia" w:ascii="宋体" w:hAnsi="宋体" w:eastAsia="宋体" w:cs="宋体"/>
          <w:b w:val="0"/>
          <w:bCs/>
          <w:color w:val="auto"/>
          <w:highlight w:val="none"/>
        </w:rPr>
        <w:t>本</w:t>
      </w:r>
      <w:r>
        <w:rPr>
          <w:rFonts w:hint="eastAsia" w:ascii="宋体" w:hAnsi="宋体" w:eastAsia="宋体" w:cs="宋体"/>
          <w:b w:val="0"/>
          <w:bCs/>
          <w:color w:val="auto"/>
          <w:highlight w:val="none"/>
          <w:lang w:val="en-US" w:eastAsia="zh-CN"/>
        </w:rPr>
        <w:t>招标文件</w:t>
      </w:r>
      <w:r>
        <w:rPr>
          <w:rFonts w:hint="eastAsia" w:ascii="宋体" w:hAnsi="宋体" w:eastAsia="宋体" w:cs="宋体"/>
          <w:b w:val="0"/>
          <w:bCs/>
          <w:color w:val="auto"/>
          <w:highlight w:val="none"/>
        </w:rPr>
        <w:t>未明确的其它约定事项或条款，待采购人与中标人签订合同时，由双方协商订立。</w:t>
      </w:r>
    </w:p>
    <w:p>
      <w:pPr>
        <w:pStyle w:val="14"/>
        <w:keepNext w:val="0"/>
        <w:keepLines w:val="0"/>
        <w:pageBreakBefore w:val="0"/>
        <w:widowControl w:val="0"/>
        <w:kinsoku/>
        <w:wordWrap/>
        <w:overflowPunct/>
        <w:topLinePunct w:val="0"/>
        <w:autoSpaceDE/>
        <w:autoSpaceDN/>
        <w:bidi w:val="0"/>
        <w:adjustRightInd/>
        <w:spacing w:beforeAutospacing="0" w:afterAutospacing="0" w:line="500" w:lineRule="exact"/>
        <w:ind w:firstLine="480"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2.2</w:t>
      </w:r>
      <w:r>
        <w:rPr>
          <w:rFonts w:hint="eastAsia" w:ascii="宋体" w:hAnsi="宋体" w:eastAsia="宋体" w:cs="宋体"/>
          <w:b w:val="0"/>
          <w:bCs/>
          <w:color w:val="auto"/>
          <w:highlight w:val="none"/>
          <w:lang w:val="en-US" w:eastAsia="zh-CN"/>
        </w:rPr>
        <w:t xml:space="preserve"> </w:t>
      </w:r>
      <w:r>
        <w:rPr>
          <w:rFonts w:hint="eastAsia" w:ascii="宋体" w:hAnsi="宋体" w:eastAsia="宋体" w:cs="宋体"/>
          <w:b w:val="0"/>
          <w:bCs/>
          <w:color w:val="auto"/>
          <w:highlight w:val="none"/>
        </w:rPr>
        <w:t>本项目不允许中标人以任何名义和理由进行转包，如有发现，采购人有权单方终止合同，视为中标人违约；中标人违约对采购人造成的损失的，需另行支付相应的赔偿。</w:t>
      </w:r>
    </w:p>
    <w:p>
      <w:pPr>
        <w:keepNext w:val="0"/>
        <w:keepLines w:val="0"/>
        <w:pageBreakBefore w:val="0"/>
        <w:widowControl w:val="0"/>
        <w:kinsoku/>
        <w:overflowPunct/>
        <w:topLinePunct w:val="0"/>
        <w:autoSpaceDE/>
        <w:bidi w:val="0"/>
        <w:adjustRightInd/>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br w:type="page"/>
      </w:r>
    </w:p>
    <w:p>
      <w:pPr>
        <w:pStyle w:val="2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0"/>
        <w:rPr>
          <w:rFonts w:hint="eastAsia" w:ascii="宋体" w:hAnsi="宋体" w:eastAsia="宋体" w:cs="宋体"/>
          <w:b/>
          <w:color w:val="auto"/>
          <w:sz w:val="32"/>
          <w:szCs w:val="32"/>
          <w:highlight w:val="none"/>
          <w:lang w:eastAsia="zh-CN"/>
        </w:rPr>
      </w:pPr>
      <w:bookmarkStart w:id="20" w:name="_Toc22798"/>
      <w:r>
        <w:rPr>
          <w:rFonts w:hint="eastAsia" w:ascii="宋体" w:hAnsi="宋体" w:eastAsia="宋体" w:cs="宋体"/>
          <w:b/>
          <w:color w:val="auto"/>
          <w:sz w:val="32"/>
          <w:szCs w:val="32"/>
          <w:highlight w:val="none"/>
        </w:rPr>
        <w:t>第六章</w:t>
      </w:r>
      <w:r>
        <w:rPr>
          <w:rFonts w:hint="eastAsia" w:ascii="宋体" w:hAnsi="宋体" w:eastAsia="宋体" w:cs="宋体"/>
          <w:b/>
          <w:color w:val="auto"/>
          <w:sz w:val="32"/>
          <w:szCs w:val="32"/>
          <w:highlight w:val="none"/>
          <w:lang w:val="en-US" w:eastAsia="zh-CN"/>
        </w:rPr>
        <w:t xml:space="preserve">  </w:t>
      </w:r>
      <w:bookmarkEnd w:id="20"/>
      <w:r>
        <w:rPr>
          <w:rFonts w:hint="eastAsia" w:ascii="宋体" w:hAnsi="宋体" w:eastAsia="宋体" w:cs="宋体"/>
          <w:b/>
          <w:color w:val="auto"/>
          <w:sz w:val="32"/>
          <w:szCs w:val="32"/>
          <w:highlight w:val="none"/>
          <w:lang w:eastAsia="zh-CN"/>
        </w:rPr>
        <w:t>政府采购合同</w:t>
      </w:r>
    </w:p>
    <w:p>
      <w:pPr>
        <w:pStyle w:val="2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8"/>
          <w:szCs w:val="28"/>
          <w:highlight w:val="none"/>
        </w:rPr>
        <w:t>参考文本</w:t>
      </w:r>
    </w:p>
    <w:p>
      <w:pPr>
        <w:pStyle w:val="21"/>
        <w:keepNext w:val="0"/>
        <w:keepLines w:val="0"/>
        <w:pageBreakBefore w:val="0"/>
        <w:widowControl w:val="0"/>
        <w:kinsoku/>
        <w:wordWrap/>
        <w:overflowPunct/>
        <w:topLinePunct w:val="0"/>
        <w:autoSpaceDE/>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p>
    <w:p>
      <w:pPr>
        <w:pStyle w:val="21"/>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9"/>
        <w:rPr>
          <w:rFonts w:hint="eastAsia" w:ascii="宋体" w:hAnsi="宋体" w:eastAsia="宋体" w:cs="宋体"/>
          <w:color w:val="auto"/>
          <w:highlight w:val="none"/>
        </w:rPr>
      </w:pPr>
      <w:r>
        <w:rPr>
          <w:rFonts w:hint="eastAsia" w:ascii="宋体" w:hAnsi="宋体" w:eastAsia="宋体" w:cs="宋体"/>
          <w:b/>
          <w:color w:val="auto"/>
          <w:sz w:val="36"/>
          <w:highlight w:val="none"/>
        </w:rPr>
        <w:t xml:space="preserve"> 福建省政府采购合同（服务类）</w:t>
      </w:r>
    </w:p>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编制说明</w:t>
      </w:r>
    </w:p>
    <w:p>
      <w:pPr>
        <w:pStyle w:val="21"/>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1.签订合同应遵守《中华人民共和国政府采购法》及其实施条例、《中华人民共和国民法典》等法律法规及其他有关规定。</w:t>
      </w:r>
    </w:p>
    <w:p>
      <w:pPr>
        <w:pStyle w:val="21"/>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21"/>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3.政府有关主管部门对若干合同有规范文本的，可使用相应合同文本。</w:t>
      </w:r>
    </w:p>
    <w:p>
      <w:pPr>
        <w:pStyle w:val="21"/>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outlineLvl w:val="3"/>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 xml:space="preserve"> 4.本合同范本仅供参考，采购人应当根据采购项目的实际需求对合同条款进行修改、补充</w:t>
      </w:r>
      <w:r>
        <w:rPr>
          <w:rFonts w:hint="eastAsia" w:ascii="宋体" w:hAnsi="宋体" w:eastAsia="宋体" w:cs="宋体"/>
          <w:b/>
          <w:color w:val="auto"/>
          <w:sz w:val="24"/>
          <w:szCs w:val="24"/>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3"/>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3"/>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甲</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u w:val="single"/>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3"/>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u w:val="single"/>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3"/>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u w:val="single"/>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3"/>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真：</w:t>
      </w:r>
      <w:r>
        <w:rPr>
          <w:rFonts w:hint="eastAsia" w:ascii="宋体" w:hAnsi="宋体" w:eastAsia="宋体" w:cs="宋体"/>
          <w:color w:val="auto"/>
          <w:sz w:val="24"/>
          <w:szCs w:val="24"/>
          <w:highlight w:val="none"/>
          <w:u w:val="single"/>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3"/>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u w:val="single"/>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3"/>
        <w:rPr>
          <w:rFonts w:hint="eastAsia" w:ascii="宋体" w:hAnsi="宋体" w:eastAsia="宋体" w:cs="宋体"/>
          <w:color w:val="auto"/>
          <w:sz w:val="24"/>
          <w:szCs w:val="24"/>
          <w:highlight w:val="none"/>
          <w:u w:val="single"/>
          <w:lang w:val="en-US" w:eastAsia="zh-CN"/>
        </w:rPr>
      </w:pP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3"/>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 xml:space="preserve">乙    </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u w:val="single"/>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3"/>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u w:val="single"/>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3"/>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u w:val="single"/>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3"/>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3"/>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真：</w:t>
      </w:r>
      <w:r>
        <w:rPr>
          <w:rFonts w:hint="eastAsia" w:ascii="宋体" w:hAnsi="宋体" w:eastAsia="宋体" w:cs="宋体"/>
          <w:color w:val="auto"/>
          <w:sz w:val="24"/>
          <w:szCs w:val="24"/>
          <w:highlight w:val="none"/>
          <w:u w:val="single"/>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3"/>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u w:val="single"/>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3"/>
        <w:rPr>
          <w:rFonts w:hint="eastAsia" w:ascii="宋体" w:hAnsi="宋体" w:eastAsia="宋体" w:cs="宋体"/>
          <w:color w:val="auto"/>
          <w:sz w:val="24"/>
          <w:szCs w:val="24"/>
          <w:highlight w:val="none"/>
          <w:u w:val="single"/>
          <w:lang w:val="en-US" w:eastAsia="zh-CN"/>
        </w:rPr>
      </w:pP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根据项目编号为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项目（以下简称：“本项目”）的采购结果，遵循平等、自愿、公平和诚实信用的原则，双方签署本合同，具体内容如下：</w:t>
      </w: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一、合同组成部分</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本合同条款及附件；</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采购文件及其附件、补充文件；</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乙方的响应文件及其附件、补充文件；</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其他文件或材料：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二、合同标的</w:t>
      </w: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3"/>
        <w:rPr>
          <w:rFonts w:hint="eastAsia" w:ascii="宋体" w:hAnsi="宋体" w:eastAsia="宋体" w:cs="宋体"/>
          <w:b/>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三、价格形式及合同价款</w:t>
      </w:r>
    </w:p>
    <w:p>
      <w:pPr>
        <w:pStyle w:val="21"/>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outlineLvl w:val="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价格形式</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固定单价合同。完成约定服务事项的含税合同单价为：人民币（大写）元（￥</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固定总价合同。完成约定服务事项的含税服务费用为：人民币（大写）元（￥</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outlineLvl w:val="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合同价款包含范围</w:t>
      </w:r>
    </w:p>
    <w:p>
      <w:pPr>
        <w:pStyle w:val="21"/>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outlineLvl w:val="4"/>
        <w:rPr>
          <w:rFonts w:hint="eastAsia" w:ascii="宋体" w:hAnsi="宋体" w:eastAsia="宋体" w:cs="宋体"/>
          <w:b/>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outlineLvl w:val="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其他需说明的事项</w:t>
      </w:r>
    </w:p>
    <w:p>
      <w:pPr>
        <w:pStyle w:val="21"/>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outlineLvl w:val="4"/>
        <w:rPr>
          <w:rFonts w:hint="eastAsia" w:ascii="宋体" w:hAnsi="宋体" w:eastAsia="宋体" w:cs="宋体"/>
          <w:b/>
          <w:color w:val="auto"/>
          <w:sz w:val="24"/>
          <w:szCs w:val="24"/>
          <w:highlight w:val="none"/>
          <w:lang w:val="en-US" w:eastAsia="zh-CN"/>
        </w:rPr>
      </w:pP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四、合同标的及服务范围、地点和时间</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服务范围：</w:t>
      </w:r>
      <w:r>
        <w:rPr>
          <w:rFonts w:hint="eastAsia" w:ascii="宋体" w:hAnsi="宋体" w:eastAsia="宋体" w:cs="宋体"/>
          <w:color w:val="auto"/>
          <w:sz w:val="24"/>
          <w:szCs w:val="24"/>
          <w:highlight w:val="none"/>
          <w:u w:val="single"/>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服务地点：</w:t>
      </w:r>
      <w:r>
        <w:rPr>
          <w:rFonts w:hint="eastAsia" w:ascii="宋体" w:hAnsi="宋体" w:eastAsia="宋体" w:cs="宋体"/>
          <w:color w:val="auto"/>
          <w:sz w:val="24"/>
          <w:szCs w:val="24"/>
          <w:highlight w:val="none"/>
          <w:u w:val="single"/>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服务完成时间：</w:t>
      </w:r>
      <w:r>
        <w:rPr>
          <w:rFonts w:hint="eastAsia" w:ascii="宋体" w:hAnsi="宋体" w:eastAsia="宋体" w:cs="宋体"/>
          <w:color w:val="auto"/>
          <w:sz w:val="24"/>
          <w:szCs w:val="24"/>
          <w:highlight w:val="none"/>
          <w:u w:val="single"/>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五、服务内容、质量标准和要求</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服务工作量的计量方式：</w:t>
      </w:r>
      <w:r>
        <w:rPr>
          <w:rFonts w:hint="eastAsia" w:ascii="宋体" w:hAnsi="宋体" w:eastAsia="宋体" w:cs="宋体"/>
          <w:color w:val="auto"/>
          <w:sz w:val="24"/>
          <w:szCs w:val="24"/>
          <w:highlight w:val="none"/>
          <w:u w:val="single"/>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服务内容：</w:t>
      </w:r>
      <w:r>
        <w:rPr>
          <w:rFonts w:hint="eastAsia" w:ascii="宋体" w:hAnsi="宋体" w:eastAsia="宋体" w:cs="宋体"/>
          <w:color w:val="auto"/>
          <w:sz w:val="24"/>
          <w:szCs w:val="24"/>
          <w:highlight w:val="none"/>
          <w:u w:val="single"/>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技术保障、服务人员组成、所涉及的货物的质量标准：</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（1）服务技术保障：</w:t>
      </w:r>
      <w:r>
        <w:rPr>
          <w:rFonts w:hint="eastAsia" w:ascii="宋体" w:hAnsi="宋体" w:eastAsia="宋体" w:cs="宋体"/>
          <w:color w:val="auto"/>
          <w:sz w:val="24"/>
          <w:szCs w:val="24"/>
          <w:highlight w:val="none"/>
          <w:u w:val="single"/>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（2）服务人员组成：</w:t>
      </w:r>
      <w:r>
        <w:rPr>
          <w:rFonts w:hint="eastAsia" w:ascii="宋体" w:hAnsi="宋体" w:eastAsia="宋体" w:cs="宋体"/>
          <w:color w:val="auto"/>
          <w:sz w:val="24"/>
          <w:szCs w:val="24"/>
          <w:highlight w:val="none"/>
          <w:u w:val="single"/>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（3）服务设备及物资投入及质量标准：</w:t>
      </w:r>
      <w:r>
        <w:rPr>
          <w:rFonts w:hint="eastAsia" w:ascii="宋体" w:hAnsi="宋体" w:eastAsia="宋体" w:cs="宋体"/>
          <w:color w:val="auto"/>
          <w:sz w:val="24"/>
          <w:szCs w:val="24"/>
          <w:highlight w:val="none"/>
          <w:u w:val="single"/>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服务质量标准及要求：</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5.4.2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5.4.3其他要求：</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六、服务履约验收或考核</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甲方按照采购文件、乙方的投标或响应文件和本协议约定的服务内容及质量要求按次组织对乙方所提供服务进行验收，或定期进行服务考核，并根据验收或考核结果支付服务费用。具体如下：</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七、甲方的权利与义务</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甲方委派</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为联系人，联系方式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，负责与乙方联系。如甲方联系人发生变更，甲方应书面告知乙方。</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甲方应为乙方开展服务工作提供必要的工作条件，以及对内对外沟通和配合协助。</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7.3甲方应于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之前提供服务所需的全部资料，并对所提供材料真实性、完整性、合法性负责。</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甲方应按本合同约定及时足额支付服务费用及相关费用。</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八、乙方的权利与义务</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乙方委派</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为联系人，联系方式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，负责与甲方联系。如乙方联系人发生变更，乙方应书面告知甲方</w:t>
      </w:r>
      <w:r>
        <w:rPr>
          <w:rFonts w:hint="eastAsia" w:ascii="宋体" w:hAnsi="宋体" w:eastAsia="宋体" w:cs="宋体"/>
          <w:color w:val="auto"/>
          <w:sz w:val="24"/>
          <w:szCs w:val="24"/>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乙方应国家法律法规和{{乙方的权利与义务-响应要求-福建}}等要求开展{{乙方的权利与义务-开展服务-福建}}服务</w:t>
      </w:r>
      <w:r>
        <w:rPr>
          <w:rFonts w:hint="eastAsia" w:ascii="宋体" w:hAnsi="宋体" w:eastAsia="宋体" w:cs="宋体"/>
          <w:color w:val="auto"/>
          <w:sz w:val="24"/>
          <w:szCs w:val="24"/>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乙方及其所委派服务人员应按标准或协议约定方式出具服务成果，并对其真实性和合法性负法律责任</w:t>
      </w:r>
      <w:r>
        <w:rPr>
          <w:rFonts w:hint="eastAsia" w:ascii="宋体" w:hAnsi="宋体" w:eastAsia="宋体" w:cs="宋体"/>
          <w:color w:val="auto"/>
          <w:sz w:val="24"/>
          <w:szCs w:val="24"/>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乙方对执行业务过程中知悉的国家秘密或甲方的商业秘密保密。除非国家法律法规及行业规范另有规定,或经甲方同意,乙方不得将其知悉的商业秘密和甲方提供的资料对外泄露。</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乙方对服务业务应当单独建档，保存完整的工作记录，并对服务过程使用和暂存甲方的文件、材料和财物应当妥善保管。</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服务工作结束后,乙方将根据情况对甲方服务相关的管理制度及其他事项等提出改进意见。</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乙方完全遵守《中华人民共和国劳动合同法》有关规定和《中华人民共和国妇女权益保障法》中关于“劳动和社会保障权益”的有关要求。</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8.8</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九、资金支付方式、时间和条件</w:t>
      </w:r>
      <w:r>
        <w:rPr>
          <w:rFonts w:hint="eastAsia" w:ascii="宋体" w:hAnsi="宋体" w:eastAsia="宋体" w:cs="宋体"/>
          <w:color w:val="auto"/>
          <w:sz w:val="24"/>
          <w:szCs w:val="24"/>
          <w:highlight w:val="none"/>
        </w:rPr>
        <w:br w:type="textWrapping"/>
      </w: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十、履约保证金</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□有，□无。具体如下：</w:t>
      </w:r>
      <w:r>
        <w:rPr>
          <w:rFonts w:hint="eastAsia" w:ascii="宋体" w:hAnsi="宋体" w:eastAsia="宋体" w:cs="宋体"/>
          <w:color w:val="auto"/>
          <w:sz w:val="24"/>
          <w:szCs w:val="24"/>
          <w:highlight w:val="none"/>
          <w:u w:val="single"/>
        </w:rPr>
        <w:t>（按照采购文件规定填写）</w:t>
      </w:r>
      <w:r>
        <w:rPr>
          <w:rFonts w:hint="eastAsia" w:ascii="宋体" w:hAnsi="宋体" w:eastAsia="宋体" w:cs="宋体"/>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乙方向甲方缴纳人民币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元作为本合同的履约保证金。</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履约保证金缴纳形式：支票/汇票/电汇/保函等非现金形式。</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履约保证金合同履行完毕前有效，合同履行完毕后一次性结清退还。</w:t>
      </w: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十一、合同期限</w:t>
      </w:r>
      <w:r>
        <w:rPr>
          <w:rFonts w:hint="eastAsia" w:ascii="宋体" w:hAnsi="宋体" w:eastAsia="宋体" w:cs="宋体"/>
          <w:color w:val="auto"/>
          <w:sz w:val="24"/>
          <w:szCs w:val="24"/>
          <w:highlight w:val="none"/>
        </w:rPr>
        <w:br w:type="textWrapping"/>
      </w: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十二、保密条款</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对于在采购和合同履行过程中所获悉的属于保密的内容，甲、乙双方均负有保密义务。</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十三、违约责任</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甲方违约责任</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（1）甲方无正当理由拒绝乙方提供合格服务的，甲方应向乙方偿付所拒收合同总价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的违约金</w:t>
      </w:r>
      <w:r>
        <w:rPr>
          <w:rFonts w:hint="eastAsia" w:ascii="宋体" w:hAnsi="宋体" w:eastAsia="宋体" w:cs="宋体"/>
          <w:color w:val="auto"/>
          <w:sz w:val="24"/>
          <w:szCs w:val="24"/>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（2）甲方无故逾期验收和办理合同款项支付手续的,甲方应按逾期付款总额每日</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向乙方支付违约金。</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（3）其他违约情形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乙方违约责任</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（1）乙方逾期履行服务的，乙方应按逾期交付总额每日</w:t>
      </w:r>
      <w:r>
        <w:rPr>
          <w:rFonts w:hint="eastAsia" w:ascii="宋体" w:hAnsi="宋体" w:eastAsia="宋体" w:cs="宋体"/>
          <w:color w:val="auto"/>
          <w:sz w:val="24"/>
          <w:szCs w:val="24"/>
          <w:highlight w:val="none"/>
          <w:u w:val="single"/>
          <w:lang w:val="en-US" w:eastAsia="zh-CN"/>
        </w:rPr>
        <w:t xml:space="preserve">    </w:t>
      </w:r>
      <w:bookmarkStart w:id="21" w:name="OLE_LINK26"/>
      <w:r>
        <w:rPr>
          <w:rFonts w:hint="eastAsia" w:ascii="宋体" w:hAnsi="宋体" w:eastAsia="宋体" w:cs="宋体"/>
          <w:color w:val="auto"/>
          <w:sz w:val="24"/>
          <w:szCs w:val="24"/>
          <w:highlight w:val="none"/>
          <w:u w:val="single"/>
          <w:lang w:val="en-US" w:eastAsia="zh-CN"/>
        </w:rPr>
        <w:t xml:space="preserve">           </w:t>
      </w:r>
      <w:bookmarkEnd w:id="21"/>
      <w:r>
        <w:rPr>
          <w:rFonts w:hint="eastAsia" w:ascii="宋体" w:hAnsi="宋体" w:eastAsia="宋体" w:cs="宋体"/>
          <w:color w:val="auto"/>
          <w:sz w:val="24"/>
          <w:szCs w:val="24"/>
          <w:highlight w:val="none"/>
        </w:rPr>
        <w:t>向甲方支付违约金，由甲方从待付货款中扣除。乙方无正当理由逾期超过约定日期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仍不能交付的，视为“乙方不按合同约定履约”</w:t>
      </w:r>
      <w:r>
        <w:rPr>
          <w:rFonts w:hint="eastAsia" w:ascii="宋体" w:hAnsi="宋体" w:eastAsia="宋体" w:cs="宋体"/>
          <w:color w:val="auto"/>
          <w:sz w:val="24"/>
          <w:szCs w:val="24"/>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（2）乙方所履行的服务不符合合同规定及《采购文件》规定标准的，甲方有权拒绝，乙方愿意整改但逾期履行的，按乙方逾期履行处理。乙方拒绝整改的，视为“乙方不按合同约定履约”</w:t>
      </w:r>
      <w:r>
        <w:rPr>
          <w:rFonts w:hint="eastAsia" w:ascii="宋体" w:hAnsi="宋体" w:eastAsia="宋体" w:cs="宋体"/>
          <w:color w:val="auto"/>
          <w:sz w:val="24"/>
          <w:szCs w:val="24"/>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（3）乙方不按合同约定履约的，甲方可以解除采购合同，并对乙方已缴纳的履约保证金作“不予退还”处理。同时，乙方须按以下约定向甲方支付违约金：</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（4）其他违约情形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十四、不可抗力事件处理</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十五、解决争议的方法</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甲、乙双方协商解决。</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若协商解决不成，双方明确按以下第_种方式解决：</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1、提交仲裁委员会仲裁，具体如下：</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2、向人民法院提起诉讼。</w:t>
      </w: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十六、合同其他条款</w:t>
      </w:r>
      <w:r>
        <w:rPr>
          <w:rFonts w:hint="eastAsia" w:ascii="宋体" w:hAnsi="宋体" w:eastAsia="宋体" w:cs="宋体"/>
          <w:color w:val="auto"/>
          <w:sz w:val="24"/>
          <w:szCs w:val="24"/>
          <w:highlight w:val="none"/>
        </w:rPr>
        <w:br w:type="textWrapping"/>
      </w:r>
    </w:p>
    <w:p>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十七、其他约定</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合同文件与本合同具有同等法律效力。</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17.3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本合同未尽事宜，遵照《中华人民共和国民法典》有关条文执行</w:t>
      </w:r>
      <w:r>
        <w:rPr>
          <w:rFonts w:hint="eastAsia" w:ascii="宋体" w:hAnsi="宋体" w:eastAsia="宋体" w:cs="宋体"/>
          <w:color w:val="auto"/>
          <w:sz w:val="24"/>
          <w:szCs w:val="24"/>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17.4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本合同正本一式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份，具有同等法律效力，甲方、乙方各执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本合同已用于政府采购合同融资，为本项目提供合同融资的金融机构为：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，甲方应及时将资金支付到本合同乙方账号。</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应于采购合同签订之日起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内，向发放政采贷的金融机构提交政府采购中标（成交）通知书和政府采购合同，贷款金额以政府采购合同金额为限。</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17.6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500" w:lineRule="exact"/>
        <w:ind w:left="482" w:hanging="482" w:hangingChars="200"/>
        <w:jc w:val="both"/>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十八、合同附件</w:t>
      </w:r>
    </w:p>
    <w:p>
      <w:pPr>
        <w:pStyle w:val="21"/>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jc w:val="both"/>
        <w:textAlignment w:val="auto"/>
        <w:outlineLvl w:val="3"/>
        <w:rPr>
          <w:rFonts w:hint="eastAsia" w:ascii="宋体" w:hAnsi="宋体" w:eastAsia="宋体" w:cs="宋体"/>
          <w:b/>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jc w:val="both"/>
        <w:textAlignment w:val="auto"/>
        <w:outlineLvl w:val="3"/>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jc w:val="both"/>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w:t>
      </w:r>
    </w:p>
    <w:p>
      <w:pPr>
        <w:pStyle w:val="21"/>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jc w:val="both"/>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法定（授权）代表人：</w:t>
      </w:r>
    </w:p>
    <w:p>
      <w:pPr>
        <w:pStyle w:val="21"/>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jc w:val="both"/>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纳税人识别号：</w:t>
      </w:r>
    </w:p>
    <w:p>
      <w:pPr>
        <w:pStyle w:val="21"/>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jc w:val="both"/>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pPr>
        <w:pStyle w:val="21"/>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jc w:val="both"/>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p>
      <w:pPr>
        <w:pStyle w:val="21"/>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jc w:val="both"/>
        <w:textAlignment w:val="auto"/>
        <w:outlineLvl w:val="3"/>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jc w:val="both"/>
        <w:textAlignment w:val="auto"/>
        <w:outlineLvl w:val="3"/>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jc w:val="both"/>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乙方（中标或成交人）：</w:t>
      </w:r>
    </w:p>
    <w:p>
      <w:pPr>
        <w:pStyle w:val="21"/>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jc w:val="both"/>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法定（授权）代表人：</w:t>
      </w:r>
    </w:p>
    <w:p>
      <w:pPr>
        <w:pStyle w:val="21"/>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jc w:val="both"/>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纳税人识别号：</w:t>
      </w:r>
    </w:p>
    <w:p>
      <w:pPr>
        <w:pStyle w:val="21"/>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jc w:val="both"/>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pPr>
        <w:pStyle w:val="21"/>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jc w:val="both"/>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p>
      <w:pPr>
        <w:pStyle w:val="21"/>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jc w:val="both"/>
        <w:textAlignment w:val="auto"/>
        <w:outlineLvl w:val="3"/>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jc w:val="both"/>
        <w:textAlignment w:val="auto"/>
        <w:outlineLvl w:val="3"/>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jc w:val="both"/>
        <w:textAlignment w:val="auto"/>
        <w:outlineLvl w:val="3"/>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u w:val="single"/>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jc w:val="both"/>
        <w:textAlignment w:val="auto"/>
        <w:outlineLvl w:val="3"/>
        <w:rPr>
          <w:rFonts w:hint="eastAsia" w:ascii="宋体" w:hAnsi="宋体" w:eastAsia="宋体" w:cs="宋体"/>
          <w:b/>
          <w:color w:val="auto"/>
          <w:sz w:val="32"/>
          <w:szCs w:val="32"/>
          <w:highlight w:val="none"/>
          <w:lang w:eastAsia="zh-CN"/>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br w:type="page"/>
      </w:r>
    </w:p>
    <w:p>
      <w:pPr>
        <w:pStyle w:val="2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0"/>
        <w:rPr>
          <w:rFonts w:hint="eastAsia" w:ascii="宋体" w:hAnsi="宋体" w:eastAsia="宋体" w:cs="宋体"/>
          <w:color w:val="auto"/>
          <w:sz w:val="24"/>
          <w:szCs w:val="24"/>
          <w:highlight w:val="none"/>
          <w:lang w:eastAsia="zh-CN"/>
        </w:rPr>
      </w:pPr>
      <w:bookmarkStart w:id="22" w:name="_Toc2899"/>
      <w:r>
        <w:rPr>
          <w:rFonts w:hint="eastAsia" w:ascii="宋体" w:hAnsi="宋体" w:eastAsia="宋体" w:cs="宋体"/>
          <w:b/>
          <w:color w:val="auto"/>
          <w:sz w:val="28"/>
          <w:szCs w:val="28"/>
          <w:highlight w:val="none"/>
        </w:rPr>
        <w:t>第七章</w:t>
      </w:r>
      <w:r>
        <w:rPr>
          <w:rFonts w:hint="eastAsia" w:ascii="宋体" w:hAnsi="宋体" w:eastAsia="宋体" w:cs="宋体"/>
          <w:b/>
          <w:color w:val="auto"/>
          <w:sz w:val="28"/>
          <w:szCs w:val="28"/>
          <w:highlight w:val="none"/>
          <w:lang w:val="en-US" w:eastAsia="zh-CN"/>
        </w:rPr>
        <w:t xml:space="preserve">  电子</w:t>
      </w:r>
      <w:r>
        <w:rPr>
          <w:rFonts w:hint="eastAsia" w:ascii="宋体" w:hAnsi="宋体" w:eastAsia="宋体" w:cs="宋体"/>
          <w:b/>
          <w:color w:val="auto"/>
          <w:sz w:val="28"/>
          <w:szCs w:val="28"/>
          <w:highlight w:val="none"/>
          <w:lang w:eastAsia="zh-CN"/>
        </w:rPr>
        <w:t>投标文件</w:t>
      </w:r>
      <w:r>
        <w:rPr>
          <w:rFonts w:hint="eastAsia" w:ascii="宋体" w:hAnsi="宋体" w:eastAsia="宋体" w:cs="宋体"/>
          <w:b/>
          <w:color w:val="auto"/>
          <w:sz w:val="28"/>
          <w:szCs w:val="28"/>
          <w:highlight w:val="none"/>
        </w:rPr>
        <w:t>格式</w:t>
      </w:r>
      <w:bookmarkEnd w:id="22"/>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由系统自动生成</w:t>
      </w:r>
      <w:r>
        <w:rPr>
          <w:rFonts w:hint="eastAsia" w:ascii="宋体" w:hAnsi="宋体" w:eastAsia="宋体" w:cs="宋体"/>
          <w:b/>
          <w:color w:val="auto"/>
          <w:sz w:val="28"/>
          <w:szCs w:val="28"/>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编制说明</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1、除招标文件另有规定外，本章中：</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涉及投标人的“全称”：</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不接受联合体投标的，指投标人的全称。</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接受联合体投标且投标人为联合体的，指牵头方的全称并加注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联合体牵头方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，即应表述为：“牵头方的全称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联合体牵头方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涉及投标人“加盖单位公章”：</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不接受联合体投标的，指加盖投标人的单位公章。</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接受联合体投标且投标人为联合体的，指加盖联合体牵头方的单位公章。</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涉及“投标人代表签字”：</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不接受联合体投标的，指由投标人的单位负责人或其授权的委托代理人签字，由委托代理人签字的，应提供“单位授权书”。</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接受联合体投标且投标人为联合体的，指由联合体牵头方的单位负责人或其授权的委托代理人签字，由委托代理人签字的，应提供“单位授权书”。</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“其他组织”指合伙企业、非企业专业服务机构、个体工商户、农村承包经营户等。</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“自然人”指具有完全民事行为能力、能够承担民事责任和义务的中国公民。</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2、除招标文件另有规定外，本章中“投标人的资格及资信证明文件”：</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投标人应按照招标文件第四章第1.3条第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款规定及本章规定进行编制，如有必要，可增加附页，附页作为资格及资信文件的组成部分。</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接受联合体投标且投标人为联合体的，联合体中的各方均应按照本章第2.1条规定提交相应的全部资料。</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3、投标人对电子投标文件的索引应编制页码。</w:t>
      </w: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rPr>
        <w:t>4、本章提供格式仅供参考，投标人应根据自身实际情况制作电子投标文件。</w:t>
      </w:r>
    </w:p>
    <w:sectPr>
      <w:footerReference r:id="rId3" w:type="default"/>
      <w:pgSz w:w="11906" w:h="16838"/>
      <w:pgMar w:top="1440" w:right="1400" w:bottom="1440" w:left="14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3</w:t>
                          </w:r>
                          <w:r>
                            <w:rPr>
                              <w:rFonts w:hint="eastAsia" w:ascii="宋体" w:hAnsi="宋体" w:eastAsia="宋体" w:cs="宋体"/>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3</w:t>
                    </w:r>
                    <w:r>
                      <w:rPr>
                        <w:rFonts w:hint="eastAsia" w:ascii="宋体" w:hAnsi="宋体" w:eastAsia="宋体" w:cs="宋体"/>
                        <w:sz w:val="18"/>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373573"/>
    <w:multiLevelType w:val="singleLevel"/>
    <w:tmpl w:val="2B37357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jYzAzNTg4ODZmMWY3YjQzNWM5YzYyNmFlYTU4NGMifQ=="/>
  </w:docVars>
  <w:rsids>
    <w:rsidRoot w:val="53B52B8D"/>
    <w:rsid w:val="00306153"/>
    <w:rsid w:val="014F6641"/>
    <w:rsid w:val="0311650D"/>
    <w:rsid w:val="036B6BBE"/>
    <w:rsid w:val="047343F5"/>
    <w:rsid w:val="06602D2A"/>
    <w:rsid w:val="07257627"/>
    <w:rsid w:val="08953333"/>
    <w:rsid w:val="09504645"/>
    <w:rsid w:val="09836AFC"/>
    <w:rsid w:val="0B386398"/>
    <w:rsid w:val="0E184D0B"/>
    <w:rsid w:val="0F086B7B"/>
    <w:rsid w:val="0FEA72CE"/>
    <w:rsid w:val="10B444AC"/>
    <w:rsid w:val="116E48C1"/>
    <w:rsid w:val="11A71B81"/>
    <w:rsid w:val="14423628"/>
    <w:rsid w:val="16D70902"/>
    <w:rsid w:val="177F50ED"/>
    <w:rsid w:val="17C27715"/>
    <w:rsid w:val="18EE3045"/>
    <w:rsid w:val="19691C8D"/>
    <w:rsid w:val="1BD559A8"/>
    <w:rsid w:val="1C1C4F1A"/>
    <w:rsid w:val="1F296504"/>
    <w:rsid w:val="1F861AAD"/>
    <w:rsid w:val="21111F81"/>
    <w:rsid w:val="22C00CF5"/>
    <w:rsid w:val="24125580"/>
    <w:rsid w:val="24F9229C"/>
    <w:rsid w:val="27545EB0"/>
    <w:rsid w:val="276B7F74"/>
    <w:rsid w:val="27E90DB4"/>
    <w:rsid w:val="28FF44CE"/>
    <w:rsid w:val="290F6532"/>
    <w:rsid w:val="2A4B619F"/>
    <w:rsid w:val="2ADB6075"/>
    <w:rsid w:val="2BAF2466"/>
    <w:rsid w:val="2DAD167F"/>
    <w:rsid w:val="31634C13"/>
    <w:rsid w:val="31E57076"/>
    <w:rsid w:val="31E61640"/>
    <w:rsid w:val="34BF0E0C"/>
    <w:rsid w:val="355A2B02"/>
    <w:rsid w:val="37B51F94"/>
    <w:rsid w:val="381D1185"/>
    <w:rsid w:val="3A9113AB"/>
    <w:rsid w:val="3E073B84"/>
    <w:rsid w:val="3F2F7CB5"/>
    <w:rsid w:val="3F86684F"/>
    <w:rsid w:val="402C30CE"/>
    <w:rsid w:val="424916C2"/>
    <w:rsid w:val="427F607F"/>
    <w:rsid w:val="431B5DA8"/>
    <w:rsid w:val="449060EB"/>
    <w:rsid w:val="44C77869"/>
    <w:rsid w:val="463E6462"/>
    <w:rsid w:val="46A1726F"/>
    <w:rsid w:val="47CB01F9"/>
    <w:rsid w:val="488B194E"/>
    <w:rsid w:val="49302C43"/>
    <w:rsid w:val="49D203AB"/>
    <w:rsid w:val="4C59524B"/>
    <w:rsid w:val="4C927F2F"/>
    <w:rsid w:val="4CCA56AC"/>
    <w:rsid w:val="4CFD684A"/>
    <w:rsid w:val="4D20220D"/>
    <w:rsid w:val="4D497849"/>
    <w:rsid w:val="4E9B4517"/>
    <w:rsid w:val="4F492C23"/>
    <w:rsid w:val="4F4D74C0"/>
    <w:rsid w:val="4FA40ED3"/>
    <w:rsid w:val="510C0081"/>
    <w:rsid w:val="535449C0"/>
    <w:rsid w:val="53B52B8D"/>
    <w:rsid w:val="54E84F5B"/>
    <w:rsid w:val="56097CE2"/>
    <w:rsid w:val="5705494D"/>
    <w:rsid w:val="57775B24"/>
    <w:rsid w:val="585F008D"/>
    <w:rsid w:val="5CAF478F"/>
    <w:rsid w:val="5CC93515"/>
    <w:rsid w:val="5D3B65FA"/>
    <w:rsid w:val="5DC22821"/>
    <w:rsid w:val="5E05632D"/>
    <w:rsid w:val="5EC749A4"/>
    <w:rsid w:val="5ED772C2"/>
    <w:rsid w:val="600D30EC"/>
    <w:rsid w:val="60AA20C1"/>
    <w:rsid w:val="60D43015"/>
    <w:rsid w:val="638E1826"/>
    <w:rsid w:val="64BA068B"/>
    <w:rsid w:val="65AC2058"/>
    <w:rsid w:val="671D40B3"/>
    <w:rsid w:val="675C12AE"/>
    <w:rsid w:val="685071C7"/>
    <w:rsid w:val="69A82631"/>
    <w:rsid w:val="69B31FE7"/>
    <w:rsid w:val="69F8726D"/>
    <w:rsid w:val="6A6E2AA9"/>
    <w:rsid w:val="6ADE1931"/>
    <w:rsid w:val="6B882FFF"/>
    <w:rsid w:val="6DEA513E"/>
    <w:rsid w:val="6EF2710D"/>
    <w:rsid w:val="6F403A80"/>
    <w:rsid w:val="6FAF7310"/>
    <w:rsid w:val="70714D08"/>
    <w:rsid w:val="70951102"/>
    <w:rsid w:val="71061924"/>
    <w:rsid w:val="71E74F23"/>
    <w:rsid w:val="727A00C0"/>
    <w:rsid w:val="72895FDA"/>
    <w:rsid w:val="73090758"/>
    <w:rsid w:val="740C19F2"/>
    <w:rsid w:val="745E02FE"/>
    <w:rsid w:val="74D6127F"/>
    <w:rsid w:val="759D47B7"/>
    <w:rsid w:val="76041CF0"/>
    <w:rsid w:val="77011C4E"/>
    <w:rsid w:val="77186469"/>
    <w:rsid w:val="77F79321"/>
    <w:rsid w:val="783148A6"/>
    <w:rsid w:val="78D72A20"/>
    <w:rsid w:val="78E178D3"/>
    <w:rsid w:val="7D7E4262"/>
    <w:rsid w:val="7D8C4624"/>
    <w:rsid w:val="7ED625A7"/>
    <w:rsid w:val="7EE24FEB"/>
    <w:rsid w:val="7F4D6CDA"/>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color w:val="FF0000"/>
    </w:rPr>
  </w:style>
  <w:style w:type="paragraph" w:styleId="5">
    <w:name w:val="Body Text Indent"/>
    <w:basedOn w:val="1"/>
    <w:qFormat/>
    <w:uiPriority w:val="0"/>
    <w:pPr>
      <w:spacing w:after="120"/>
      <w:ind w:left="420" w:leftChars="200"/>
    </w:pPr>
  </w:style>
  <w:style w:type="paragraph" w:styleId="6">
    <w:name w:val="Plain Text"/>
    <w:basedOn w:val="1"/>
    <w:qFormat/>
    <w:uiPriority w:val="99"/>
    <w:rPr>
      <w:rFonts w:ascii="宋体" w:hAnsi="Courier New"/>
    </w:rPr>
  </w:style>
  <w:style w:type="paragraph" w:styleId="7">
    <w:name w:val="Body Text Indent 2"/>
    <w:basedOn w:val="1"/>
    <w:qFormat/>
    <w:uiPriority w:val="0"/>
    <w:pPr>
      <w:spacing w:after="120" w:line="480" w:lineRule="auto"/>
      <w:ind w:left="200" w:leftChars="2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Body Text 2"/>
    <w:basedOn w:val="1"/>
    <w:next w:val="4"/>
    <w:qFormat/>
    <w:uiPriority w:val="0"/>
    <w:pPr>
      <w:adjustRightInd w:val="0"/>
      <w:spacing w:after="120" w:line="480" w:lineRule="auto"/>
      <w:textAlignment w:val="baseline"/>
    </w:pPr>
    <w:rPr>
      <w:rFonts w:ascii="Times New Roman" w:hAnsi="Times New Roman"/>
      <w:kern w:val="0"/>
      <w:sz w:val="20"/>
      <w:szCs w:val="20"/>
    </w:rPr>
  </w:style>
  <w:style w:type="paragraph" w:styleId="14">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5"/>
    <w:qFormat/>
    <w:uiPriority w:val="99"/>
    <w:pPr>
      <w:tabs>
        <w:tab w:val="left" w:pos="4606"/>
      </w:tabs>
      <w:ind w:firstLine="42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paragraph" w:customStyle="1" w:styleId="20">
    <w:name w:val="样式 标题 3 + (中文) 黑体 小四 非加粗 段前: 7.8 磅 段后: 0 磅 行距: 固定值 20 磅"/>
    <w:basedOn w:val="2"/>
    <w:qFormat/>
    <w:uiPriority w:val="0"/>
    <w:pPr>
      <w:tabs>
        <w:tab w:val="left" w:pos="425"/>
      </w:tabs>
      <w:spacing w:before="0" w:after="0" w:line="400" w:lineRule="exact"/>
    </w:pPr>
    <w:rPr>
      <w:rFonts w:ascii="Times New Roman" w:hAnsi="Times New Roman" w:eastAsia="黑体" w:cs="宋体"/>
      <w:kern w:val="2"/>
      <w:sz w:val="24"/>
      <w:szCs w:val="20"/>
    </w:rPr>
  </w:style>
  <w:style w:type="paragraph" w:customStyle="1" w:styleId="21">
    <w:name w:val="null3"/>
    <w:hidden/>
    <w:qFormat/>
    <w:uiPriority w:val="0"/>
    <w:rPr>
      <w:rFonts w:hint="eastAsia" w:asciiTheme="minorHAnsi" w:hAnsiTheme="minorHAnsi" w:eastAsiaTheme="minorEastAsia" w:cstheme="minorBidi"/>
      <w:lang w:val="en-US" w:eastAsia="zh-Hans"/>
    </w:rPr>
  </w:style>
  <w:style w:type="paragraph" w:customStyle="1" w:styleId="22">
    <w:name w:val="Fließtext"/>
    <w:basedOn w:val="1"/>
    <w:qFormat/>
    <w:uiPriority w:val="0"/>
    <w:pPr>
      <w:overflowPunct w:val="0"/>
      <w:autoSpaceDE w:val="0"/>
      <w:autoSpaceDN w:val="0"/>
      <w:adjustRightInd w:val="0"/>
      <w:textAlignment w:val="baseline"/>
    </w:pPr>
    <w:rPr>
      <w:kern w:val="28"/>
      <w:szCs w:val="20"/>
    </w:rPr>
  </w:style>
  <w:style w:type="paragraph" w:customStyle="1" w:styleId="23">
    <w:name w:val="Table Paragraph"/>
    <w:basedOn w:val="1"/>
    <w:qFormat/>
    <w:uiPriority w:val="1"/>
    <w:rPr>
      <w:rFonts w:ascii="宋体" w:hAnsi="宋体" w:cs="宋体"/>
      <w:lang w:val="zh-CN" w:bidi="zh-CN"/>
    </w:rPr>
  </w:style>
  <w:style w:type="paragraph" w:customStyle="1" w:styleId="24">
    <w:name w:val="正文 A"/>
    <w:qFormat/>
    <w:uiPriority w:val="0"/>
    <w:pPr>
      <w:widowControl w:val="0"/>
      <w:jc w:val="both"/>
    </w:pPr>
    <w:rPr>
      <w:rFonts w:ascii="Arial Unicode MS" w:hAnsi="Times New Roman" w:eastAsia="Arial Unicode MS" w:cs="Arial Unicode MS"/>
      <w:color w:val="000000"/>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2048</Words>
  <Characters>2279</Characters>
  <Lines>0</Lines>
  <Paragraphs>0</Paragraphs>
  <TotalTime>42</TotalTime>
  <ScaleCrop>false</ScaleCrop>
  <LinksUpToDate>false</LinksUpToDate>
  <CharactersWithSpaces>2362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陈风</cp:lastModifiedBy>
  <dcterms:modified xsi:type="dcterms:W3CDTF">2025-08-19T09:31:06Z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7F446CA337BB403095192DDD90362F3E_13</vt:lpwstr>
  </property>
  <property fmtid="{D5CDD505-2E9C-101B-9397-08002B2CF9AE}" pid="4" name="KSOTemplateDocerSaveRecord">
    <vt:lpwstr>eyJoZGlkIjoiZmI4NDg4MDhmOTAzYjc2N2EzMGNhNmQxM2I2MWY5MTciLCJ1c2VySWQiOiI0NjY2MzM0NTgifQ==</vt:lpwstr>
  </property>
</Properties>
</file>