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rPr>
          <w:rStyle w:val="37"/>
          <w:b w:val="0"/>
          <w:i w:val="0"/>
          <w:color w:val="auto"/>
        </w:rPr>
      </w:pPr>
      <w:bookmarkStart w:id="1254" w:name="_GoBack"/>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spacing w:line="240" w:lineRule="auto"/>
        <w:jc w:val="center"/>
        <w:rPr>
          <w:color w:val="auto"/>
          <w:sz w:val="52"/>
          <w:szCs w:val="52"/>
        </w:rPr>
      </w:pPr>
      <w:r>
        <w:rPr>
          <w:rFonts w:hint="eastAsia" w:ascii="Times New Roman" w:hAnsi="Times New Roman" w:eastAsia="方正小标宋简体" w:cs="Times New Roman"/>
          <w:color w:val="auto"/>
          <w:sz w:val="52"/>
          <w:szCs w:val="52"/>
        </w:rPr>
        <w:t>福建省水利工程电子招标投标</w:t>
      </w:r>
    </w:p>
    <w:p>
      <w:pPr>
        <w:spacing w:line="240" w:lineRule="auto"/>
        <w:jc w:val="center"/>
        <w:rPr>
          <w:rFonts w:ascii="Times New Roman" w:hAnsi="Times New Roman" w:eastAsia="方正小标宋简体" w:cs="Times New Roman"/>
          <w:color w:val="auto"/>
          <w:sz w:val="52"/>
          <w:szCs w:val="52"/>
        </w:rPr>
      </w:pPr>
      <w:r>
        <w:rPr>
          <w:rFonts w:hint="eastAsia" w:ascii="Times New Roman" w:hAnsi="Times New Roman" w:eastAsia="方正小标宋简体" w:cs="Times New Roman"/>
          <w:color w:val="auto"/>
          <w:sz w:val="52"/>
          <w:szCs w:val="52"/>
        </w:rPr>
        <w:t>施工招标文件示范文本</w:t>
      </w:r>
    </w:p>
    <w:p>
      <w:pPr>
        <w:spacing w:line="240" w:lineRule="auto"/>
        <w:jc w:val="center"/>
        <w:rPr>
          <w:rFonts w:hint="eastAsia"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(2018年版）</w:t>
      </w:r>
    </w:p>
    <w:p>
      <w:pPr>
        <w:spacing w:line="240" w:lineRule="auto"/>
        <w:jc w:val="center"/>
        <w:rPr>
          <w:rFonts w:hint="eastAsia" w:ascii="方正小标宋简体" w:hAnsi="Times New Roman" w:eastAsia="方正小标宋简体" w:cs="Times New Roman"/>
          <w:color w:val="auto"/>
          <w:sz w:val="32"/>
          <w:szCs w:val="32"/>
          <w:lang w:eastAsia="zh-CN"/>
        </w:rPr>
      </w:pPr>
      <w:r>
        <w:rPr>
          <w:rFonts w:hint="eastAsia" w:ascii="方正小标宋简体" w:hAnsi="Times New Roman" w:eastAsia="方正小标宋简体" w:cs="Times New Roman"/>
          <w:color w:val="auto"/>
          <w:sz w:val="32"/>
          <w:szCs w:val="32"/>
          <w:lang w:eastAsia="zh-CN"/>
        </w:rPr>
        <w:t>（征求意见稿）</w:t>
      </w:r>
    </w:p>
    <w:p>
      <w:pPr>
        <w:spacing w:line="240" w:lineRule="auto"/>
        <w:jc w:val="center"/>
        <w:rPr>
          <w:rFonts w:hint="eastAsia" w:ascii="方正小标宋简体" w:hAnsi="Times New Roman" w:eastAsia="方正小标宋简体" w:cs="Times New Roman"/>
          <w:color w:val="auto"/>
          <w:sz w:val="32"/>
          <w:szCs w:val="32"/>
          <w:lang w:eastAsia="zh-CN"/>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spacing w:line="240" w:lineRule="auto"/>
        <w:jc w:val="center"/>
        <w:rPr>
          <w:rFonts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福 建 省 水 利 厅</w:t>
      </w:r>
    </w:p>
    <w:p>
      <w:pPr>
        <w:spacing w:line="240" w:lineRule="auto"/>
        <w:jc w:val="center"/>
        <w:rPr>
          <w:rFonts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2018年  月</w:t>
      </w:r>
    </w:p>
    <w:p>
      <w:pPr>
        <w:jc w:val="center"/>
        <w:rPr>
          <w:rFonts w:ascii="Times New Roman" w:hAnsi="Times New Roman" w:eastAsia="方正小标宋简体" w:cs="Times New Roman"/>
          <w:color w:val="auto"/>
          <w:sz w:val="36"/>
          <w:szCs w:val="36"/>
        </w:rPr>
      </w:pPr>
    </w:p>
    <w:p>
      <w:pPr>
        <w:widowControl/>
        <w:shd w:val="clear" w:color="auto" w:fill="FFFFFF"/>
        <w:snapToGrid w:val="0"/>
        <w:ind w:firstLine="723" w:firstLineChars="200"/>
        <w:jc w:val="center"/>
        <w:rPr>
          <w:b/>
          <w:color w:val="auto"/>
          <w:sz w:val="36"/>
          <w:szCs w:val="36"/>
        </w:rPr>
      </w:pPr>
      <w:r>
        <w:rPr>
          <w:rFonts w:hint="eastAsia"/>
          <w:b/>
          <w:color w:val="auto"/>
          <w:sz w:val="36"/>
          <w:szCs w:val="36"/>
        </w:rPr>
        <w:t>使用说明</w:t>
      </w:r>
    </w:p>
    <w:p>
      <w:pPr>
        <w:widowControl/>
        <w:shd w:val="clear" w:color="auto" w:fill="FFFFFF"/>
        <w:snapToGrid w:val="0"/>
        <w:ind w:firstLine="420" w:firstLineChars="200"/>
        <w:rPr>
          <w:color w:val="auto"/>
          <w:szCs w:val="21"/>
        </w:rPr>
      </w:pPr>
    </w:p>
    <w:p>
      <w:pPr>
        <w:widowControl/>
        <w:shd w:val="clear" w:color="auto" w:fill="FFFFFF"/>
        <w:snapToGrid w:val="0"/>
        <w:ind w:firstLine="420" w:firstLineChars="200"/>
        <w:rPr>
          <w:color w:val="auto"/>
          <w:szCs w:val="21"/>
        </w:rPr>
      </w:pPr>
      <w:r>
        <w:rPr>
          <w:rFonts w:hint="eastAsia"/>
          <w:color w:val="auto"/>
          <w:szCs w:val="21"/>
        </w:rPr>
        <w:t>一、《福建省水利工程电子招标投标施工招标文件示范文本》（以下简称《施工招标文件》）是根据中华人民共和国《标准施工招标文件》(2007年版)、中华人民共和国水利部《水利水电工程标准施工招标文件》（2009年版）和中华人民共和国国家发展和改革委员会第20号令《电子招标投标办法》，结合我省实际情况编制的，适用于福建省行政区域内依法必须进行招标的水利工程施工电子招标。</w:t>
      </w:r>
    </w:p>
    <w:p>
      <w:pPr>
        <w:widowControl/>
        <w:shd w:val="clear" w:color="auto" w:fill="FFFFFF"/>
        <w:snapToGrid w:val="0"/>
        <w:ind w:firstLine="420" w:firstLineChars="200"/>
        <w:rPr>
          <w:color w:val="auto"/>
          <w:szCs w:val="21"/>
        </w:rPr>
      </w:pPr>
      <w:r>
        <w:rPr>
          <w:rFonts w:hint="eastAsia"/>
          <w:color w:val="auto"/>
          <w:szCs w:val="21"/>
        </w:rPr>
        <w:t>二、《施工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color w:val="auto"/>
          <w:szCs w:val="21"/>
        </w:rPr>
      </w:pPr>
      <w:r>
        <w:rPr>
          <w:rFonts w:hint="eastAsia"/>
          <w:color w:val="auto"/>
          <w:szCs w:val="21"/>
        </w:rPr>
        <w:t>三、招标人按照《施工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rPr>
          <w:color w:val="auto"/>
          <w:szCs w:val="21"/>
        </w:rPr>
      </w:pPr>
      <w:r>
        <w:rPr>
          <w:rFonts w:hint="eastAsia"/>
          <w:color w:val="auto"/>
          <w:szCs w:val="21"/>
        </w:rPr>
        <w:t>四、《施工招标文件》第三章“评标办法”分别规定综合评估法和经评审的最低投标价法两种评标方法，供招标人根据招标项目具体特点和实际需要选择适用。“评标办法”前附表应列明全部评审因素和评审标准，并在本章前附表标明投标人不满足要求即否决其投标的全部条款。</w:t>
      </w:r>
    </w:p>
    <w:p>
      <w:pPr>
        <w:widowControl/>
        <w:shd w:val="clear" w:color="auto" w:fill="FFFFFF"/>
        <w:snapToGrid w:val="0"/>
        <w:ind w:firstLine="420" w:firstLineChars="200"/>
        <w:rPr>
          <w:color w:val="auto"/>
          <w:szCs w:val="21"/>
        </w:rPr>
      </w:pPr>
      <w:r>
        <w:rPr>
          <w:rFonts w:hint="eastAsia"/>
          <w:color w:val="auto"/>
          <w:szCs w:val="21"/>
        </w:rPr>
        <w:t>五、第五章工程量清单系参照福建省水利厅颁布的《福建省水利水电工程设计概（估）算编制规定》（闽水计财[2011]98号）编写，供招标人参考。招标人使用中，应注意与“投标人须知”、“通用合同条款”、“专用合同条款”、“技术标准和要求（合同技术条款）”、“图纸（招标图纸）”相衔接。</w:t>
      </w:r>
    </w:p>
    <w:p>
      <w:pPr>
        <w:widowControl/>
        <w:shd w:val="clear" w:color="auto" w:fill="FFFFFF"/>
        <w:snapToGrid w:val="0"/>
        <w:ind w:firstLine="420" w:firstLineChars="200"/>
        <w:rPr>
          <w:color w:val="auto"/>
          <w:szCs w:val="21"/>
        </w:rPr>
      </w:pPr>
      <w:r>
        <w:rPr>
          <w:rFonts w:hint="eastAsia"/>
          <w:color w:val="auto"/>
          <w:szCs w:val="21"/>
        </w:rPr>
        <w:t>六、第六章图纸（招标图纸）提出了图纸有关要求。招标人应根据招标项目具体特点和实际需要，参考本章要求编制，但应注意与“投标人须知”、“通用合同条款”、“专用合同条款”、“技术标准和要求（合同技术条款）”相衔接。</w:t>
      </w:r>
    </w:p>
    <w:p>
      <w:pPr>
        <w:widowControl/>
        <w:shd w:val="clear" w:color="auto" w:fill="FFFFFF"/>
        <w:snapToGrid w:val="0"/>
        <w:ind w:firstLine="420" w:firstLineChars="200"/>
        <w:rPr>
          <w:color w:val="auto"/>
          <w:szCs w:val="21"/>
        </w:rPr>
      </w:pPr>
      <w:r>
        <w:rPr>
          <w:rFonts w:hint="eastAsia"/>
          <w:color w:val="auto"/>
          <w:szCs w:val="21"/>
        </w:rPr>
        <w:t>七、第七章技术标准和要求（合同技术条款）供参考，招标人可根据招标项目具体特点和实际需要进行修改和补充，但应注意与“通用合同条款”、“专用合同条款”、“工程量清单”相衔接。“技术标准和要求（合同技术条款）”应符合国家强制性标准，不得要求或标明某一特定的专利、商标、名称、设计、原产地或生产供应者，不得含有倾向或者排斥投标人的其它内容。如果必须引用某一生产供应者的技术标准才能准确或清楚地说明拟招标项目的技术标准时，则应当采用“参照或相当于×××技术标准”字样。“技术标准和要求（合同技术条款）”有关竣工验收（验收）以及质量评定与第四章“合同条款及格式”相关条款不一致时，以第四章“合同条款及格式”中采用的有关条款为准。</w:t>
      </w:r>
    </w:p>
    <w:p>
      <w:pPr>
        <w:widowControl/>
        <w:shd w:val="clear" w:color="auto" w:fill="FFFFFF"/>
        <w:snapToGrid w:val="0"/>
        <w:ind w:firstLine="420" w:firstLineChars="200"/>
        <w:rPr>
          <w:color w:val="auto"/>
          <w:szCs w:val="21"/>
        </w:rPr>
      </w:pPr>
      <w:r>
        <w:rPr>
          <w:rFonts w:hint="eastAsia"/>
          <w:color w:val="auto"/>
          <w:szCs w:val="21"/>
        </w:rPr>
        <w:t>八、第八章投标文件格式系参照福建省水利厅颁布的《福建省水利水电工程设计概（估）算编制规定》（闽水计财[2011]98号）设计的，供招标人参考使用。</w:t>
      </w:r>
    </w:p>
    <w:p>
      <w:pPr>
        <w:widowControl/>
        <w:shd w:val="clear" w:color="auto" w:fill="FFFFFF"/>
        <w:snapToGrid w:val="0"/>
        <w:ind w:firstLine="420" w:firstLineChars="200"/>
        <w:rPr>
          <w:color w:val="auto"/>
          <w:szCs w:val="21"/>
        </w:rPr>
      </w:pPr>
      <w:r>
        <w:rPr>
          <w:rFonts w:hint="eastAsia"/>
          <w:color w:val="auto"/>
          <w:szCs w:val="21"/>
        </w:rPr>
        <w:t>九、各使用单位或个人对《施工招标文件》的修改意见和建议，可向福建省水利厅建设与管理处反映。</w:t>
      </w:r>
    </w:p>
    <w:p>
      <w:pPr>
        <w:widowControl/>
        <w:shd w:val="clear" w:color="auto" w:fill="FFFFFF"/>
        <w:snapToGrid w:val="0"/>
        <w:ind w:firstLine="420" w:firstLineChars="200"/>
        <w:rPr>
          <w:color w:val="auto"/>
          <w:szCs w:val="21"/>
        </w:rPr>
      </w:pPr>
      <w:r>
        <w:rPr>
          <w:rFonts w:hint="eastAsia"/>
          <w:color w:val="auto"/>
          <w:szCs w:val="21"/>
        </w:rPr>
        <w:t>联系电话：（0591）87532143</w:t>
      </w: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482" w:firstLineChars="200"/>
        <w:rPr>
          <w:b/>
          <w:color w:val="auto"/>
          <w:sz w:val="24"/>
          <w:szCs w:val="24"/>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723" w:firstLineChars="200"/>
        <w:jc w:val="center"/>
        <w:rPr>
          <w:b/>
          <w:color w:val="auto"/>
          <w:sz w:val="36"/>
          <w:szCs w:val="36"/>
        </w:rPr>
      </w:pPr>
      <w:r>
        <w:rPr>
          <w:rFonts w:hint="eastAsia"/>
          <w:b/>
          <w:color w:val="auto"/>
          <w:sz w:val="36"/>
          <w:szCs w:val="36"/>
        </w:rPr>
        <w:t>________（项目名称）_______（标段名称）施工</w:t>
      </w:r>
    </w:p>
    <w:p>
      <w:pPr>
        <w:widowControl/>
        <w:shd w:val="clear" w:color="auto" w:fill="FFFFFF"/>
        <w:snapToGrid w:val="0"/>
        <w:ind w:firstLine="643" w:firstLineChars="200"/>
        <w:jc w:val="center"/>
        <w:rPr>
          <w:b/>
          <w:color w:val="auto"/>
          <w:sz w:val="32"/>
          <w:szCs w:val="32"/>
        </w:rPr>
      </w:pPr>
      <w:r>
        <w:rPr>
          <w:rFonts w:hint="eastAsia"/>
          <w:b/>
          <w:color w:val="auto"/>
          <w:sz w:val="32"/>
          <w:szCs w:val="32"/>
        </w:rPr>
        <w:t>（报建编号：___________招标编号：___________）</w:t>
      </w: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1044" w:firstLineChars="200"/>
        <w:jc w:val="center"/>
        <w:rPr>
          <w:b/>
          <w:color w:val="auto"/>
          <w:sz w:val="52"/>
          <w:szCs w:val="52"/>
        </w:rPr>
      </w:pPr>
      <w:r>
        <w:rPr>
          <w:rFonts w:hint="eastAsia"/>
          <w:b/>
          <w:color w:val="auto"/>
          <w:sz w:val="52"/>
          <w:szCs w:val="52"/>
        </w:rPr>
        <w:t>招标文件</w:t>
      </w: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643" w:firstLineChars="200"/>
        <w:jc w:val="center"/>
        <w:rPr>
          <w:b/>
          <w:color w:val="auto"/>
          <w:sz w:val="32"/>
          <w:szCs w:val="32"/>
        </w:rPr>
      </w:pPr>
      <w:r>
        <w:rPr>
          <w:rFonts w:hint="eastAsia"/>
          <w:b/>
          <w:color w:val="auto"/>
          <w:sz w:val="32"/>
          <w:szCs w:val="32"/>
        </w:rPr>
        <w:t>招标人：_____________（盖单位章）</w:t>
      </w:r>
    </w:p>
    <w:p>
      <w:pPr>
        <w:widowControl/>
        <w:shd w:val="clear" w:color="auto" w:fill="FFFFFF"/>
        <w:snapToGrid w:val="0"/>
        <w:ind w:firstLine="643" w:firstLineChars="200"/>
        <w:jc w:val="center"/>
        <w:rPr>
          <w:b/>
          <w:color w:val="auto"/>
          <w:sz w:val="32"/>
          <w:szCs w:val="32"/>
        </w:rPr>
      </w:pPr>
      <w:r>
        <w:rPr>
          <w:rFonts w:hint="eastAsia"/>
          <w:b/>
          <w:color w:val="auto"/>
          <w:sz w:val="32"/>
          <w:szCs w:val="32"/>
        </w:rPr>
        <w:t>招标代理机构：_____________（盖单位章）</w:t>
      </w: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28"/>
          <w:szCs w:val="28"/>
        </w:rPr>
      </w:pPr>
      <w:r>
        <w:rPr>
          <w:rFonts w:hint="eastAsia"/>
          <w:b/>
          <w:color w:val="auto"/>
          <w:sz w:val="32"/>
          <w:szCs w:val="32"/>
          <w:u w:val="single"/>
        </w:rPr>
        <w:t>______</w:t>
      </w:r>
      <w:r>
        <w:rPr>
          <w:rFonts w:hint="eastAsia"/>
          <w:b/>
          <w:color w:val="auto"/>
          <w:sz w:val="32"/>
          <w:szCs w:val="32"/>
        </w:rPr>
        <w:t>年____月____日</w:t>
      </w: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sectPr>
          <w:footerReference r:id="rId3" w:type="default"/>
          <w:pgSz w:w="11906" w:h="16838"/>
          <w:pgMar w:top="1440" w:right="1531" w:bottom="1440" w:left="1531" w:header="851" w:footer="992" w:gutter="0"/>
          <w:cols w:space="425" w:num="1"/>
          <w:docGrid w:type="lines" w:linePitch="312" w:charSpace="0"/>
        </w:sectPr>
      </w:pPr>
    </w:p>
    <w:p>
      <w:pPr>
        <w:widowControl/>
        <w:shd w:val="clear" w:color="auto" w:fill="FFFFFF"/>
        <w:snapToGrid w:val="0"/>
        <w:ind w:firstLine="723" w:firstLineChars="200"/>
        <w:jc w:val="center"/>
        <w:rPr>
          <w:b/>
          <w:color w:val="auto"/>
          <w:sz w:val="36"/>
          <w:szCs w:val="36"/>
        </w:rPr>
      </w:pPr>
      <w:r>
        <w:rPr>
          <w:rFonts w:hint="eastAsia"/>
          <w:b/>
          <w:color w:val="auto"/>
          <w:sz w:val="36"/>
          <w:szCs w:val="36"/>
        </w:rPr>
        <w:t>目 录</w:t>
      </w:r>
    </w:p>
    <w:p>
      <w:pPr>
        <w:pStyle w:val="25"/>
        <w:tabs>
          <w:tab w:val="right" w:leader="dot" w:pos="8834"/>
        </w:tabs>
        <w:rPr>
          <w:rFonts w:asciiTheme="minorEastAsia" w:hAnsiTheme="minorEastAsia" w:cstheme="minorBidi"/>
          <w:b w:val="0"/>
          <w:bCs w:val="0"/>
          <w:caps w:val="0"/>
          <w:color w:val="auto"/>
          <w:sz w:val="21"/>
          <w:szCs w:val="21"/>
        </w:rPr>
      </w:pPr>
      <w:r>
        <w:rPr>
          <w:rFonts w:asciiTheme="minorEastAsia" w:hAnsiTheme="minorEastAsia"/>
          <w:b w:val="0"/>
          <w:bCs w:val="0"/>
          <w:caps w:val="0"/>
          <w:color w:val="auto"/>
          <w:szCs w:val="21"/>
        </w:rPr>
        <w:fldChar w:fldCharType="begin"/>
      </w:r>
      <w:r>
        <w:rPr>
          <w:rFonts w:asciiTheme="minorEastAsia" w:hAnsiTheme="minorEastAsia"/>
          <w:b w:val="0"/>
          <w:bCs w:val="0"/>
          <w:caps w:val="0"/>
          <w:color w:val="auto"/>
          <w:szCs w:val="21"/>
        </w:rPr>
        <w:instrText xml:space="preserve"> TOC \o "1-3" \h \z \u </w:instrText>
      </w:r>
      <w:r>
        <w:rPr>
          <w:rFonts w:asciiTheme="minorEastAsia" w:hAnsiTheme="minorEastAsia"/>
          <w:b w:val="0"/>
          <w:bCs w:val="0"/>
          <w:caps w:val="0"/>
          <w:color w:val="auto"/>
          <w:szCs w:val="21"/>
        </w:rPr>
        <w:fldChar w:fldCharType="separate"/>
      </w:r>
      <w:r>
        <w:rPr>
          <w:color w:val="auto"/>
        </w:rPr>
        <w:fldChar w:fldCharType="begin"/>
      </w:r>
      <w:r>
        <w:rPr>
          <w:color w:val="auto"/>
        </w:rPr>
        <w:instrText xml:space="preserve"> HYPERLINK \l "_Toc516816225" </w:instrText>
      </w:r>
      <w:r>
        <w:rPr>
          <w:color w:val="auto"/>
        </w:rPr>
        <w:fldChar w:fldCharType="separate"/>
      </w:r>
      <w:r>
        <w:rPr>
          <w:rStyle w:val="38"/>
          <w:rFonts w:hint="eastAsia" w:asciiTheme="minorEastAsia" w:hAnsiTheme="minorEastAsia" w:eastAsiaTheme="minorEastAsia"/>
          <w:color w:val="auto"/>
        </w:rPr>
        <w:t>第一卷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_Toc516816225 \h </w:instrText>
      </w:r>
      <w:r>
        <w:rPr>
          <w:rFonts w:asciiTheme="minorEastAsia" w:hAnsiTheme="minorEastAsia"/>
          <w:color w:val="auto"/>
          <w:sz w:val="21"/>
          <w:szCs w:val="21"/>
        </w:rPr>
        <w:fldChar w:fldCharType="separate"/>
      </w:r>
      <w:r>
        <w:rPr>
          <w:rFonts w:asciiTheme="minorEastAsia" w:hAnsiTheme="minorEastAsia"/>
          <w:color w:val="auto"/>
          <w:sz w:val="21"/>
          <w:szCs w:val="21"/>
        </w:rPr>
        <w:t>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"_Toc516816226" </w:instrText>
      </w:r>
      <w:r>
        <w:rPr>
          <w:color w:val="auto"/>
        </w:rPr>
        <w:fldChar w:fldCharType="separate"/>
      </w:r>
      <w:r>
        <w:rPr>
          <w:rStyle w:val="38"/>
          <w:rFonts w:hint="eastAsia" w:asciiTheme="minorEastAsia" w:hAnsiTheme="minorEastAsia" w:eastAsiaTheme="minorEastAsia"/>
          <w:color w:val="auto"/>
        </w:rPr>
        <w:t>第一章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招标公告（适用于公开招标）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_Toc516816226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"_Toc516816227"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招标条件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_Toc516816227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"_Toc516816228"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项目概况与招标范围</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_Toc516816228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"_Toc516816229"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投标人资格要求及审查办法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_Toc516816229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"_Toc516816230" </w:instrText>
      </w:r>
      <w:r>
        <w:rPr>
          <w:color w:val="auto"/>
        </w:rPr>
        <w:fldChar w:fldCharType="separate"/>
      </w:r>
      <w:r>
        <w:rPr>
          <w:rStyle w:val="38"/>
          <w:rFonts w:asciiTheme="minorEastAsia" w:hAnsiTheme="minorEastAsia" w:eastAsiaTheme="minorEastAsia"/>
          <w:color w:val="auto"/>
        </w:rPr>
        <w:t xml:space="preserve">4. </w:t>
      </w:r>
      <w:r>
        <w:rPr>
          <w:rStyle w:val="38"/>
          <w:rFonts w:hint="eastAsia" w:asciiTheme="minorEastAsia" w:hAnsiTheme="minorEastAsia" w:eastAsiaTheme="minorEastAsia"/>
          <w:color w:val="auto"/>
        </w:rPr>
        <w:t>招标文件的获取</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_Toc516816230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"_Toc516816231" </w:instrText>
      </w:r>
      <w:r>
        <w:rPr>
          <w:color w:val="auto"/>
        </w:rPr>
        <w:fldChar w:fldCharType="separate"/>
      </w:r>
      <w:r>
        <w:rPr>
          <w:rStyle w:val="38"/>
          <w:rFonts w:asciiTheme="minorEastAsia" w:hAnsiTheme="minorEastAsia" w:eastAsiaTheme="minorEastAsia"/>
          <w:color w:val="auto"/>
        </w:rPr>
        <w:t xml:space="preserve">5. </w:t>
      </w:r>
      <w:r>
        <w:rPr>
          <w:rStyle w:val="38"/>
          <w:rFonts w:hint="eastAsia" w:asciiTheme="minorEastAsia" w:hAnsiTheme="minorEastAsia" w:eastAsiaTheme="minorEastAsia"/>
          <w:color w:val="auto"/>
        </w:rPr>
        <w:t>投标文件的递交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_Toc516816231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"_Toc516816232" </w:instrText>
      </w:r>
      <w:r>
        <w:rPr>
          <w:color w:val="auto"/>
        </w:rPr>
        <w:fldChar w:fldCharType="separate"/>
      </w:r>
      <w:r>
        <w:rPr>
          <w:rStyle w:val="38"/>
          <w:rFonts w:asciiTheme="minorEastAsia" w:hAnsiTheme="minorEastAsia" w:eastAsiaTheme="minorEastAsia"/>
          <w:color w:val="auto"/>
        </w:rPr>
        <w:t xml:space="preserve">6. </w:t>
      </w:r>
      <w:r>
        <w:rPr>
          <w:rStyle w:val="38"/>
          <w:rFonts w:hint="eastAsia" w:asciiTheme="minorEastAsia" w:hAnsiTheme="minorEastAsia" w:eastAsiaTheme="minorEastAsia"/>
          <w:color w:val="auto"/>
        </w:rPr>
        <w:t>发布公告的媒介</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_Toc516816232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"_Toc516816233" </w:instrText>
      </w:r>
      <w:r>
        <w:rPr>
          <w:color w:val="auto"/>
        </w:rPr>
        <w:fldChar w:fldCharType="separate"/>
      </w:r>
      <w:r>
        <w:rPr>
          <w:rStyle w:val="38"/>
          <w:rFonts w:asciiTheme="minorEastAsia" w:hAnsiTheme="minorEastAsia" w:eastAsiaTheme="minorEastAsia"/>
          <w:color w:val="auto"/>
        </w:rPr>
        <w:t xml:space="preserve">7. </w:t>
      </w:r>
      <w:r>
        <w:rPr>
          <w:rStyle w:val="38"/>
          <w:rFonts w:hint="eastAsia" w:asciiTheme="minorEastAsia" w:hAnsiTheme="minorEastAsia" w:eastAsiaTheme="minorEastAsia"/>
          <w:color w:val="auto"/>
        </w:rPr>
        <w:t>联系方式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_Toc516816233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"_Toc516816234" </w:instrText>
      </w:r>
      <w:r>
        <w:rPr>
          <w:color w:val="auto"/>
        </w:rPr>
        <w:fldChar w:fldCharType="separate"/>
      </w:r>
      <w:r>
        <w:rPr>
          <w:rStyle w:val="38"/>
          <w:rFonts w:hint="eastAsia" w:asciiTheme="minorEastAsia" w:hAnsiTheme="minorEastAsia" w:eastAsiaTheme="minorEastAsia"/>
          <w:color w:val="auto"/>
        </w:rPr>
        <w:t>第一章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投标邀请书（适用于邀请招标）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_Toc516816234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"_Toc516816235"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招标条件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_Toc516816235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"_Toc516816236"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项目概况与招标范围</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_Toc516816236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"_Toc516816237"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投标人资格要求及审查办法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_Toc516816237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"_Toc516816238" </w:instrText>
      </w:r>
      <w:r>
        <w:rPr>
          <w:color w:val="auto"/>
        </w:rPr>
        <w:fldChar w:fldCharType="separate"/>
      </w:r>
      <w:r>
        <w:rPr>
          <w:rStyle w:val="38"/>
          <w:rFonts w:asciiTheme="minorEastAsia" w:hAnsiTheme="minorEastAsia" w:eastAsiaTheme="minorEastAsia"/>
          <w:color w:val="auto"/>
        </w:rPr>
        <w:t xml:space="preserve">4. </w:t>
      </w:r>
      <w:r>
        <w:rPr>
          <w:rStyle w:val="38"/>
          <w:rFonts w:hint="eastAsia" w:asciiTheme="minorEastAsia" w:hAnsiTheme="minorEastAsia" w:eastAsiaTheme="minorEastAsia"/>
          <w:color w:val="auto"/>
        </w:rPr>
        <w:t>招标文件的获取</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_Toc516816238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"_Toc516816239" </w:instrText>
      </w:r>
      <w:r>
        <w:rPr>
          <w:color w:val="auto"/>
        </w:rPr>
        <w:fldChar w:fldCharType="separate"/>
      </w:r>
      <w:r>
        <w:rPr>
          <w:rStyle w:val="38"/>
          <w:rFonts w:asciiTheme="minorEastAsia" w:hAnsiTheme="minorEastAsia" w:eastAsiaTheme="minorEastAsia"/>
          <w:color w:val="auto"/>
        </w:rPr>
        <w:t xml:space="preserve">5. </w:t>
      </w:r>
      <w:r>
        <w:rPr>
          <w:rStyle w:val="38"/>
          <w:rFonts w:hint="eastAsia" w:asciiTheme="minorEastAsia" w:hAnsiTheme="minorEastAsia" w:eastAsiaTheme="minorEastAsia"/>
          <w:color w:val="auto"/>
        </w:rPr>
        <w:t>投标文件的递交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_Toc516816239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"_Toc516816240" </w:instrText>
      </w:r>
      <w:r>
        <w:rPr>
          <w:color w:val="auto"/>
        </w:rPr>
        <w:fldChar w:fldCharType="separate"/>
      </w:r>
      <w:r>
        <w:rPr>
          <w:rStyle w:val="38"/>
          <w:rFonts w:asciiTheme="minorEastAsia" w:hAnsiTheme="minorEastAsia" w:eastAsiaTheme="minorEastAsia"/>
          <w:color w:val="auto"/>
        </w:rPr>
        <w:t xml:space="preserve">6. </w:t>
      </w:r>
      <w:r>
        <w:rPr>
          <w:rStyle w:val="38"/>
          <w:rFonts w:hint="eastAsia" w:asciiTheme="minorEastAsia" w:hAnsiTheme="minorEastAsia" w:eastAsiaTheme="minorEastAsia"/>
          <w:color w:val="auto"/>
        </w:rPr>
        <w:t>确认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_Toc516816240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"_Toc516816241" </w:instrText>
      </w:r>
      <w:r>
        <w:rPr>
          <w:color w:val="auto"/>
        </w:rPr>
        <w:fldChar w:fldCharType="separate"/>
      </w:r>
      <w:r>
        <w:rPr>
          <w:rStyle w:val="38"/>
          <w:rFonts w:asciiTheme="minorEastAsia" w:hAnsiTheme="minorEastAsia" w:eastAsiaTheme="minorEastAsia"/>
          <w:color w:val="auto"/>
        </w:rPr>
        <w:t xml:space="preserve">7. </w:t>
      </w:r>
      <w:r>
        <w:rPr>
          <w:rStyle w:val="38"/>
          <w:rFonts w:hint="eastAsia" w:asciiTheme="minorEastAsia" w:hAnsiTheme="minorEastAsia" w:eastAsiaTheme="minorEastAsia"/>
          <w:color w:val="auto"/>
        </w:rPr>
        <w:t>联系方式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_Toc516816241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"_Toc516816242" </w:instrText>
      </w:r>
      <w:r>
        <w:rPr>
          <w:color w:val="auto"/>
        </w:rPr>
        <w:fldChar w:fldCharType="separate"/>
      </w:r>
      <w:r>
        <w:rPr>
          <w:rStyle w:val="38"/>
          <w:rFonts w:hint="eastAsia" w:asciiTheme="minorEastAsia" w:hAnsiTheme="minorEastAsia" w:eastAsiaTheme="minorEastAsia"/>
          <w:color w:val="auto"/>
        </w:rPr>
        <w:t>附件：确认通知（格式）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_Toc516816242 \h </w:instrText>
      </w:r>
      <w:r>
        <w:rPr>
          <w:rFonts w:asciiTheme="minorEastAsia" w:hAnsiTheme="minorEastAsia"/>
          <w:color w:val="auto"/>
          <w:sz w:val="21"/>
          <w:szCs w:val="21"/>
        </w:rPr>
        <w:fldChar w:fldCharType="separate"/>
      </w:r>
      <w:r>
        <w:rPr>
          <w:rFonts w:asciiTheme="minorEastAsia" w:hAnsiTheme="minorEastAsia"/>
          <w:color w:val="auto"/>
          <w:sz w:val="21"/>
          <w:szCs w:val="21"/>
        </w:rPr>
        <w:t>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"_Toc516816243" </w:instrText>
      </w:r>
      <w:r>
        <w:rPr>
          <w:color w:val="auto"/>
        </w:rPr>
        <w:fldChar w:fldCharType="separate"/>
      </w:r>
      <w:r>
        <w:rPr>
          <w:rStyle w:val="38"/>
          <w:rFonts w:hint="eastAsia" w:asciiTheme="minorEastAsia" w:hAnsiTheme="minorEastAsia" w:eastAsiaTheme="minorEastAsia"/>
          <w:color w:val="auto"/>
        </w:rPr>
        <w:t>第二章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投标人须知</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_Toc516816243 \h </w:instrText>
      </w:r>
      <w:r>
        <w:rPr>
          <w:rFonts w:asciiTheme="minorEastAsia" w:hAnsiTheme="minorEastAsia"/>
          <w:color w:val="auto"/>
          <w:sz w:val="21"/>
          <w:szCs w:val="21"/>
        </w:rPr>
        <w:fldChar w:fldCharType="separate"/>
      </w:r>
      <w:r>
        <w:rPr>
          <w:rFonts w:asciiTheme="minorEastAsia" w:hAnsiTheme="minorEastAsia"/>
          <w:color w:val="auto"/>
          <w:sz w:val="21"/>
          <w:szCs w:val="21"/>
        </w:rPr>
        <w:t>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"_Toc516816244" </w:instrText>
      </w:r>
      <w:r>
        <w:rPr>
          <w:color w:val="auto"/>
        </w:rPr>
        <w:fldChar w:fldCharType="separate"/>
      </w:r>
      <w:r>
        <w:rPr>
          <w:rStyle w:val="38"/>
          <w:rFonts w:hint="eastAsia" w:asciiTheme="minorEastAsia" w:hAnsiTheme="minorEastAsia" w:eastAsiaTheme="minorEastAsia"/>
          <w:color w:val="auto"/>
        </w:rPr>
        <w:t>投标人须知前附表</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_Toc516816244 \h </w:instrText>
      </w:r>
      <w:r>
        <w:rPr>
          <w:rFonts w:asciiTheme="minorEastAsia" w:hAnsiTheme="minorEastAsia"/>
          <w:color w:val="auto"/>
          <w:sz w:val="21"/>
          <w:szCs w:val="21"/>
        </w:rPr>
        <w:fldChar w:fldCharType="separate"/>
      </w:r>
      <w:r>
        <w:rPr>
          <w:rFonts w:asciiTheme="minorEastAsia" w:hAnsiTheme="minorEastAsia"/>
          <w:color w:val="auto"/>
          <w:sz w:val="21"/>
          <w:szCs w:val="21"/>
        </w:rPr>
        <w:t>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"_Toc516816245"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总则</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_Toc516816245 \h </w:instrText>
      </w:r>
      <w:r>
        <w:rPr>
          <w:rFonts w:asciiTheme="minorEastAsia" w:hAnsiTheme="minorEastAsia"/>
          <w:color w:val="auto"/>
          <w:sz w:val="21"/>
          <w:szCs w:val="21"/>
        </w:rPr>
        <w:fldChar w:fldCharType="separate"/>
      </w:r>
      <w:r>
        <w:rPr>
          <w:rFonts w:asciiTheme="minorEastAsia" w:hAnsiTheme="minorEastAsia"/>
          <w:color w:val="auto"/>
          <w:sz w:val="21"/>
          <w:szCs w:val="21"/>
        </w:rPr>
        <w:t>18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"_Toc516816246" </w:instrText>
      </w:r>
      <w:r>
        <w:rPr>
          <w:color w:val="auto"/>
        </w:rPr>
        <w:fldChar w:fldCharType="separate"/>
      </w:r>
      <w:r>
        <w:rPr>
          <w:rStyle w:val="38"/>
          <w:rFonts w:asciiTheme="minorEastAsia" w:hAnsiTheme="minorEastAsia" w:eastAsiaTheme="minorEastAsia"/>
          <w:i w:val="0"/>
          <w:color w:val="auto"/>
        </w:rPr>
        <w:t xml:space="preserve">1.1 </w:t>
      </w:r>
      <w:r>
        <w:rPr>
          <w:rStyle w:val="38"/>
          <w:rFonts w:hint="eastAsia" w:asciiTheme="minorEastAsia" w:hAnsiTheme="minorEastAsia" w:eastAsiaTheme="minorEastAsia"/>
          <w:i w:val="0"/>
          <w:color w:val="auto"/>
        </w:rPr>
        <w:t>招标项目概况</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_Toc516816246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"_Toc516816247" </w:instrText>
      </w:r>
      <w:r>
        <w:rPr>
          <w:color w:val="auto"/>
        </w:rPr>
        <w:fldChar w:fldCharType="separate"/>
      </w:r>
      <w:r>
        <w:rPr>
          <w:rStyle w:val="38"/>
          <w:rFonts w:asciiTheme="minorEastAsia" w:hAnsiTheme="minorEastAsia" w:eastAsiaTheme="minorEastAsia"/>
          <w:i w:val="0"/>
          <w:color w:val="auto"/>
        </w:rPr>
        <w:t xml:space="preserve">1.2 </w:t>
      </w:r>
      <w:r>
        <w:rPr>
          <w:rStyle w:val="38"/>
          <w:rFonts w:hint="eastAsia" w:asciiTheme="minorEastAsia" w:hAnsiTheme="minorEastAsia" w:eastAsiaTheme="minorEastAsia"/>
          <w:i w:val="0"/>
          <w:color w:val="auto"/>
        </w:rPr>
        <w:t>招标项目的资金来源和落实情况</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_Toc516816247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"_Toc516816248" </w:instrText>
      </w:r>
      <w:r>
        <w:rPr>
          <w:color w:val="auto"/>
        </w:rPr>
        <w:fldChar w:fldCharType="separate"/>
      </w:r>
      <w:r>
        <w:rPr>
          <w:rStyle w:val="38"/>
          <w:rFonts w:asciiTheme="minorEastAsia" w:hAnsiTheme="minorEastAsia" w:eastAsiaTheme="minorEastAsia"/>
          <w:i w:val="0"/>
          <w:color w:val="auto"/>
        </w:rPr>
        <w:t xml:space="preserve">1.3 </w:t>
      </w:r>
      <w:r>
        <w:rPr>
          <w:rStyle w:val="38"/>
          <w:rFonts w:hint="eastAsia" w:asciiTheme="minorEastAsia" w:hAnsiTheme="minorEastAsia" w:eastAsiaTheme="minorEastAsia"/>
          <w:i w:val="0"/>
          <w:color w:val="auto"/>
        </w:rPr>
        <w:t>招标范围、计划工期和质量要求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_Toc516816248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"_Toc516816249" </w:instrText>
      </w:r>
      <w:r>
        <w:rPr>
          <w:color w:val="auto"/>
        </w:rPr>
        <w:fldChar w:fldCharType="separate"/>
      </w:r>
      <w:r>
        <w:rPr>
          <w:rStyle w:val="38"/>
          <w:rFonts w:asciiTheme="minorEastAsia" w:hAnsiTheme="minorEastAsia" w:eastAsiaTheme="minorEastAsia"/>
          <w:i w:val="0"/>
          <w:color w:val="auto"/>
        </w:rPr>
        <w:t xml:space="preserve">1.4 </w:t>
      </w:r>
      <w:r>
        <w:rPr>
          <w:rStyle w:val="38"/>
          <w:rFonts w:hint="eastAsia" w:asciiTheme="minorEastAsia" w:hAnsiTheme="minorEastAsia" w:eastAsiaTheme="minorEastAsia"/>
          <w:i w:val="0"/>
          <w:color w:val="auto"/>
        </w:rPr>
        <w:t>投标人资格要求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_Toc516816249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"_Toc516816250" </w:instrText>
      </w:r>
      <w:r>
        <w:rPr>
          <w:color w:val="auto"/>
        </w:rPr>
        <w:fldChar w:fldCharType="separate"/>
      </w:r>
      <w:r>
        <w:rPr>
          <w:rStyle w:val="38"/>
          <w:rFonts w:asciiTheme="minorEastAsia" w:hAnsiTheme="minorEastAsia" w:eastAsiaTheme="minorEastAsia"/>
          <w:i w:val="0"/>
          <w:color w:val="auto"/>
        </w:rPr>
        <w:t xml:space="preserve">1.5 </w:t>
      </w:r>
      <w:r>
        <w:rPr>
          <w:rStyle w:val="38"/>
          <w:rFonts w:hint="eastAsia" w:asciiTheme="minorEastAsia" w:hAnsiTheme="minorEastAsia" w:eastAsiaTheme="minorEastAsia"/>
          <w:i w:val="0"/>
          <w:color w:val="auto"/>
        </w:rPr>
        <w:t>费用承担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"_Toc516816251" </w:instrText>
      </w:r>
      <w:r>
        <w:rPr>
          <w:color w:val="auto"/>
        </w:rPr>
        <w:fldChar w:fldCharType="separate"/>
      </w:r>
      <w:r>
        <w:rPr>
          <w:rStyle w:val="38"/>
          <w:rFonts w:asciiTheme="minorEastAsia" w:hAnsiTheme="minorEastAsia" w:eastAsiaTheme="minorEastAsia"/>
          <w:i w:val="0"/>
          <w:color w:val="auto"/>
        </w:rPr>
        <w:t xml:space="preserve">1.6 </w:t>
      </w:r>
      <w:r>
        <w:rPr>
          <w:rStyle w:val="38"/>
          <w:rFonts w:hint="eastAsia" w:asciiTheme="minorEastAsia" w:hAnsiTheme="minorEastAsia" w:eastAsiaTheme="minorEastAsia"/>
          <w:i w:val="0"/>
          <w:color w:val="auto"/>
        </w:rPr>
        <w:t>保密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"_Toc516816252" </w:instrText>
      </w:r>
      <w:r>
        <w:rPr>
          <w:color w:val="auto"/>
        </w:rPr>
        <w:fldChar w:fldCharType="separate"/>
      </w:r>
      <w:r>
        <w:rPr>
          <w:rStyle w:val="38"/>
          <w:rFonts w:asciiTheme="minorEastAsia" w:hAnsiTheme="minorEastAsia" w:eastAsiaTheme="minorEastAsia"/>
          <w:i w:val="0"/>
          <w:color w:val="auto"/>
        </w:rPr>
        <w:t xml:space="preserve">1.7 </w:t>
      </w:r>
      <w:r>
        <w:rPr>
          <w:rStyle w:val="38"/>
          <w:rFonts w:hint="eastAsia" w:asciiTheme="minorEastAsia" w:hAnsiTheme="minorEastAsia" w:eastAsiaTheme="minorEastAsia"/>
          <w:i w:val="0"/>
          <w:color w:val="auto"/>
        </w:rPr>
        <w:t>语言文字</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"_Toc516816253" </w:instrText>
      </w:r>
      <w:r>
        <w:rPr>
          <w:color w:val="auto"/>
        </w:rPr>
        <w:fldChar w:fldCharType="separate"/>
      </w:r>
      <w:r>
        <w:rPr>
          <w:rStyle w:val="38"/>
          <w:rFonts w:asciiTheme="minorEastAsia" w:hAnsiTheme="minorEastAsia" w:eastAsiaTheme="minorEastAsia"/>
          <w:i w:val="0"/>
          <w:color w:val="auto"/>
        </w:rPr>
        <w:t xml:space="preserve">1.8 </w:t>
      </w:r>
      <w:r>
        <w:rPr>
          <w:rStyle w:val="38"/>
          <w:rFonts w:hint="eastAsia" w:asciiTheme="minorEastAsia" w:hAnsiTheme="minorEastAsia" w:eastAsiaTheme="minorEastAsia"/>
          <w:i w:val="0"/>
          <w:color w:val="auto"/>
        </w:rPr>
        <w:t>计量单位</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"_Toc516816254" </w:instrText>
      </w:r>
      <w:r>
        <w:rPr>
          <w:color w:val="auto"/>
        </w:rPr>
        <w:fldChar w:fldCharType="separate"/>
      </w:r>
      <w:r>
        <w:rPr>
          <w:rStyle w:val="38"/>
          <w:rFonts w:asciiTheme="minorEastAsia" w:hAnsiTheme="minorEastAsia" w:eastAsiaTheme="minorEastAsia"/>
          <w:i w:val="0"/>
          <w:color w:val="auto"/>
        </w:rPr>
        <w:t xml:space="preserve">1.9 </w:t>
      </w:r>
      <w:r>
        <w:rPr>
          <w:rStyle w:val="38"/>
          <w:rFonts w:hint="eastAsia" w:asciiTheme="minorEastAsia" w:hAnsiTheme="minorEastAsia" w:eastAsiaTheme="minorEastAsia"/>
          <w:i w:val="0"/>
          <w:color w:val="auto"/>
        </w:rPr>
        <w:t>踏勘现场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"_Toc516816255" </w:instrText>
      </w:r>
      <w:r>
        <w:rPr>
          <w:color w:val="auto"/>
        </w:rPr>
        <w:fldChar w:fldCharType="separate"/>
      </w:r>
      <w:r>
        <w:rPr>
          <w:rStyle w:val="38"/>
          <w:rFonts w:asciiTheme="minorEastAsia" w:hAnsiTheme="minorEastAsia" w:eastAsiaTheme="minorEastAsia"/>
          <w:i w:val="0"/>
          <w:color w:val="auto"/>
        </w:rPr>
        <w:t xml:space="preserve">1.10 </w:t>
      </w:r>
      <w:r>
        <w:rPr>
          <w:rStyle w:val="38"/>
          <w:rFonts w:hint="eastAsia" w:asciiTheme="minorEastAsia" w:hAnsiTheme="minorEastAsia" w:eastAsiaTheme="minorEastAsia"/>
          <w:i w:val="0"/>
          <w:color w:val="auto"/>
        </w:rPr>
        <w:t>投标预备会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"_Toc516816256" </w:instrText>
      </w:r>
      <w:r>
        <w:rPr>
          <w:color w:val="auto"/>
        </w:rPr>
        <w:fldChar w:fldCharType="separate"/>
      </w:r>
      <w:r>
        <w:rPr>
          <w:rStyle w:val="38"/>
          <w:rFonts w:asciiTheme="minorEastAsia" w:hAnsiTheme="minorEastAsia" w:eastAsiaTheme="minorEastAsia"/>
          <w:i w:val="0"/>
          <w:color w:val="auto"/>
        </w:rPr>
        <w:t xml:space="preserve">1.11 </w:t>
      </w:r>
      <w:r>
        <w:rPr>
          <w:rStyle w:val="38"/>
          <w:rFonts w:hint="eastAsia" w:asciiTheme="minorEastAsia" w:hAnsiTheme="minorEastAsia" w:eastAsiaTheme="minorEastAsia"/>
          <w:i w:val="0"/>
          <w:color w:val="auto"/>
        </w:rPr>
        <w:t>分包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"_Toc516816257" </w:instrText>
      </w:r>
      <w:r>
        <w:rPr>
          <w:color w:val="auto"/>
        </w:rPr>
        <w:fldChar w:fldCharType="separate"/>
      </w:r>
      <w:r>
        <w:rPr>
          <w:rStyle w:val="38"/>
          <w:rFonts w:asciiTheme="minorEastAsia" w:hAnsiTheme="minorEastAsia" w:eastAsiaTheme="minorEastAsia"/>
          <w:i w:val="0"/>
          <w:color w:val="auto"/>
        </w:rPr>
        <w:t xml:space="preserve">1.12 </w:t>
      </w:r>
      <w:r>
        <w:rPr>
          <w:rStyle w:val="38"/>
          <w:rFonts w:hint="eastAsia" w:asciiTheme="minorEastAsia" w:hAnsiTheme="minorEastAsia" w:eastAsiaTheme="minorEastAsia"/>
          <w:i w:val="0"/>
          <w:color w:val="auto"/>
        </w:rPr>
        <w:t>响应和偏差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"_Toc516816258"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招标文件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_Toc516816258 \h </w:instrText>
      </w:r>
      <w:r>
        <w:rPr>
          <w:rFonts w:asciiTheme="minorEastAsia" w:hAnsiTheme="minorEastAsia"/>
          <w:color w:val="auto"/>
          <w:sz w:val="21"/>
          <w:szCs w:val="21"/>
        </w:rPr>
        <w:fldChar w:fldCharType="separate"/>
      </w:r>
      <w:r>
        <w:rPr>
          <w:rFonts w:asciiTheme="minorEastAsia" w:hAnsiTheme="minorEastAsia"/>
          <w:color w:val="auto"/>
          <w:sz w:val="21"/>
          <w:szCs w:val="21"/>
        </w:rPr>
        <w:t>21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"_Toc516816259" </w:instrText>
      </w:r>
      <w:r>
        <w:rPr>
          <w:color w:val="auto"/>
        </w:rPr>
        <w:fldChar w:fldCharType="separate"/>
      </w:r>
      <w:r>
        <w:rPr>
          <w:rStyle w:val="38"/>
          <w:rFonts w:asciiTheme="minorEastAsia" w:hAnsiTheme="minorEastAsia" w:eastAsiaTheme="minorEastAsia"/>
          <w:i w:val="0"/>
          <w:color w:val="auto"/>
        </w:rPr>
        <w:t xml:space="preserve">2.1 </w:t>
      </w:r>
      <w:r>
        <w:rPr>
          <w:rStyle w:val="38"/>
          <w:rFonts w:hint="eastAsia" w:asciiTheme="minorEastAsia" w:hAnsiTheme="minorEastAsia" w:eastAsiaTheme="minorEastAsia"/>
          <w:i w:val="0"/>
          <w:color w:val="auto"/>
        </w:rPr>
        <w:t>招标文件的组成</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_Toc516816259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"_Toc516816260" </w:instrText>
      </w:r>
      <w:r>
        <w:rPr>
          <w:color w:val="auto"/>
        </w:rPr>
        <w:fldChar w:fldCharType="separate"/>
      </w:r>
      <w:r>
        <w:rPr>
          <w:rStyle w:val="38"/>
          <w:rFonts w:asciiTheme="minorEastAsia" w:hAnsiTheme="minorEastAsia" w:eastAsiaTheme="minorEastAsia"/>
          <w:i w:val="0"/>
          <w:color w:val="auto"/>
        </w:rPr>
        <w:t xml:space="preserve">2.2 </w:t>
      </w:r>
      <w:r>
        <w:rPr>
          <w:rStyle w:val="38"/>
          <w:rFonts w:hint="eastAsia" w:asciiTheme="minorEastAsia" w:hAnsiTheme="minorEastAsia" w:eastAsiaTheme="minorEastAsia"/>
          <w:i w:val="0"/>
          <w:color w:val="auto"/>
        </w:rPr>
        <w:t>招标文件的澄清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"_Toc516816261" </w:instrText>
      </w:r>
      <w:r>
        <w:rPr>
          <w:color w:val="auto"/>
        </w:rPr>
        <w:fldChar w:fldCharType="separate"/>
      </w:r>
      <w:r>
        <w:rPr>
          <w:rStyle w:val="38"/>
          <w:rFonts w:asciiTheme="minorEastAsia" w:hAnsiTheme="minorEastAsia" w:eastAsiaTheme="minorEastAsia"/>
          <w:i w:val="0"/>
          <w:color w:val="auto"/>
        </w:rPr>
        <w:t xml:space="preserve">2.3 </w:t>
      </w:r>
      <w:r>
        <w:rPr>
          <w:rStyle w:val="38"/>
          <w:rFonts w:hint="eastAsia" w:asciiTheme="minorEastAsia" w:hAnsiTheme="minorEastAsia" w:eastAsiaTheme="minorEastAsia"/>
          <w:i w:val="0"/>
          <w:color w:val="auto"/>
        </w:rPr>
        <w:t>招标文件的修改</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"_Toc516816262" </w:instrText>
      </w:r>
      <w:r>
        <w:rPr>
          <w:color w:val="auto"/>
        </w:rPr>
        <w:fldChar w:fldCharType="separate"/>
      </w:r>
      <w:r>
        <w:rPr>
          <w:rStyle w:val="38"/>
          <w:rFonts w:asciiTheme="minorEastAsia" w:hAnsiTheme="minorEastAsia" w:eastAsiaTheme="minorEastAsia"/>
          <w:i w:val="0"/>
          <w:color w:val="auto"/>
        </w:rPr>
        <w:t xml:space="preserve">2.4 </w:t>
      </w:r>
      <w:r>
        <w:rPr>
          <w:rStyle w:val="38"/>
          <w:rFonts w:hint="eastAsia" w:asciiTheme="minorEastAsia" w:hAnsiTheme="minorEastAsia" w:eastAsiaTheme="minorEastAsia"/>
          <w:i w:val="0"/>
          <w:color w:val="auto"/>
        </w:rPr>
        <w:t>招标文件的异议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"_Toc516816263"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投标文件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_Toc516816263 \h </w:instrText>
      </w:r>
      <w:r>
        <w:rPr>
          <w:rFonts w:asciiTheme="minorEastAsia" w:hAnsiTheme="minorEastAsia"/>
          <w:color w:val="auto"/>
          <w:sz w:val="21"/>
          <w:szCs w:val="21"/>
        </w:rPr>
        <w:fldChar w:fldCharType="separate"/>
      </w:r>
      <w:r>
        <w:rPr>
          <w:rFonts w:asciiTheme="minorEastAsia" w:hAnsiTheme="minorEastAsia"/>
          <w:color w:val="auto"/>
          <w:sz w:val="21"/>
          <w:szCs w:val="21"/>
        </w:rPr>
        <w:t>23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"_Toc516816264" </w:instrText>
      </w:r>
      <w:r>
        <w:rPr>
          <w:color w:val="auto"/>
        </w:rPr>
        <w:fldChar w:fldCharType="separate"/>
      </w:r>
      <w:r>
        <w:rPr>
          <w:rStyle w:val="38"/>
          <w:rFonts w:asciiTheme="minorEastAsia" w:hAnsiTheme="minorEastAsia" w:eastAsiaTheme="minorEastAsia"/>
          <w:i w:val="0"/>
          <w:color w:val="auto"/>
        </w:rPr>
        <w:t xml:space="preserve">3.1 </w:t>
      </w:r>
      <w:r>
        <w:rPr>
          <w:rStyle w:val="38"/>
          <w:rFonts w:hint="eastAsia" w:asciiTheme="minorEastAsia" w:hAnsiTheme="minorEastAsia" w:eastAsiaTheme="minorEastAsia"/>
          <w:i w:val="0"/>
          <w:color w:val="auto"/>
        </w:rPr>
        <w:t>投标文件的组成</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"_Toc516816265" </w:instrText>
      </w:r>
      <w:r>
        <w:rPr>
          <w:color w:val="auto"/>
        </w:rPr>
        <w:fldChar w:fldCharType="separate"/>
      </w:r>
      <w:r>
        <w:rPr>
          <w:rStyle w:val="38"/>
          <w:rFonts w:asciiTheme="minorEastAsia" w:hAnsiTheme="minorEastAsia" w:eastAsiaTheme="minorEastAsia"/>
          <w:i w:val="0"/>
          <w:color w:val="auto"/>
        </w:rPr>
        <w:t xml:space="preserve">3.2 </w:t>
      </w:r>
      <w:r>
        <w:rPr>
          <w:rStyle w:val="38"/>
          <w:rFonts w:hint="eastAsia" w:asciiTheme="minorEastAsia" w:hAnsiTheme="minorEastAsia" w:eastAsiaTheme="minorEastAsia"/>
          <w:i w:val="0"/>
          <w:color w:val="auto"/>
        </w:rPr>
        <w:t>投标报价</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"_Toc516816266" </w:instrText>
      </w:r>
      <w:r>
        <w:rPr>
          <w:color w:val="auto"/>
        </w:rPr>
        <w:fldChar w:fldCharType="separate"/>
      </w:r>
      <w:r>
        <w:rPr>
          <w:rStyle w:val="38"/>
          <w:rFonts w:asciiTheme="minorEastAsia" w:hAnsiTheme="minorEastAsia" w:eastAsiaTheme="minorEastAsia"/>
          <w:i w:val="0"/>
          <w:color w:val="auto"/>
        </w:rPr>
        <w:t xml:space="preserve">3.3 </w:t>
      </w:r>
      <w:r>
        <w:rPr>
          <w:rStyle w:val="38"/>
          <w:rFonts w:hint="eastAsia" w:asciiTheme="minorEastAsia" w:hAnsiTheme="minorEastAsia" w:eastAsiaTheme="minorEastAsia"/>
          <w:i w:val="0"/>
          <w:color w:val="auto"/>
        </w:rPr>
        <w:t>投标有效期</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"_Toc516816267" </w:instrText>
      </w:r>
      <w:r>
        <w:rPr>
          <w:color w:val="auto"/>
        </w:rPr>
        <w:fldChar w:fldCharType="separate"/>
      </w:r>
      <w:r>
        <w:rPr>
          <w:rStyle w:val="38"/>
          <w:rFonts w:asciiTheme="minorEastAsia" w:hAnsiTheme="minorEastAsia" w:eastAsiaTheme="minorEastAsia"/>
          <w:i w:val="0"/>
          <w:color w:val="auto"/>
        </w:rPr>
        <w:t xml:space="preserve">3.4 </w:t>
      </w:r>
      <w:r>
        <w:rPr>
          <w:rStyle w:val="38"/>
          <w:rFonts w:hint="eastAsia" w:asciiTheme="minorEastAsia" w:hAnsiTheme="minorEastAsia" w:eastAsiaTheme="minorEastAsia"/>
          <w:i w:val="0"/>
          <w:color w:val="auto"/>
        </w:rPr>
        <w:t>投标保证金</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"_Toc516816268" </w:instrText>
      </w:r>
      <w:r>
        <w:rPr>
          <w:color w:val="auto"/>
        </w:rPr>
        <w:fldChar w:fldCharType="separate"/>
      </w:r>
      <w:r>
        <w:rPr>
          <w:rStyle w:val="38"/>
          <w:rFonts w:asciiTheme="minorEastAsia" w:hAnsiTheme="minorEastAsia" w:eastAsiaTheme="minorEastAsia"/>
          <w:i w:val="0"/>
          <w:color w:val="auto"/>
        </w:rPr>
        <w:t xml:space="preserve">3.5 </w:t>
      </w:r>
      <w:r>
        <w:rPr>
          <w:rStyle w:val="38"/>
          <w:rFonts w:hint="eastAsia" w:asciiTheme="minorEastAsia" w:hAnsiTheme="minorEastAsia" w:eastAsiaTheme="minorEastAsia"/>
          <w:i w:val="0"/>
          <w:color w:val="auto"/>
        </w:rPr>
        <w:t>资格审查资料</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"_Toc516816269" </w:instrText>
      </w:r>
      <w:r>
        <w:rPr>
          <w:color w:val="auto"/>
        </w:rPr>
        <w:fldChar w:fldCharType="separate"/>
      </w:r>
      <w:r>
        <w:rPr>
          <w:rStyle w:val="38"/>
          <w:rFonts w:asciiTheme="minorEastAsia" w:hAnsiTheme="minorEastAsia" w:eastAsiaTheme="minorEastAsia"/>
          <w:i w:val="0"/>
          <w:color w:val="auto"/>
        </w:rPr>
        <w:t xml:space="preserve">3.6 </w:t>
      </w:r>
      <w:r>
        <w:rPr>
          <w:rStyle w:val="38"/>
          <w:rFonts w:hint="eastAsia" w:asciiTheme="minorEastAsia" w:hAnsiTheme="minorEastAsia" w:eastAsiaTheme="minorEastAsia"/>
          <w:i w:val="0"/>
          <w:color w:val="auto"/>
        </w:rPr>
        <w:t>备选投标方案</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_Toc516816269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"_Toc516816270" </w:instrText>
      </w:r>
      <w:r>
        <w:rPr>
          <w:color w:val="auto"/>
        </w:rPr>
        <w:fldChar w:fldCharType="separate"/>
      </w:r>
      <w:r>
        <w:rPr>
          <w:rStyle w:val="38"/>
          <w:rFonts w:asciiTheme="minorEastAsia" w:hAnsiTheme="minorEastAsia" w:eastAsiaTheme="minorEastAsia"/>
          <w:i w:val="0"/>
          <w:color w:val="auto"/>
        </w:rPr>
        <w:t xml:space="preserve">3.7 </w:t>
      </w:r>
      <w:r>
        <w:rPr>
          <w:rStyle w:val="38"/>
          <w:rFonts w:hint="eastAsia" w:asciiTheme="minorEastAsia" w:hAnsiTheme="minorEastAsia" w:eastAsiaTheme="minorEastAsia"/>
          <w:i w:val="0"/>
          <w:color w:val="auto"/>
        </w:rPr>
        <w:t>投标文件的编制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"_Toc516816271" </w:instrText>
      </w:r>
      <w:r>
        <w:rPr>
          <w:color w:val="auto"/>
        </w:rPr>
        <w:fldChar w:fldCharType="separate"/>
      </w:r>
      <w:r>
        <w:rPr>
          <w:rStyle w:val="38"/>
          <w:rFonts w:asciiTheme="minorEastAsia" w:hAnsiTheme="minorEastAsia" w:eastAsiaTheme="minorEastAsia"/>
          <w:color w:val="auto"/>
        </w:rPr>
        <w:t xml:space="preserve">4. </w:t>
      </w:r>
      <w:r>
        <w:rPr>
          <w:rStyle w:val="38"/>
          <w:rFonts w:hint="eastAsia" w:asciiTheme="minorEastAsia" w:hAnsiTheme="minorEastAsia" w:eastAsiaTheme="minorEastAsia"/>
          <w:color w:val="auto"/>
        </w:rPr>
        <w:t>投标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_Toc516816271 \h </w:instrText>
      </w:r>
      <w:r>
        <w:rPr>
          <w:rFonts w:asciiTheme="minorEastAsia" w:hAnsiTheme="minorEastAsia"/>
          <w:color w:val="auto"/>
          <w:sz w:val="21"/>
          <w:szCs w:val="21"/>
        </w:rPr>
        <w:fldChar w:fldCharType="separate"/>
      </w:r>
      <w:r>
        <w:rPr>
          <w:rFonts w:asciiTheme="minorEastAsia" w:hAnsiTheme="minorEastAsia"/>
          <w:color w:val="auto"/>
          <w:sz w:val="21"/>
          <w:szCs w:val="21"/>
        </w:rPr>
        <w:t>26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"_Toc516816272" </w:instrText>
      </w:r>
      <w:r>
        <w:rPr>
          <w:color w:val="auto"/>
        </w:rPr>
        <w:fldChar w:fldCharType="separate"/>
      </w:r>
      <w:r>
        <w:rPr>
          <w:rStyle w:val="38"/>
          <w:rFonts w:asciiTheme="minorEastAsia" w:hAnsiTheme="minorEastAsia" w:eastAsiaTheme="minorEastAsia"/>
          <w:i w:val="0"/>
          <w:color w:val="auto"/>
        </w:rPr>
        <w:t xml:space="preserve">4.1 </w:t>
      </w:r>
      <w:r>
        <w:rPr>
          <w:rStyle w:val="38"/>
          <w:rFonts w:hint="eastAsia" w:asciiTheme="minorEastAsia" w:hAnsiTheme="minorEastAsia" w:eastAsiaTheme="minorEastAsia"/>
          <w:i w:val="0"/>
          <w:color w:val="auto"/>
        </w:rPr>
        <w:t>投标文件的密封和标记</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"_Toc516816273" </w:instrText>
      </w:r>
      <w:r>
        <w:rPr>
          <w:color w:val="auto"/>
        </w:rPr>
        <w:fldChar w:fldCharType="separate"/>
      </w:r>
      <w:r>
        <w:rPr>
          <w:rStyle w:val="38"/>
          <w:rFonts w:asciiTheme="minorEastAsia" w:hAnsiTheme="minorEastAsia" w:eastAsiaTheme="minorEastAsia"/>
          <w:i w:val="0"/>
          <w:color w:val="auto"/>
        </w:rPr>
        <w:t xml:space="preserve">4.2 </w:t>
      </w:r>
      <w:r>
        <w:rPr>
          <w:rStyle w:val="38"/>
          <w:rFonts w:hint="eastAsia" w:asciiTheme="minorEastAsia" w:hAnsiTheme="minorEastAsia" w:eastAsiaTheme="minorEastAsia"/>
          <w:i w:val="0"/>
          <w:color w:val="auto"/>
        </w:rPr>
        <w:t>投标文件的递交</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"_Toc516816274" </w:instrText>
      </w:r>
      <w:r>
        <w:rPr>
          <w:color w:val="auto"/>
        </w:rPr>
        <w:fldChar w:fldCharType="separate"/>
      </w:r>
      <w:r>
        <w:rPr>
          <w:rStyle w:val="38"/>
          <w:rFonts w:asciiTheme="minorEastAsia" w:hAnsiTheme="minorEastAsia" w:eastAsiaTheme="minorEastAsia"/>
          <w:i w:val="0"/>
          <w:color w:val="auto"/>
        </w:rPr>
        <w:t xml:space="preserve">4.3 </w:t>
      </w:r>
      <w:r>
        <w:rPr>
          <w:rStyle w:val="38"/>
          <w:rFonts w:hint="eastAsia" w:asciiTheme="minorEastAsia" w:hAnsiTheme="minorEastAsia" w:eastAsiaTheme="minorEastAsia"/>
          <w:i w:val="0"/>
          <w:color w:val="auto"/>
        </w:rPr>
        <w:t>投标文件的修改与撤回</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"_Toc516816275" </w:instrText>
      </w:r>
      <w:r>
        <w:rPr>
          <w:color w:val="auto"/>
        </w:rPr>
        <w:fldChar w:fldCharType="separate"/>
      </w:r>
      <w:r>
        <w:rPr>
          <w:rStyle w:val="38"/>
          <w:rFonts w:asciiTheme="minorEastAsia" w:hAnsiTheme="minorEastAsia" w:eastAsiaTheme="minorEastAsia"/>
          <w:color w:val="auto"/>
        </w:rPr>
        <w:t xml:space="preserve">5. </w:t>
      </w:r>
      <w:r>
        <w:rPr>
          <w:rStyle w:val="38"/>
          <w:rFonts w:hint="eastAsia" w:asciiTheme="minorEastAsia" w:hAnsiTheme="minorEastAsia" w:eastAsiaTheme="minorEastAsia"/>
          <w:color w:val="auto"/>
        </w:rPr>
        <w:t>开标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_Toc516816275 \h </w:instrText>
      </w:r>
      <w:r>
        <w:rPr>
          <w:rFonts w:asciiTheme="minorEastAsia" w:hAnsiTheme="minorEastAsia"/>
          <w:color w:val="auto"/>
          <w:sz w:val="21"/>
          <w:szCs w:val="21"/>
        </w:rPr>
        <w:fldChar w:fldCharType="separate"/>
      </w:r>
      <w:r>
        <w:rPr>
          <w:rFonts w:asciiTheme="minorEastAsia" w:hAnsiTheme="minorEastAsia"/>
          <w:color w:val="auto"/>
          <w:sz w:val="21"/>
          <w:szCs w:val="21"/>
        </w:rPr>
        <w:t>27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"_Toc516816276" </w:instrText>
      </w:r>
      <w:r>
        <w:rPr>
          <w:color w:val="auto"/>
        </w:rPr>
        <w:fldChar w:fldCharType="separate"/>
      </w:r>
      <w:r>
        <w:rPr>
          <w:rStyle w:val="38"/>
          <w:rFonts w:asciiTheme="minorEastAsia" w:hAnsiTheme="minorEastAsia" w:eastAsiaTheme="minorEastAsia"/>
          <w:i w:val="0"/>
          <w:color w:val="auto"/>
        </w:rPr>
        <w:t xml:space="preserve">5.1 </w:t>
      </w:r>
      <w:r>
        <w:rPr>
          <w:rStyle w:val="38"/>
          <w:rFonts w:hint="eastAsia" w:asciiTheme="minorEastAsia" w:hAnsiTheme="minorEastAsia" w:eastAsiaTheme="minorEastAsia"/>
          <w:i w:val="0"/>
          <w:color w:val="auto"/>
        </w:rPr>
        <w:t>开标时间和地点</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"_Toc516816277" </w:instrText>
      </w:r>
      <w:r>
        <w:rPr>
          <w:color w:val="auto"/>
        </w:rPr>
        <w:fldChar w:fldCharType="separate"/>
      </w:r>
      <w:r>
        <w:rPr>
          <w:rStyle w:val="38"/>
          <w:rFonts w:asciiTheme="minorEastAsia" w:hAnsiTheme="minorEastAsia" w:eastAsiaTheme="minorEastAsia"/>
          <w:i w:val="0"/>
          <w:color w:val="auto"/>
        </w:rPr>
        <w:t xml:space="preserve">5.2 </w:t>
      </w:r>
      <w:r>
        <w:rPr>
          <w:rStyle w:val="38"/>
          <w:rFonts w:hint="eastAsia" w:asciiTheme="minorEastAsia" w:hAnsiTheme="minorEastAsia" w:eastAsiaTheme="minorEastAsia"/>
          <w:i w:val="0"/>
          <w:color w:val="auto"/>
        </w:rPr>
        <w:t>开标程序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"_Toc516816278" </w:instrText>
      </w:r>
      <w:r>
        <w:rPr>
          <w:color w:val="auto"/>
        </w:rPr>
        <w:fldChar w:fldCharType="separate"/>
      </w:r>
      <w:r>
        <w:rPr>
          <w:rStyle w:val="38"/>
          <w:rFonts w:asciiTheme="minorEastAsia" w:hAnsiTheme="minorEastAsia" w:eastAsiaTheme="minorEastAsia"/>
          <w:i w:val="0"/>
          <w:color w:val="auto"/>
        </w:rPr>
        <w:t xml:space="preserve">5.3 </w:t>
      </w:r>
      <w:r>
        <w:rPr>
          <w:rStyle w:val="38"/>
          <w:rFonts w:hint="eastAsia" w:asciiTheme="minorEastAsia" w:hAnsiTheme="minorEastAsia" w:eastAsiaTheme="minorEastAsia"/>
          <w:i w:val="0"/>
          <w:color w:val="auto"/>
        </w:rPr>
        <w:t>开标异议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_Toc516816278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"_Toc516816279" </w:instrText>
      </w:r>
      <w:r>
        <w:rPr>
          <w:color w:val="auto"/>
        </w:rPr>
        <w:fldChar w:fldCharType="separate"/>
      </w:r>
      <w:r>
        <w:rPr>
          <w:rStyle w:val="38"/>
          <w:rFonts w:asciiTheme="minorEastAsia" w:hAnsiTheme="minorEastAsia" w:eastAsiaTheme="minorEastAsia"/>
          <w:color w:val="auto"/>
        </w:rPr>
        <w:t xml:space="preserve">6. </w:t>
      </w:r>
      <w:r>
        <w:rPr>
          <w:rStyle w:val="38"/>
          <w:rFonts w:hint="eastAsia" w:asciiTheme="minorEastAsia" w:hAnsiTheme="minorEastAsia" w:eastAsiaTheme="minorEastAsia"/>
          <w:color w:val="auto"/>
        </w:rPr>
        <w:t>评标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_Toc516816279 \h </w:instrText>
      </w:r>
      <w:r>
        <w:rPr>
          <w:rFonts w:asciiTheme="minorEastAsia" w:hAnsiTheme="minorEastAsia"/>
          <w:color w:val="auto"/>
          <w:sz w:val="21"/>
          <w:szCs w:val="21"/>
        </w:rPr>
        <w:fldChar w:fldCharType="separate"/>
      </w:r>
      <w:r>
        <w:rPr>
          <w:rFonts w:asciiTheme="minorEastAsia" w:hAnsiTheme="minorEastAsia"/>
          <w:color w:val="auto"/>
          <w:sz w:val="21"/>
          <w:szCs w:val="21"/>
        </w:rPr>
        <w:t>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"_Toc516816280" </w:instrText>
      </w:r>
      <w:r>
        <w:rPr>
          <w:color w:val="auto"/>
        </w:rPr>
        <w:fldChar w:fldCharType="separate"/>
      </w:r>
      <w:r>
        <w:rPr>
          <w:rStyle w:val="38"/>
          <w:rFonts w:asciiTheme="minorEastAsia" w:hAnsiTheme="minorEastAsia" w:eastAsiaTheme="minorEastAsia"/>
          <w:i w:val="0"/>
          <w:color w:val="auto"/>
        </w:rPr>
        <w:t xml:space="preserve">6.1 </w:t>
      </w:r>
      <w:r>
        <w:rPr>
          <w:rStyle w:val="38"/>
          <w:rFonts w:hint="eastAsia" w:asciiTheme="minorEastAsia" w:hAnsiTheme="minorEastAsia" w:eastAsiaTheme="minorEastAsia"/>
          <w:i w:val="0"/>
          <w:color w:val="auto"/>
        </w:rPr>
        <w:t>评标委员会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"_Toc516816281" </w:instrText>
      </w:r>
      <w:r>
        <w:rPr>
          <w:color w:val="auto"/>
        </w:rPr>
        <w:fldChar w:fldCharType="separate"/>
      </w:r>
      <w:r>
        <w:rPr>
          <w:rStyle w:val="38"/>
          <w:rFonts w:asciiTheme="minorEastAsia" w:hAnsiTheme="minorEastAsia" w:eastAsiaTheme="minorEastAsia"/>
          <w:i w:val="0"/>
          <w:color w:val="auto"/>
        </w:rPr>
        <w:t xml:space="preserve">6.2 </w:t>
      </w:r>
      <w:r>
        <w:rPr>
          <w:rStyle w:val="38"/>
          <w:rFonts w:hint="eastAsia" w:asciiTheme="minorEastAsia" w:hAnsiTheme="minorEastAsia" w:eastAsiaTheme="minorEastAsia"/>
          <w:i w:val="0"/>
          <w:color w:val="auto"/>
        </w:rPr>
        <w:t>评标原则</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"_Toc516816282" </w:instrText>
      </w:r>
      <w:r>
        <w:rPr>
          <w:color w:val="auto"/>
        </w:rPr>
        <w:fldChar w:fldCharType="separate"/>
      </w:r>
      <w:r>
        <w:rPr>
          <w:rStyle w:val="38"/>
          <w:rFonts w:asciiTheme="minorEastAsia" w:hAnsiTheme="minorEastAsia" w:eastAsiaTheme="minorEastAsia"/>
          <w:i w:val="0"/>
          <w:color w:val="auto"/>
        </w:rPr>
        <w:t xml:space="preserve">6.3 </w:t>
      </w:r>
      <w:r>
        <w:rPr>
          <w:rStyle w:val="38"/>
          <w:rFonts w:hint="eastAsia" w:asciiTheme="minorEastAsia" w:hAnsiTheme="minorEastAsia" w:eastAsiaTheme="minorEastAsia"/>
          <w:i w:val="0"/>
          <w:color w:val="auto"/>
        </w:rPr>
        <w:t>评标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"_Toc516816283" </w:instrText>
      </w:r>
      <w:r>
        <w:rPr>
          <w:color w:val="auto"/>
        </w:rPr>
        <w:fldChar w:fldCharType="separate"/>
      </w:r>
      <w:r>
        <w:rPr>
          <w:rStyle w:val="38"/>
          <w:rFonts w:asciiTheme="minorEastAsia" w:hAnsiTheme="minorEastAsia" w:eastAsiaTheme="minorEastAsia"/>
          <w:color w:val="auto"/>
        </w:rPr>
        <w:t xml:space="preserve">7. </w:t>
      </w:r>
      <w:r>
        <w:rPr>
          <w:rStyle w:val="38"/>
          <w:rFonts w:hint="eastAsia" w:asciiTheme="minorEastAsia" w:hAnsiTheme="minorEastAsia" w:eastAsiaTheme="minorEastAsia"/>
          <w:color w:val="auto"/>
        </w:rPr>
        <w:t>合同授予</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_Toc516816283 \h </w:instrText>
      </w:r>
      <w:r>
        <w:rPr>
          <w:rFonts w:asciiTheme="minorEastAsia" w:hAnsiTheme="minorEastAsia"/>
          <w:color w:val="auto"/>
          <w:sz w:val="21"/>
          <w:szCs w:val="21"/>
        </w:rPr>
        <w:fldChar w:fldCharType="separate"/>
      </w:r>
      <w:r>
        <w:rPr>
          <w:rFonts w:asciiTheme="minorEastAsia" w:hAnsiTheme="minorEastAsia"/>
          <w:color w:val="auto"/>
          <w:sz w:val="21"/>
          <w:szCs w:val="21"/>
        </w:rPr>
        <w:t>29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"_Toc516816284" </w:instrText>
      </w:r>
      <w:r>
        <w:rPr>
          <w:color w:val="auto"/>
        </w:rPr>
        <w:fldChar w:fldCharType="separate"/>
      </w:r>
      <w:r>
        <w:rPr>
          <w:rStyle w:val="38"/>
          <w:rFonts w:asciiTheme="minorEastAsia" w:hAnsiTheme="minorEastAsia" w:eastAsiaTheme="minorEastAsia"/>
          <w:i w:val="0"/>
          <w:color w:val="auto"/>
        </w:rPr>
        <w:t xml:space="preserve">7.1 </w:t>
      </w:r>
      <w:r>
        <w:rPr>
          <w:rStyle w:val="38"/>
          <w:rFonts w:hint="eastAsia" w:asciiTheme="minorEastAsia" w:hAnsiTheme="minorEastAsia" w:eastAsiaTheme="minorEastAsia"/>
          <w:i w:val="0"/>
          <w:color w:val="auto"/>
        </w:rPr>
        <w:t>中标候选人公示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"_Toc516816285" </w:instrText>
      </w:r>
      <w:r>
        <w:rPr>
          <w:color w:val="auto"/>
        </w:rPr>
        <w:fldChar w:fldCharType="separate"/>
      </w:r>
      <w:r>
        <w:rPr>
          <w:rStyle w:val="38"/>
          <w:rFonts w:asciiTheme="minorEastAsia" w:hAnsiTheme="minorEastAsia" w:eastAsiaTheme="minorEastAsia"/>
          <w:i w:val="0"/>
          <w:color w:val="auto"/>
        </w:rPr>
        <w:t xml:space="preserve">7.2 </w:t>
      </w:r>
      <w:r>
        <w:rPr>
          <w:rStyle w:val="38"/>
          <w:rFonts w:hint="eastAsia" w:asciiTheme="minorEastAsia" w:hAnsiTheme="minorEastAsia" w:eastAsiaTheme="minorEastAsia"/>
          <w:i w:val="0"/>
          <w:color w:val="auto"/>
        </w:rPr>
        <w:t>评标结果异议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"_Toc516816286" </w:instrText>
      </w:r>
      <w:r>
        <w:rPr>
          <w:color w:val="auto"/>
        </w:rPr>
        <w:fldChar w:fldCharType="separate"/>
      </w:r>
      <w:r>
        <w:rPr>
          <w:rStyle w:val="38"/>
          <w:rFonts w:asciiTheme="minorEastAsia" w:hAnsiTheme="minorEastAsia" w:eastAsiaTheme="minorEastAsia"/>
          <w:i w:val="0"/>
          <w:color w:val="auto"/>
        </w:rPr>
        <w:t xml:space="preserve">7.3 </w:t>
      </w:r>
      <w:r>
        <w:rPr>
          <w:rStyle w:val="38"/>
          <w:rFonts w:hint="eastAsia" w:asciiTheme="minorEastAsia" w:hAnsiTheme="minorEastAsia" w:eastAsiaTheme="minorEastAsia"/>
          <w:i w:val="0"/>
          <w:color w:val="auto"/>
        </w:rPr>
        <w:t>中标候选人履约能力审查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"_Toc516816287" </w:instrText>
      </w:r>
      <w:r>
        <w:rPr>
          <w:color w:val="auto"/>
        </w:rPr>
        <w:fldChar w:fldCharType="separate"/>
      </w:r>
      <w:r>
        <w:rPr>
          <w:rStyle w:val="38"/>
          <w:rFonts w:asciiTheme="minorEastAsia" w:hAnsiTheme="minorEastAsia" w:eastAsiaTheme="minorEastAsia"/>
          <w:i w:val="0"/>
          <w:color w:val="auto"/>
        </w:rPr>
        <w:t xml:space="preserve">7.4 </w:t>
      </w:r>
      <w:r>
        <w:rPr>
          <w:rStyle w:val="38"/>
          <w:rFonts w:hint="eastAsia" w:asciiTheme="minorEastAsia" w:hAnsiTheme="minorEastAsia" w:eastAsiaTheme="minorEastAsia"/>
          <w:i w:val="0"/>
          <w:color w:val="auto"/>
        </w:rPr>
        <w:t>定标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"_Toc516816288" </w:instrText>
      </w:r>
      <w:r>
        <w:rPr>
          <w:color w:val="auto"/>
        </w:rPr>
        <w:fldChar w:fldCharType="separate"/>
      </w:r>
      <w:r>
        <w:rPr>
          <w:rStyle w:val="38"/>
          <w:rFonts w:asciiTheme="minorEastAsia" w:hAnsiTheme="minorEastAsia" w:eastAsiaTheme="minorEastAsia"/>
          <w:i w:val="0"/>
          <w:color w:val="auto"/>
        </w:rPr>
        <w:t xml:space="preserve">7.5 </w:t>
      </w:r>
      <w:r>
        <w:rPr>
          <w:rStyle w:val="38"/>
          <w:rFonts w:hint="eastAsia" w:asciiTheme="minorEastAsia" w:hAnsiTheme="minorEastAsia" w:eastAsiaTheme="minorEastAsia"/>
          <w:i w:val="0"/>
          <w:color w:val="auto"/>
        </w:rPr>
        <w:t>中标通知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"_Toc516816289" </w:instrText>
      </w:r>
      <w:r>
        <w:rPr>
          <w:color w:val="auto"/>
        </w:rPr>
        <w:fldChar w:fldCharType="separate"/>
      </w:r>
      <w:r>
        <w:rPr>
          <w:rStyle w:val="38"/>
          <w:rFonts w:asciiTheme="minorEastAsia" w:hAnsiTheme="minorEastAsia" w:eastAsiaTheme="minorEastAsia"/>
          <w:i w:val="0"/>
          <w:color w:val="auto"/>
        </w:rPr>
        <w:t xml:space="preserve">7.6 </w:t>
      </w:r>
      <w:r>
        <w:rPr>
          <w:rStyle w:val="38"/>
          <w:rFonts w:hint="eastAsia" w:asciiTheme="minorEastAsia" w:hAnsiTheme="minorEastAsia" w:eastAsiaTheme="minorEastAsia"/>
          <w:i w:val="0"/>
          <w:color w:val="auto"/>
        </w:rPr>
        <w:t>履约保证金</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_Toc516816289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"_Toc516816290" </w:instrText>
      </w:r>
      <w:r>
        <w:rPr>
          <w:color w:val="auto"/>
        </w:rPr>
        <w:fldChar w:fldCharType="separate"/>
      </w:r>
      <w:r>
        <w:rPr>
          <w:rStyle w:val="38"/>
          <w:rFonts w:asciiTheme="minorEastAsia" w:hAnsiTheme="minorEastAsia" w:eastAsiaTheme="minorEastAsia"/>
          <w:i w:val="0"/>
          <w:color w:val="auto"/>
        </w:rPr>
        <w:t xml:space="preserve">7.7 </w:t>
      </w:r>
      <w:r>
        <w:rPr>
          <w:rStyle w:val="38"/>
          <w:rFonts w:hint="eastAsia" w:asciiTheme="minorEastAsia" w:hAnsiTheme="minorEastAsia" w:eastAsiaTheme="minorEastAsia"/>
          <w:i w:val="0"/>
          <w:color w:val="auto"/>
        </w:rPr>
        <w:t>签订合同</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"_Toc516816291" </w:instrText>
      </w:r>
      <w:r>
        <w:rPr>
          <w:color w:val="auto"/>
        </w:rPr>
        <w:fldChar w:fldCharType="separate"/>
      </w:r>
      <w:r>
        <w:rPr>
          <w:rStyle w:val="38"/>
          <w:rFonts w:asciiTheme="minorEastAsia" w:hAnsiTheme="minorEastAsia" w:eastAsiaTheme="minorEastAsia"/>
          <w:color w:val="auto"/>
        </w:rPr>
        <w:t xml:space="preserve">8. </w:t>
      </w:r>
      <w:r>
        <w:rPr>
          <w:rStyle w:val="38"/>
          <w:rFonts w:hint="eastAsia" w:asciiTheme="minorEastAsia" w:hAnsiTheme="minorEastAsia" w:eastAsiaTheme="minorEastAsia"/>
          <w:color w:val="auto"/>
        </w:rPr>
        <w:t>纪律和监督</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_Toc516816291 \h </w:instrText>
      </w:r>
      <w:r>
        <w:rPr>
          <w:rFonts w:asciiTheme="minorEastAsia" w:hAnsiTheme="minorEastAsia"/>
          <w:color w:val="auto"/>
          <w:sz w:val="21"/>
          <w:szCs w:val="21"/>
        </w:rPr>
        <w:fldChar w:fldCharType="separate"/>
      </w:r>
      <w:r>
        <w:rPr>
          <w:rFonts w:asciiTheme="minorEastAsia" w:hAnsiTheme="minorEastAsia"/>
          <w:color w:val="auto"/>
          <w:sz w:val="21"/>
          <w:szCs w:val="21"/>
        </w:rPr>
        <w:t>30</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"_Toc516816292" </w:instrText>
      </w:r>
      <w:r>
        <w:rPr>
          <w:color w:val="auto"/>
        </w:rPr>
        <w:fldChar w:fldCharType="separate"/>
      </w:r>
      <w:r>
        <w:rPr>
          <w:rStyle w:val="38"/>
          <w:rFonts w:asciiTheme="minorEastAsia" w:hAnsiTheme="minorEastAsia" w:eastAsiaTheme="minorEastAsia"/>
          <w:i w:val="0"/>
          <w:color w:val="auto"/>
        </w:rPr>
        <w:t xml:space="preserve">8.1 </w:t>
      </w:r>
      <w:r>
        <w:rPr>
          <w:rStyle w:val="38"/>
          <w:rFonts w:hint="eastAsia" w:asciiTheme="minorEastAsia" w:hAnsiTheme="minorEastAsia" w:eastAsiaTheme="minorEastAsia"/>
          <w:i w:val="0"/>
          <w:color w:val="auto"/>
        </w:rPr>
        <w:t>对招标人的纪律要求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"_Toc516816293" </w:instrText>
      </w:r>
      <w:r>
        <w:rPr>
          <w:color w:val="auto"/>
        </w:rPr>
        <w:fldChar w:fldCharType="separate"/>
      </w:r>
      <w:r>
        <w:rPr>
          <w:rStyle w:val="38"/>
          <w:rFonts w:asciiTheme="minorEastAsia" w:hAnsiTheme="minorEastAsia" w:eastAsiaTheme="minorEastAsia"/>
          <w:i w:val="0"/>
          <w:color w:val="auto"/>
        </w:rPr>
        <w:t xml:space="preserve">8.2 </w:t>
      </w:r>
      <w:r>
        <w:rPr>
          <w:rStyle w:val="38"/>
          <w:rFonts w:hint="eastAsia" w:asciiTheme="minorEastAsia" w:hAnsiTheme="minorEastAsia" w:eastAsiaTheme="minorEastAsia"/>
          <w:i w:val="0"/>
          <w:color w:val="auto"/>
        </w:rPr>
        <w:t>对投标人的纪律要求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"_Toc516816294" </w:instrText>
      </w:r>
      <w:r>
        <w:rPr>
          <w:color w:val="auto"/>
        </w:rPr>
        <w:fldChar w:fldCharType="separate"/>
      </w:r>
      <w:r>
        <w:rPr>
          <w:rStyle w:val="38"/>
          <w:rFonts w:asciiTheme="minorEastAsia" w:hAnsiTheme="minorEastAsia" w:eastAsiaTheme="minorEastAsia"/>
          <w:i w:val="0"/>
          <w:color w:val="auto"/>
        </w:rPr>
        <w:t xml:space="preserve">8.3 </w:t>
      </w:r>
      <w:r>
        <w:rPr>
          <w:rStyle w:val="38"/>
          <w:rFonts w:hint="eastAsia" w:asciiTheme="minorEastAsia" w:hAnsiTheme="minorEastAsia" w:eastAsiaTheme="minorEastAsia"/>
          <w:i w:val="0"/>
          <w:color w:val="auto"/>
        </w:rPr>
        <w:t>对评标委员会成员的纪律要求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"_Toc516816295" </w:instrText>
      </w:r>
      <w:r>
        <w:rPr>
          <w:color w:val="auto"/>
        </w:rPr>
        <w:fldChar w:fldCharType="separate"/>
      </w:r>
      <w:r>
        <w:rPr>
          <w:rStyle w:val="38"/>
          <w:rFonts w:asciiTheme="minorEastAsia" w:hAnsiTheme="minorEastAsia" w:eastAsiaTheme="minorEastAsia"/>
          <w:i w:val="0"/>
          <w:color w:val="auto"/>
        </w:rPr>
        <w:t xml:space="preserve">8.4 </w:t>
      </w:r>
      <w:r>
        <w:rPr>
          <w:rStyle w:val="38"/>
          <w:rFonts w:hint="eastAsia" w:asciiTheme="minorEastAsia" w:hAnsiTheme="minorEastAsia" w:eastAsiaTheme="minorEastAsia"/>
          <w:i w:val="0"/>
          <w:color w:val="auto"/>
        </w:rPr>
        <w:t>对与评标活动有关的工作人员的纪律要求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"_Toc516816296" </w:instrText>
      </w:r>
      <w:r>
        <w:rPr>
          <w:color w:val="auto"/>
        </w:rPr>
        <w:fldChar w:fldCharType="separate"/>
      </w:r>
      <w:r>
        <w:rPr>
          <w:rStyle w:val="38"/>
          <w:rFonts w:asciiTheme="minorEastAsia" w:hAnsiTheme="minorEastAsia" w:eastAsiaTheme="minorEastAsia"/>
          <w:i w:val="0"/>
          <w:color w:val="auto"/>
        </w:rPr>
        <w:t xml:space="preserve">8.5 </w:t>
      </w:r>
      <w:r>
        <w:rPr>
          <w:rStyle w:val="38"/>
          <w:rFonts w:hint="eastAsia" w:asciiTheme="minorEastAsia" w:hAnsiTheme="minorEastAsia" w:eastAsiaTheme="minorEastAsia"/>
          <w:i w:val="0"/>
          <w:color w:val="auto"/>
        </w:rPr>
        <w:t>投诉</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_Toc516816296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"_Toc516816297" </w:instrText>
      </w:r>
      <w:r>
        <w:rPr>
          <w:color w:val="auto"/>
        </w:rPr>
        <w:fldChar w:fldCharType="separate"/>
      </w:r>
      <w:r>
        <w:rPr>
          <w:rStyle w:val="38"/>
          <w:rFonts w:asciiTheme="minorEastAsia" w:hAnsiTheme="minorEastAsia" w:eastAsiaTheme="minorEastAsia"/>
          <w:color w:val="auto"/>
        </w:rPr>
        <w:t xml:space="preserve">9. </w:t>
      </w:r>
      <w:r>
        <w:rPr>
          <w:rStyle w:val="38"/>
          <w:rFonts w:hint="eastAsia" w:asciiTheme="minorEastAsia" w:hAnsiTheme="minorEastAsia" w:eastAsiaTheme="minorEastAsia"/>
          <w:color w:val="auto"/>
        </w:rPr>
        <w:t>需要补充的其他内容</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_Toc516816297 \h </w:instrText>
      </w:r>
      <w:r>
        <w:rPr>
          <w:rFonts w:asciiTheme="minorEastAsia" w:hAnsiTheme="minorEastAsia"/>
          <w:color w:val="auto"/>
          <w:sz w:val="21"/>
          <w:szCs w:val="21"/>
        </w:rPr>
        <w:fldChar w:fldCharType="separate"/>
      </w:r>
      <w:r>
        <w:rPr>
          <w:rFonts w:asciiTheme="minorEastAsia" w:hAnsiTheme="minorEastAsia"/>
          <w:color w:val="auto"/>
          <w:sz w:val="21"/>
          <w:szCs w:val="21"/>
        </w:rPr>
        <w:t>31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"_Toc516816298" </w:instrText>
      </w:r>
      <w:r>
        <w:rPr>
          <w:color w:val="auto"/>
        </w:rPr>
        <w:fldChar w:fldCharType="separate"/>
      </w:r>
      <w:r>
        <w:rPr>
          <w:rStyle w:val="38"/>
          <w:rFonts w:hint="eastAsia" w:asciiTheme="minorEastAsia" w:hAnsiTheme="minorEastAsia" w:eastAsiaTheme="minorEastAsia"/>
          <w:color w:val="auto"/>
        </w:rPr>
        <w:t>附件一：开标记录表（格式）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_Toc516816298 \h </w:instrText>
      </w:r>
      <w:r>
        <w:rPr>
          <w:rFonts w:asciiTheme="minorEastAsia" w:hAnsiTheme="minorEastAsia"/>
          <w:color w:val="auto"/>
          <w:sz w:val="21"/>
          <w:szCs w:val="21"/>
        </w:rPr>
        <w:fldChar w:fldCharType="separate"/>
      </w:r>
      <w:r>
        <w:rPr>
          <w:rFonts w:asciiTheme="minorEastAsia" w:hAnsiTheme="minorEastAsia"/>
          <w:color w:val="auto"/>
          <w:sz w:val="21"/>
          <w:szCs w:val="21"/>
        </w:rPr>
        <w:t>32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"_Toc516816299" </w:instrText>
      </w:r>
      <w:r>
        <w:rPr>
          <w:color w:val="auto"/>
        </w:rPr>
        <w:fldChar w:fldCharType="separate"/>
      </w:r>
      <w:r>
        <w:rPr>
          <w:rStyle w:val="38"/>
          <w:rFonts w:hint="eastAsia" w:asciiTheme="minorEastAsia" w:hAnsiTheme="minorEastAsia" w:eastAsiaTheme="minorEastAsia"/>
          <w:color w:val="auto"/>
        </w:rPr>
        <w:t>附件二：问题澄清通知（格式）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_Toc516816299 \h </w:instrText>
      </w:r>
      <w:r>
        <w:rPr>
          <w:rFonts w:asciiTheme="minorEastAsia" w:hAnsiTheme="minorEastAsia"/>
          <w:color w:val="auto"/>
          <w:sz w:val="21"/>
          <w:szCs w:val="21"/>
        </w:rPr>
        <w:fldChar w:fldCharType="separate"/>
      </w:r>
      <w:r>
        <w:rPr>
          <w:rFonts w:asciiTheme="minorEastAsia" w:hAnsiTheme="minorEastAsia"/>
          <w:color w:val="auto"/>
          <w:sz w:val="21"/>
          <w:szCs w:val="21"/>
        </w:rPr>
        <w:t>33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"_Toc516816300" </w:instrText>
      </w:r>
      <w:r>
        <w:rPr>
          <w:color w:val="auto"/>
        </w:rPr>
        <w:fldChar w:fldCharType="separate"/>
      </w:r>
      <w:r>
        <w:rPr>
          <w:rStyle w:val="38"/>
          <w:rFonts w:hint="eastAsia" w:asciiTheme="minorEastAsia" w:hAnsiTheme="minorEastAsia" w:eastAsiaTheme="minorEastAsia"/>
          <w:color w:val="auto"/>
        </w:rPr>
        <w:t>附件三：问题的澄清（格式）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_Toc516816300 \h </w:instrText>
      </w:r>
      <w:r>
        <w:rPr>
          <w:rFonts w:asciiTheme="minorEastAsia" w:hAnsiTheme="minorEastAsia"/>
          <w:color w:val="auto"/>
          <w:sz w:val="21"/>
          <w:szCs w:val="21"/>
        </w:rPr>
        <w:fldChar w:fldCharType="separate"/>
      </w:r>
      <w:r>
        <w:rPr>
          <w:rFonts w:asciiTheme="minorEastAsia" w:hAnsiTheme="minorEastAsia"/>
          <w:color w:val="auto"/>
          <w:sz w:val="21"/>
          <w:szCs w:val="21"/>
        </w:rPr>
        <w:t>34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"_Toc516816301" </w:instrText>
      </w:r>
      <w:r>
        <w:rPr>
          <w:color w:val="auto"/>
        </w:rPr>
        <w:fldChar w:fldCharType="separate"/>
      </w:r>
      <w:r>
        <w:rPr>
          <w:rStyle w:val="38"/>
          <w:rFonts w:hint="eastAsia" w:asciiTheme="minorEastAsia" w:hAnsiTheme="minorEastAsia" w:eastAsiaTheme="minorEastAsia"/>
          <w:color w:val="auto"/>
        </w:rPr>
        <w:t>附件四：中标通知书（格式）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_Toc516816301 \h </w:instrText>
      </w:r>
      <w:r>
        <w:rPr>
          <w:rFonts w:asciiTheme="minorEastAsia" w:hAnsiTheme="minorEastAsia"/>
          <w:color w:val="auto"/>
          <w:sz w:val="21"/>
          <w:szCs w:val="21"/>
        </w:rPr>
        <w:fldChar w:fldCharType="separate"/>
      </w:r>
      <w:r>
        <w:rPr>
          <w:rFonts w:asciiTheme="minorEastAsia" w:hAnsiTheme="minorEastAsia"/>
          <w:color w:val="auto"/>
          <w:sz w:val="21"/>
          <w:szCs w:val="21"/>
        </w:rPr>
        <w:t>35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"_Toc516816302" </w:instrText>
      </w:r>
      <w:r>
        <w:rPr>
          <w:color w:val="auto"/>
        </w:rPr>
        <w:fldChar w:fldCharType="separate"/>
      </w:r>
      <w:r>
        <w:rPr>
          <w:rStyle w:val="38"/>
          <w:rFonts w:hint="eastAsia" w:asciiTheme="minorEastAsia" w:hAnsiTheme="minorEastAsia" w:eastAsiaTheme="minorEastAsia"/>
          <w:color w:val="auto"/>
        </w:rPr>
        <w:t>附件五：中标结果通知书（格式）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_Toc516816302 \h </w:instrText>
      </w:r>
      <w:r>
        <w:rPr>
          <w:rFonts w:asciiTheme="minorEastAsia" w:hAnsiTheme="minorEastAsia"/>
          <w:color w:val="auto"/>
          <w:sz w:val="21"/>
          <w:szCs w:val="21"/>
        </w:rPr>
        <w:fldChar w:fldCharType="separate"/>
      </w:r>
      <w:r>
        <w:rPr>
          <w:rFonts w:asciiTheme="minorEastAsia" w:hAnsiTheme="minorEastAsia"/>
          <w:color w:val="auto"/>
          <w:sz w:val="21"/>
          <w:szCs w:val="21"/>
        </w:rPr>
        <w:t>36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"_Toc516816303" </w:instrText>
      </w:r>
      <w:r>
        <w:rPr>
          <w:color w:val="auto"/>
        </w:rPr>
        <w:fldChar w:fldCharType="separate"/>
      </w:r>
      <w:r>
        <w:rPr>
          <w:rStyle w:val="38"/>
          <w:rFonts w:hint="eastAsia" w:asciiTheme="minorEastAsia" w:hAnsiTheme="minorEastAsia" w:eastAsiaTheme="minorEastAsia"/>
          <w:color w:val="auto"/>
        </w:rPr>
        <w:t>附件六：确认通知（格式）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_Toc516816303 \h </w:instrText>
      </w:r>
      <w:r>
        <w:rPr>
          <w:rFonts w:asciiTheme="minorEastAsia" w:hAnsiTheme="minorEastAsia"/>
          <w:color w:val="auto"/>
          <w:sz w:val="21"/>
          <w:szCs w:val="21"/>
        </w:rPr>
        <w:fldChar w:fldCharType="separate"/>
      </w:r>
      <w:r>
        <w:rPr>
          <w:rFonts w:asciiTheme="minorEastAsia" w:hAnsiTheme="minorEastAsia"/>
          <w:color w:val="auto"/>
          <w:sz w:val="21"/>
          <w:szCs w:val="21"/>
        </w:rPr>
        <w:t>37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"_Toc516816304" </w:instrText>
      </w:r>
      <w:r>
        <w:rPr>
          <w:color w:val="auto"/>
        </w:rPr>
        <w:fldChar w:fldCharType="separate"/>
      </w:r>
      <w:r>
        <w:rPr>
          <w:rStyle w:val="38"/>
          <w:rFonts w:hint="eastAsia" w:asciiTheme="minorEastAsia" w:hAnsiTheme="minorEastAsia" w:eastAsiaTheme="minorEastAsia"/>
          <w:color w:val="auto"/>
        </w:rPr>
        <w:t>第三章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评标办法（综合评估法）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_Toc516816304 \h </w:instrText>
      </w:r>
      <w:r>
        <w:rPr>
          <w:rFonts w:asciiTheme="minorEastAsia" w:hAnsiTheme="minorEastAsia"/>
          <w:color w:val="auto"/>
          <w:sz w:val="21"/>
          <w:szCs w:val="21"/>
        </w:rPr>
        <w:fldChar w:fldCharType="separate"/>
      </w:r>
      <w:r>
        <w:rPr>
          <w:rFonts w:asciiTheme="minorEastAsia" w:hAnsiTheme="minorEastAsia"/>
          <w:color w:val="auto"/>
          <w:sz w:val="21"/>
          <w:szCs w:val="21"/>
        </w:rPr>
        <w:t>38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"_Toc516816305" </w:instrText>
      </w:r>
      <w:r>
        <w:rPr>
          <w:color w:val="auto"/>
        </w:rPr>
        <w:fldChar w:fldCharType="separate"/>
      </w:r>
      <w:r>
        <w:rPr>
          <w:rStyle w:val="38"/>
          <w:rFonts w:hint="eastAsia" w:asciiTheme="minorEastAsia" w:hAnsiTheme="minorEastAsia" w:eastAsiaTheme="minorEastAsia"/>
          <w:color w:val="auto"/>
        </w:rPr>
        <w:t>评标办法前附表</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_Toc516816305 \h </w:instrText>
      </w:r>
      <w:r>
        <w:rPr>
          <w:rFonts w:asciiTheme="minorEastAsia" w:hAnsiTheme="minorEastAsia"/>
          <w:color w:val="auto"/>
          <w:sz w:val="21"/>
          <w:szCs w:val="21"/>
        </w:rPr>
        <w:fldChar w:fldCharType="separate"/>
      </w:r>
      <w:r>
        <w:rPr>
          <w:rFonts w:asciiTheme="minorEastAsia" w:hAnsiTheme="minorEastAsia"/>
          <w:color w:val="auto"/>
          <w:sz w:val="21"/>
          <w:szCs w:val="21"/>
        </w:rPr>
        <w:t>38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"_Toc516816306"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评标方法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_Toc516816306 \h </w:instrText>
      </w:r>
      <w:r>
        <w:rPr>
          <w:rFonts w:asciiTheme="minorEastAsia" w:hAnsiTheme="minorEastAsia"/>
          <w:color w:val="auto"/>
          <w:sz w:val="21"/>
          <w:szCs w:val="21"/>
        </w:rPr>
        <w:fldChar w:fldCharType="separate"/>
      </w:r>
      <w:r>
        <w:rPr>
          <w:rFonts w:asciiTheme="minorEastAsia" w:hAnsiTheme="minorEastAsia"/>
          <w:color w:val="auto"/>
          <w:sz w:val="21"/>
          <w:szCs w:val="21"/>
        </w:rPr>
        <w:t>46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"_Toc516816307"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评审标准</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_Toc516816307 \h </w:instrText>
      </w:r>
      <w:r>
        <w:rPr>
          <w:rFonts w:asciiTheme="minorEastAsia" w:hAnsiTheme="minorEastAsia"/>
          <w:color w:val="auto"/>
          <w:sz w:val="21"/>
          <w:szCs w:val="21"/>
        </w:rPr>
        <w:fldChar w:fldCharType="separate"/>
      </w:r>
      <w:r>
        <w:rPr>
          <w:rFonts w:asciiTheme="minorEastAsia" w:hAnsiTheme="minorEastAsia"/>
          <w:color w:val="auto"/>
          <w:sz w:val="21"/>
          <w:szCs w:val="21"/>
        </w:rPr>
        <w:t>46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"_Toc516816308" </w:instrText>
      </w:r>
      <w:r>
        <w:rPr>
          <w:color w:val="auto"/>
        </w:rPr>
        <w:fldChar w:fldCharType="separate"/>
      </w:r>
      <w:r>
        <w:rPr>
          <w:rStyle w:val="38"/>
          <w:rFonts w:asciiTheme="minorEastAsia" w:hAnsiTheme="minorEastAsia" w:eastAsiaTheme="minorEastAsia"/>
          <w:i w:val="0"/>
          <w:color w:val="auto"/>
        </w:rPr>
        <w:t xml:space="preserve">2.1 </w:t>
      </w:r>
      <w:r>
        <w:rPr>
          <w:rStyle w:val="38"/>
          <w:rFonts w:hint="eastAsia" w:asciiTheme="minorEastAsia" w:hAnsiTheme="minorEastAsia" w:eastAsiaTheme="minorEastAsia"/>
          <w:i w:val="0"/>
          <w:color w:val="auto"/>
        </w:rPr>
        <w:t>初步评审标准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_Toc516816308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"_Toc516816309" </w:instrText>
      </w:r>
      <w:r>
        <w:rPr>
          <w:color w:val="auto"/>
        </w:rPr>
        <w:fldChar w:fldCharType="separate"/>
      </w:r>
      <w:r>
        <w:rPr>
          <w:rStyle w:val="38"/>
          <w:rFonts w:asciiTheme="minorEastAsia" w:hAnsiTheme="minorEastAsia" w:eastAsiaTheme="minorEastAsia"/>
          <w:i w:val="0"/>
          <w:color w:val="auto"/>
        </w:rPr>
        <w:t xml:space="preserve">2.2 </w:t>
      </w:r>
      <w:r>
        <w:rPr>
          <w:rStyle w:val="38"/>
          <w:rFonts w:hint="eastAsia" w:asciiTheme="minorEastAsia" w:hAnsiTheme="minorEastAsia" w:eastAsiaTheme="minorEastAsia"/>
          <w:i w:val="0"/>
          <w:color w:val="auto"/>
        </w:rPr>
        <w:t>分值构成与评分标准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_Toc516816309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"_Toc516816310"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评标程序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_Toc516816310 \h </w:instrText>
      </w:r>
      <w:r>
        <w:rPr>
          <w:rFonts w:asciiTheme="minorEastAsia" w:hAnsiTheme="minorEastAsia"/>
          <w:color w:val="auto"/>
          <w:sz w:val="21"/>
          <w:szCs w:val="21"/>
        </w:rPr>
        <w:fldChar w:fldCharType="separate"/>
      </w:r>
      <w:r>
        <w:rPr>
          <w:rFonts w:asciiTheme="minorEastAsia" w:hAnsiTheme="minorEastAsia"/>
          <w:color w:val="auto"/>
          <w:sz w:val="21"/>
          <w:szCs w:val="21"/>
        </w:rPr>
        <w:t>47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"_Toc516816311" </w:instrText>
      </w:r>
      <w:r>
        <w:rPr>
          <w:color w:val="auto"/>
        </w:rPr>
        <w:fldChar w:fldCharType="separate"/>
      </w:r>
      <w:r>
        <w:rPr>
          <w:rStyle w:val="38"/>
          <w:rFonts w:asciiTheme="minorEastAsia" w:hAnsiTheme="minorEastAsia" w:eastAsiaTheme="minorEastAsia"/>
          <w:i w:val="0"/>
          <w:color w:val="auto"/>
        </w:rPr>
        <w:t xml:space="preserve">3.1 </w:t>
      </w:r>
      <w:r>
        <w:rPr>
          <w:rStyle w:val="38"/>
          <w:rFonts w:hint="eastAsia" w:asciiTheme="minorEastAsia" w:hAnsiTheme="minorEastAsia" w:eastAsiaTheme="minorEastAsia"/>
          <w:i w:val="0"/>
          <w:color w:val="auto"/>
        </w:rPr>
        <w:t>初步评审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_Toc516816311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"_Toc516816312" </w:instrText>
      </w:r>
      <w:r>
        <w:rPr>
          <w:color w:val="auto"/>
        </w:rPr>
        <w:fldChar w:fldCharType="separate"/>
      </w:r>
      <w:r>
        <w:rPr>
          <w:rStyle w:val="38"/>
          <w:rFonts w:asciiTheme="minorEastAsia" w:hAnsiTheme="minorEastAsia" w:eastAsiaTheme="minorEastAsia"/>
          <w:i w:val="0"/>
          <w:color w:val="auto"/>
        </w:rPr>
        <w:t xml:space="preserve">3.2 </w:t>
      </w:r>
      <w:r>
        <w:rPr>
          <w:rStyle w:val="38"/>
          <w:rFonts w:hint="eastAsia" w:asciiTheme="minorEastAsia" w:hAnsiTheme="minorEastAsia" w:eastAsiaTheme="minorEastAsia"/>
          <w:i w:val="0"/>
          <w:color w:val="auto"/>
        </w:rPr>
        <w:t>详细评审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_Toc516816312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"_Toc516816313" </w:instrText>
      </w:r>
      <w:r>
        <w:rPr>
          <w:color w:val="auto"/>
        </w:rPr>
        <w:fldChar w:fldCharType="separate"/>
      </w:r>
      <w:r>
        <w:rPr>
          <w:rStyle w:val="38"/>
          <w:rFonts w:asciiTheme="minorEastAsia" w:hAnsiTheme="minorEastAsia" w:eastAsiaTheme="minorEastAsia"/>
          <w:i w:val="0"/>
          <w:color w:val="auto"/>
        </w:rPr>
        <w:t xml:space="preserve">3.3 </w:t>
      </w:r>
      <w:r>
        <w:rPr>
          <w:rStyle w:val="38"/>
          <w:rFonts w:hint="eastAsia" w:asciiTheme="minorEastAsia" w:hAnsiTheme="minorEastAsia" w:eastAsiaTheme="minorEastAsia"/>
          <w:i w:val="0"/>
          <w:color w:val="auto"/>
        </w:rPr>
        <w:t>投标文件的澄清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_Toc516816313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"_Toc516816314" </w:instrText>
      </w:r>
      <w:r>
        <w:rPr>
          <w:color w:val="auto"/>
        </w:rPr>
        <w:fldChar w:fldCharType="separate"/>
      </w:r>
      <w:r>
        <w:rPr>
          <w:rStyle w:val="38"/>
          <w:rFonts w:asciiTheme="minorEastAsia" w:hAnsiTheme="minorEastAsia" w:eastAsiaTheme="minorEastAsia"/>
          <w:i w:val="0"/>
          <w:color w:val="auto"/>
        </w:rPr>
        <w:t xml:space="preserve">3.4 </w:t>
      </w:r>
      <w:r>
        <w:rPr>
          <w:rStyle w:val="38"/>
          <w:rFonts w:hint="eastAsia" w:asciiTheme="minorEastAsia" w:hAnsiTheme="minorEastAsia" w:eastAsiaTheme="minorEastAsia"/>
          <w:i w:val="0"/>
          <w:color w:val="auto"/>
        </w:rPr>
        <w:t>评标结果</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_Toc516816314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"_Toc516816315" </w:instrText>
      </w:r>
      <w:r>
        <w:rPr>
          <w:color w:val="auto"/>
        </w:rPr>
        <w:fldChar w:fldCharType="separate"/>
      </w:r>
      <w:r>
        <w:rPr>
          <w:rStyle w:val="38"/>
          <w:rFonts w:hint="eastAsia" w:asciiTheme="minorEastAsia" w:hAnsiTheme="minorEastAsia" w:eastAsiaTheme="minorEastAsia"/>
          <w:color w:val="auto"/>
        </w:rPr>
        <w:t>第三章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评标办法（经评审的最低投标价法）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_Toc516816315 \h </w:instrText>
      </w:r>
      <w:r>
        <w:rPr>
          <w:rFonts w:asciiTheme="minorEastAsia" w:hAnsiTheme="minorEastAsia"/>
          <w:color w:val="auto"/>
          <w:sz w:val="21"/>
          <w:szCs w:val="21"/>
        </w:rPr>
        <w:fldChar w:fldCharType="separate"/>
      </w:r>
      <w:r>
        <w:rPr>
          <w:rFonts w:asciiTheme="minorEastAsia" w:hAnsiTheme="minorEastAsia"/>
          <w:color w:val="auto"/>
          <w:sz w:val="21"/>
          <w:szCs w:val="21"/>
        </w:rPr>
        <w:t>49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"_Toc516816316" </w:instrText>
      </w:r>
      <w:r>
        <w:rPr>
          <w:color w:val="auto"/>
        </w:rPr>
        <w:fldChar w:fldCharType="separate"/>
      </w:r>
      <w:r>
        <w:rPr>
          <w:rStyle w:val="38"/>
          <w:rFonts w:hint="eastAsia" w:asciiTheme="minorEastAsia" w:hAnsiTheme="minorEastAsia" w:eastAsiaTheme="minorEastAsia"/>
          <w:color w:val="auto"/>
        </w:rPr>
        <w:t>评标办法前附表</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_Toc516816316 \h </w:instrText>
      </w:r>
      <w:r>
        <w:rPr>
          <w:rFonts w:asciiTheme="minorEastAsia" w:hAnsiTheme="minorEastAsia"/>
          <w:color w:val="auto"/>
          <w:sz w:val="21"/>
          <w:szCs w:val="21"/>
        </w:rPr>
        <w:fldChar w:fldCharType="separate"/>
      </w:r>
      <w:r>
        <w:rPr>
          <w:rFonts w:asciiTheme="minorEastAsia" w:hAnsiTheme="minorEastAsia"/>
          <w:color w:val="auto"/>
          <w:sz w:val="21"/>
          <w:szCs w:val="21"/>
        </w:rPr>
        <w:t>49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"_Toc516816317"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评标方法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_Toc516816317 \h </w:instrText>
      </w:r>
      <w:r>
        <w:rPr>
          <w:rFonts w:asciiTheme="minorEastAsia" w:hAnsiTheme="minorEastAsia"/>
          <w:color w:val="auto"/>
          <w:sz w:val="21"/>
          <w:szCs w:val="21"/>
        </w:rPr>
        <w:fldChar w:fldCharType="separate"/>
      </w:r>
      <w:r>
        <w:rPr>
          <w:rFonts w:asciiTheme="minorEastAsia" w:hAnsiTheme="minorEastAsia"/>
          <w:color w:val="auto"/>
          <w:sz w:val="21"/>
          <w:szCs w:val="21"/>
        </w:rPr>
        <w:t>54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"_Toc516816318"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评审标准</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_Toc516816318 \h </w:instrText>
      </w:r>
      <w:r>
        <w:rPr>
          <w:rFonts w:asciiTheme="minorEastAsia" w:hAnsiTheme="minorEastAsia"/>
          <w:color w:val="auto"/>
          <w:sz w:val="21"/>
          <w:szCs w:val="21"/>
        </w:rPr>
        <w:fldChar w:fldCharType="separate"/>
      </w:r>
      <w:r>
        <w:rPr>
          <w:rFonts w:asciiTheme="minorEastAsia" w:hAnsiTheme="minorEastAsia"/>
          <w:color w:val="auto"/>
          <w:sz w:val="21"/>
          <w:szCs w:val="21"/>
        </w:rPr>
        <w:t>54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"_Toc516816319" </w:instrText>
      </w:r>
      <w:r>
        <w:rPr>
          <w:color w:val="auto"/>
        </w:rPr>
        <w:fldChar w:fldCharType="separate"/>
      </w:r>
      <w:r>
        <w:rPr>
          <w:rStyle w:val="38"/>
          <w:rFonts w:asciiTheme="minorEastAsia" w:hAnsiTheme="minorEastAsia" w:eastAsiaTheme="minorEastAsia"/>
          <w:i w:val="0"/>
          <w:color w:val="auto"/>
        </w:rPr>
        <w:t xml:space="preserve">2.1 </w:t>
      </w:r>
      <w:r>
        <w:rPr>
          <w:rStyle w:val="38"/>
          <w:rFonts w:hint="eastAsia" w:asciiTheme="minorEastAsia" w:hAnsiTheme="minorEastAsia" w:eastAsiaTheme="minorEastAsia"/>
          <w:i w:val="0"/>
          <w:color w:val="auto"/>
        </w:rPr>
        <w:t>初步评审标准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_Toc516816319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"_Toc516816320" </w:instrText>
      </w:r>
      <w:r>
        <w:rPr>
          <w:color w:val="auto"/>
        </w:rPr>
        <w:fldChar w:fldCharType="separate"/>
      </w:r>
      <w:r>
        <w:rPr>
          <w:rStyle w:val="38"/>
          <w:rFonts w:asciiTheme="minorEastAsia" w:hAnsiTheme="minorEastAsia" w:eastAsiaTheme="minorEastAsia"/>
          <w:i w:val="0"/>
          <w:color w:val="auto"/>
        </w:rPr>
        <w:t xml:space="preserve">2.2 </w:t>
      </w:r>
      <w:r>
        <w:rPr>
          <w:rStyle w:val="38"/>
          <w:rFonts w:hint="eastAsia" w:asciiTheme="minorEastAsia" w:hAnsiTheme="minorEastAsia" w:eastAsiaTheme="minorEastAsia"/>
          <w:i w:val="0"/>
          <w:color w:val="auto"/>
        </w:rPr>
        <w:t>详细评审标准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"_Toc516816321"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评标程序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_Toc516816321 \h </w:instrText>
      </w:r>
      <w:r>
        <w:rPr>
          <w:rFonts w:asciiTheme="minorEastAsia" w:hAnsiTheme="minorEastAsia"/>
          <w:color w:val="auto"/>
          <w:sz w:val="21"/>
          <w:szCs w:val="21"/>
        </w:rPr>
        <w:fldChar w:fldCharType="separate"/>
      </w:r>
      <w:r>
        <w:rPr>
          <w:rFonts w:asciiTheme="minorEastAsia" w:hAnsiTheme="minorEastAsia"/>
          <w:color w:val="auto"/>
          <w:sz w:val="21"/>
          <w:szCs w:val="21"/>
        </w:rPr>
        <w:t>54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"_Toc516816322" </w:instrText>
      </w:r>
      <w:r>
        <w:rPr>
          <w:color w:val="auto"/>
        </w:rPr>
        <w:fldChar w:fldCharType="separate"/>
      </w:r>
      <w:r>
        <w:rPr>
          <w:rStyle w:val="38"/>
          <w:rFonts w:asciiTheme="minorEastAsia" w:hAnsiTheme="minorEastAsia" w:eastAsiaTheme="minorEastAsia"/>
          <w:i w:val="0"/>
          <w:color w:val="auto"/>
        </w:rPr>
        <w:t xml:space="preserve">3.1 </w:t>
      </w:r>
      <w:r>
        <w:rPr>
          <w:rStyle w:val="38"/>
          <w:rFonts w:hint="eastAsia" w:asciiTheme="minorEastAsia" w:hAnsiTheme="minorEastAsia" w:eastAsiaTheme="minorEastAsia"/>
          <w:i w:val="0"/>
          <w:color w:val="auto"/>
        </w:rPr>
        <w:t>初步评审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"_Toc516816323" </w:instrText>
      </w:r>
      <w:r>
        <w:rPr>
          <w:color w:val="auto"/>
        </w:rPr>
        <w:fldChar w:fldCharType="separate"/>
      </w:r>
      <w:r>
        <w:rPr>
          <w:rStyle w:val="38"/>
          <w:rFonts w:asciiTheme="minorEastAsia" w:hAnsiTheme="minorEastAsia" w:eastAsiaTheme="minorEastAsia"/>
          <w:i w:val="0"/>
          <w:color w:val="auto"/>
        </w:rPr>
        <w:t xml:space="preserve">3.2 </w:t>
      </w:r>
      <w:r>
        <w:rPr>
          <w:rStyle w:val="38"/>
          <w:rFonts w:hint="eastAsia" w:asciiTheme="minorEastAsia" w:hAnsiTheme="minorEastAsia" w:eastAsiaTheme="minorEastAsia"/>
          <w:i w:val="0"/>
          <w:color w:val="auto"/>
        </w:rPr>
        <w:t>详细评审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"_Toc516816324" </w:instrText>
      </w:r>
      <w:r>
        <w:rPr>
          <w:color w:val="auto"/>
        </w:rPr>
        <w:fldChar w:fldCharType="separate"/>
      </w:r>
      <w:r>
        <w:rPr>
          <w:rStyle w:val="38"/>
          <w:rFonts w:asciiTheme="minorEastAsia" w:hAnsiTheme="minorEastAsia" w:eastAsiaTheme="minorEastAsia"/>
          <w:i w:val="0"/>
          <w:color w:val="auto"/>
        </w:rPr>
        <w:t xml:space="preserve">3.3 </w:t>
      </w:r>
      <w:r>
        <w:rPr>
          <w:rStyle w:val="38"/>
          <w:rFonts w:hint="eastAsia" w:asciiTheme="minorEastAsia" w:hAnsiTheme="minorEastAsia" w:eastAsiaTheme="minorEastAsia"/>
          <w:i w:val="0"/>
          <w:color w:val="auto"/>
        </w:rPr>
        <w:t>投标文件的澄清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"_Toc516816325" </w:instrText>
      </w:r>
      <w:r>
        <w:rPr>
          <w:color w:val="auto"/>
        </w:rPr>
        <w:fldChar w:fldCharType="separate"/>
      </w:r>
      <w:r>
        <w:rPr>
          <w:rStyle w:val="38"/>
          <w:rFonts w:asciiTheme="minorEastAsia" w:hAnsiTheme="minorEastAsia" w:eastAsiaTheme="minorEastAsia"/>
          <w:i w:val="0"/>
          <w:color w:val="auto"/>
        </w:rPr>
        <w:t xml:space="preserve">3.4 </w:t>
      </w:r>
      <w:r>
        <w:rPr>
          <w:rStyle w:val="38"/>
          <w:rFonts w:hint="eastAsia" w:asciiTheme="minorEastAsia" w:hAnsiTheme="minorEastAsia" w:eastAsiaTheme="minorEastAsia"/>
          <w:i w:val="0"/>
          <w:color w:val="auto"/>
        </w:rPr>
        <w:t>评标结果</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"_Toc516816326" </w:instrText>
      </w:r>
      <w:r>
        <w:rPr>
          <w:color w:val="auto"/>
        </w:rPr>
        <w:fldChar w:fldCharType="separate"/>
      </w:r>
      <w:r>
        <w:rPr>
          <w:rStyle w:val="38"/>
          <w:rFonts w:hint="eastAsia" w:asciiTheme="minorEastAsia" w:hAnsiTheme="minorEastAsia" w:eastAsiaTheme="minorEastAsia"/>
          <w:color w:val="auto"/>
        </w:rPr>
        <w:t>第四章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合同条款及格式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_Toc516816326 \h </w:instrText>
      </w:r>
      <w:r>
        <w:rPr>
          <w:rFonts w:asciiTheme="minorEastAsia" w:hAnsiTheme="minorEastAsia"/>
          <w:color w:val="auto"/>
          <w:sz w:val="21"/>
          <w:szCs w:val="21"/>
        </w:rPr>
        <w:fldChar w:fldCharType="separate"/>
      </w:r>
      <w:r>
        <w:rPr>
          <w:rFonts w:asciiTheme="minorEastAsia" w:hAnsiTheme="minorEastAsia"/>
          <w:color w:val="auto"/>
          <w:sz w:val="21"/>
          <w:szCs w:val="21"/>
        </w:rPr>
        <w:t>56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"_Toc516816327" </w:instrText>
      </w:r>
      <w:r>
        <w:rPr>
          <w:color w:val="auto"/>
        </w:rPr>
        <w:fldChar w:fldCharType="separate"/>
      </w:r>
      <w:r>
        <w:rPr>
          <w:rStyle w:val="38"/>
          <w:rFonts w:hint="eastAsia" w:asciiTheme="minorEastAsia" w:hAnsiTheme="minorEastAsia" w:eastAsiaTheme="minorEastAsia"/>
          <w:color w:val="auto"/>
        </w:rPr>
        <w:t>第一节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通用合同条款</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_Toc516816327 \h </w:instrText>
      </w:r>
      <w:r>
        <w:rPr>
          <w:rFonts w:asciiTheme="minorEastAsia" w:hAnsiTheme="minorEastAsia"/>
          <w:color w:val="auto"/>
          <w:sz w:val="21"/>
          <w:szCs w:val="21"/>
        </w:rPr>
        <w:fldChar w:fldCharType="separate"/>
      </w:r>
      <w:r>
        <w:rPr>
          <w:rFonts w:asciiTheme="minorEastAsia" w:hAnsiTheme="minorEastAsia"/>
          <w:color w:val="auto"/>
          <w:sz w:val="21"/>
          <w:szCs w:val="21"/>
        </w:rPr>
        <w:t>57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"_Toc516816328" </w:instrText>
      </w:r>
      <w:r>
        <w:rPr>
          <w:color w:val="auto"/>
        </w:rPr>
        <w:fldChar w:fldCharType="separate"/>
      </w:r>
      <w:r>
        <w:rPr>
          <w:rStyle w:val="38"/>
          <w:rFonts w:asciiTheme="minorEastAsia" w:hAnsiTheme="minorEastAsia" w:eastAsiaTheme="minorEastAsia"/>
          <w:i w:val="0"/>
          <w:color w:val="auto"/>
        </w:rPr>
        <w:t xml:space="preserve">1 </w:t>
      </w:r>
      <w:r>
        <w:rPr>
          <w:rStyle w:val="38"/>
          <w:rFonts w:hint="eastAsia" w:asciiTheme="minorEastAsia" w:hAnsiTheme="minorEastAsia" w:eastAsiaTheme="minorEastAsia"/>
          <w:i w:val="0"/>
          <w:color w:val="auto"/>
        </w:rPr>
        <w:t>一般约定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"_Toc516816329" </w:instrText>
      </w:r>
      <w:r>
        <w:rPr>
          <w:color w:val="auto"/>
        </w:rPr>
        <w:fldChar w:fldCharType="separate"/>
      </w:r>
      <w:r>
        <w:rPr>
          <w:rStyle w:val="38"/>
          <w:rFonts w:asciiTheme="minorEastAsia" w:hAnsiTheme="minorEastAsia" w:eastAsiaTheme="minorEastAsia"/>
          <w:i w:val="0"/>
          <w:color w:val="auto"/>
        </w:rPr>
        <w:t xml:space="preserve">2 </w:t>
      </w:r>
      <w:r>
        <w:rPr>
          <w:rStyle w:val="38"/>
          <w:rFonts w:hint="eastAsia" w:asciiTheme="minorEastAsia" w:hAnsiTheme="minorEastAsia" w:eastAsiaTheme="minorEastAsia"/>
          <w:i w:val="0"/>
          <w:color w:val="auto"/>
        </w:rPr>
        <w:t>发包人义务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_Toc516816329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"_Toc516816330" </w:instrText>
      </w:r>
      <w:r>
        <w:rPr>
          <w:color w:val="auto"/>
        </w:rPr>
        <w:fldChar w:fldCharType="separate"/>
      </w:r>
      <w:r>
        <w:rPr>
          <w:rStyle w:val="38"/>
          <w:rFonts w:asciiTheme="minorEastAsia" w:hAnsiTheme="minorEastAsia" w:eastAsiaTheme="minorEastAsia"/>
          <w:i w:val="0"/>
          <w:color w:val="auto"/>
        </w:rPr>
        <w:t xml:space="preserve">3 </w:t>
      </w:r>
      <w:r>
        <w:rPr>
          <w:rStyle w:val="38"/>
          <w:rFonts w:hint="eastAsia" w:asciiTheme="minorEastAsia" w:hAnsiTheme="minorEastAsia" w:eastAsiaTheme="minorEastAsia"/>
          <w:i w:val="0"/>
          <w:color w:val="auto"/>
        </w:rPr>
        <w:t>监理人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"_Toc516816331" </w:instrText>
      </w:r>
      <w:r>
        <w:rPr>
          <w:color w:val="auto"/>
        </w:rPr>
        <w:fldChar w:fldCharType="separate"/>
      </w:r>
      <w:r>
        <w:rPr>
          <w:rStyle w:val="38"/>
          <w:rFonts w:asciiTheme="minorEastAsia" w:hAnsiTheme="minorEastAsia" w:eastAsiaTheme="minorEastAsia"/>
          <w:i w:val="0"/>
          <w:color w:val="auto"/>
        </w:rPr>
        <w:t xml:space="preserve">4 </w:t>
      </w:r>
      <w:r>
        <w:rPr>
          <w:rStyle w:val="38"/>
          <w:rFonts w:hint="eastAsia" w:asciiTheme="minorEastAsia" w:hAnsiTheme="minorEastAsia" w:eastAsiaTheme="minorEastAsia"/>
          <w:i w:val="0"/>
          <w:color w:val="auto"/>
        </w:rPr>
        <w:t>承包人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"_Toc516816332" </w:instrText>
      </w:r>
      <w:r>
        <w:rPr>
          <w:color w:val="auto"/>
        </w:rPr>
        <w:fldChar w:fldCharType="separate"/>
      </w:r>
      <w:r>
        <w:rPr>
          <w:rStyle w:val="38"/>
          <w:rFonts w:asciiTheme="minorEastAsia" w:hAnsiTheme="minorEastAsia" w:eastAsiaTheme="minorEastAsia"/>
          <w:i w:val="0"/>
          <w:color w:val="auto"/>
        </w:rPr>
        <w:t xml:space="preserve">5 </w:t>
      </w:r>
      <w:r>
        <w:rPr>
          <w:rStyle w:val="38"/>
          <w:rFonts w:hint="eastAsia" w:asciiTheme="minorEastAsia" w:hAnsiTheme="minorEastAsia" w:eastAsiaTheme="minorEastAsia"/>
          <w:i w:val="0"/>
          <w:color w:val="auto"/>
        </w:rPr>
        <w:t>材料和工程设备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"_Toc516816333" </w:instrText>
      </w:r>
      <w:r>
        <w:rPr>
          <w:color w:val="auto"/>
        </w:rPr>
        <w:fldChar w:fldCharType="separate"/>
      </w:r>
      <w:r>
        <w:rPr>
          <w:rStyle w:val="38"/>
          <w:rFonts w:asciiTheme="minorEastAsia" w:hAnsiTheme="minorEastAsia" w:eastAsiaTheme="minorEastAsia"/>
          <w:i w:val="0"/>
          <w:color w:val="auto"/>
        </w:rPr>
        <w:t xml:space="preserve">6 </w:t>
      </w:r>
      <w:r>
        <w:rPr>
          <w:rStyle w:val="38"/>
          <w:rFonts w:hint="eastAsia" w:asciiTheme="minorEastAsia" w:hAnsiTheme="minorEastAsia" w:eastAsiaTheme="minorEastAsia"/>
          <w:i w:val="0"/>
          <w:color w:val="auto"/>
        </w:rPr>
        <w:t>施工设备和临时设施</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"_Toc516816334" </w:instrText>
      </w:r>
      <w:r>
        <w:rPr>
          <w:color w:val="auto"/>
        </w:rPr>
        <w:fldChar w:fldCharType="separate"/>
      </w:r>
      <w:r>
        <w:rPr>
          <w:rStyle w:val="38"/>
          <w:rFonts w:asciiTheme="minorEastAsia" w:hAnsiTheme="minorEastAsia" w:eastAsiaTheme="minorEastAsia"/>
          <w:i w:val="0"/>
          <w:color w:val="auto"/>
        </w:rPr>
        <w:t xml:space="preserve">7 </w:t>
      </w:r>
      <w:r>
        <w:rPr>
          <w:rStyle w:val="38"/>
          <w:rFonts w:hint="eastAsia" w:asciiTheme="minorEastAsia" w:hAnsiTheme="minorEastAsia" w:eastAsiaTheme="minorEastAsia"/>
          <w:i w:val="0"/>
          <w:color w:val="auto"/>
        </w:rPr>
        <w:t>交通运输</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"_Toc516816335" </w:instrText>
      </w:r>
      <w:r>
        <w:rPr>
          <w:color w:val="auto"/>
        </w:rPr>
        <w:fldChar w:fldCharType="separate"/>
      </w:r>
      <w:r>
        <w:rPr>
          <w:rStyle w:val="38"/>
          <w:rFonts w:asciiTheme="minorEastAsia" w:hAnsiTheme="minorEastAsia" w:eastAsiaTheme="minorEastAsia"/>
          <w:i w:val="0"/>
          <w:color w:val="auto"/>
        </w:rPr>
        <w:t xml:space="preserve">8 </w:t>
      </w:r>
      <w:r>
        <w:rPr>
          <w:rStyle w:val="38"/>
          <w:rFonts w:hint="eastAsia" w:asciiTheme="minorEastAsia" w:hAnsiTheme="minorEastAsia" w:eastAsiaTheme="minorEastAsia"/>
          <w:i w:val="0"/>
          <w:color w:val="auto"/>
        </w:rPr>
        <w:t>测量放线</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"_Toc516816336" </w:instrText>
      </w:r>
      <w:r>
        <w:rPr>
          <w:color w:val="auto"/>
        </w:rPr>
        <w:fldChar w:fldCharType="separate"/>
      </w:r>
      <w:r>
        <w:rPr>
          <w:rStyle w:val="38"/>
          <w:rFonts w:asciiTheme="minorEastAsia" w:hAnsiTheme="minorEastAsia" w:eastAsiaTheme="minorEastAsia"/>
          <w:i w:val="0"/>
          <w:color w:val="auto"/>
        </w:rPr>
        <w:t xml:space="preserve">9 </w:t>
      </w:r>
      <w:r>
        <w:rPr>
          <w:rStyle w:val="38"/>
          <w:rFonts w:hint="eastAsia" w:asciiTheme="minorEastAsia" w:hAnsiTheme="minorEastAsia" w:eastAsiaTheme="minorEastAsia"/>
          <w:i w:val="0"/>
          <w:color w:val="auto"/>
        </w:rPr>
        <w:t>施工安全、治安保卫和环境保护</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"_Toc516816337" </w:instrText>
      </w:r>
      <w:r>
        <w:rPr>
          <w:color w:val="auto"/>
        </w:rPr>
        <w:fldChar w:fldCharType="separate"/>
      </w:r>
      <w:r>
        <w:rPr>
          <w:rStyle w:val="38"/>
          <w:rFonts w:asciiTheme="minorEastAsia" w:hAnsiTheme="minorEastAsia" w:eastAsiaTheme="minorEastAsia"/>
          <w:i w:val="0"/>
          <w:color w:val="auto"/>
        </w:rPr>
        <w:t xml:space="preserve">10 </w:t>
      </w:r>
      <w:r>
        <w:rPr>
          <w:rStyle w:val="38"/>
          <w:rFonts w:hint="eastAsia" w:asciiTheme="minorEastAsia" w:hAnsiTheme="minorEastAsia" w:eastAsiaTheme="minorEastAsia"/>
          <w:i w:val="0"/>
          <w:color w:val="auto"/>
        </w:rPr>
        <w:t>进度计划</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"_Toc516816338" </w:instrText>
      </w:r>
      <w:r>
        <w:rPr>
          <w:color w:val="auto"/>
        </w:rPr>
        <w:fldChar w:fldCharType="separate"/>
      </w:r>
      <w:r>
        <w:rPr>
          <w:rStyle w:val="38"/>
          <w:rFonts w:asciiTheme="minorEastAsia" w:hAnsiTheme="minorEastAsia" w:eastAsiaTheme="minorEastAsia"/>
          <w:i w:val="0"/>
          <w:color w:val="auto"/>
        </w:rPr>
        <w:t xml:space="preserve">11 </w:t>
      </w:r>
      <w:r>
        <w:rPr>
          <w:rStyle w:val="38"/>
          <w:rFonts w:hint="eastAsia" w:asciiTheme="minorEastAsia" w:hAnsiTheme="minorEastAsia" w:eastAsiaTheme="minorEastAsia"/>
          <w:i w:val="0"/>
          <w:color w:val="auto"/>
        </w:rPr>
        <w:t>开工和竣工（完工）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"_Toc516816339" </w:instrText>
      </w:r>
      <w:r>
        <w:rPr>
          <w:color w:val="auto"/>
        </w:rPr>
        <w:fldChar w:fldCharType="separate"/>
      </w:r>
      <w:r>
        <w:rPr>
          <w:rStyle w:val="38"/>
          <w:rFonts w:asciiTheme="minorEastAsia" w:hAnsiTheme="minorEastAsia" w:eastAsiaTheme="minorEastAsia"/>
          <w:i w:val="0"/>
          <w:color w:val="auto"/>
        </w:rPr>
        <w:t xml:space="preserve">12 </w:t>
      </w:r>
      <w:r>
        <w:rPr>
          <w:rStyle w:val="38"/>
          <w:rFonts w:hint="eastAsia" w:asciiTheme="minorEastAsia" w:hAnsiTheme="minorEastAsia" w:eastAsiaTheme="minorEastAsia"/>
          <w:i w:val="0"/>
          <w:color w:val="auto"/>
        </w:rPr>
        <w:t>暂停施工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_Toc516816339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"_Toc516816340" </w:instrText>
      </w:r>
      <w:r>
        <w:rPr>
          <w:color w:val="auto"/>
        </w:rPr>
        <w:fldChar w:fldCharType="separate"/>
      </w:r>
      <w:r>
        <w:rPr>
          <w:rStyle w:val="38"/>
          <w:rFonts w:asciiTheme="minorEastAsia" w:hAnsiTheme="minorEastAsia" w:eastAsiaTheme="minorEastAsia"/>
          <w:i w:val="0"/>
          <w:color w:val="auto"/>
        </w:rPr>
        <w:t xml:space="preserve">13 </w:t>
      </w:r>
      <w:r>
        <w:rPr>
          <w:rStyle w:val="38"/>
          <w:rFonts w:hint="eastAsia" w:asciiTheme="minorEastAsia" w:hAnsiTheme="minorEastAsia" w:eastAsiaTheme="minorEastAsia"/>
          <w:i w:val="0"/>
          <w:color w:val="auto"/>
        </w:rPr>
        <w:t>工程质量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"_Toc516816341" </w:instrText>
      </w:r>
      <w:r>
        <w:rPr>
          <w:color w:val="auto"/>
        </w:rPr>
        <w:fldChar w:fldCharType="separate"/>
      </w:r>
      <w:r>
        <w:rPr>
          <w:rStyle w:val="38"/>
          <w:rFonts w:asciiTheme="minorEastAsia" w:hAnsiTheme="minorEastAsia" w:eastAsiaTheme="minorEastAsia"/>
          <w:i w:val="0"/>
          <w:color w:val="auto"/>
        </w:rPr>
        <w:t xml:space="preserve">14 </w:t>
      </w:r>
      <w:r>
        <w:rPr>
          <w:rStyle w:val="38"/>
          <w:rFonts w:hint="eastAsia" w:asciiTheme="minorEastAsia" w:hAnsiTheme="minorEastAsia" w:eastAsiaTheme="minorEastAsia"/>
          <w:i w:val="0"/>
          <w:color w:val="auto"/>
        </w:rPr>
        <w:t>试验和检验</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"_Toc516816342" </w:instrText>
      </w:r>
      <w:r>
        <w:rPr>
          <w:color w:val="auto"/>
        </w:rPr>
        <w:fldChar w:fldCharType="separate"/>
      </w:r>
      <w:r>
        <w:rPr>
          <w:rStyle w:val="38"/>
          <w:rFonts w:asciiTheme="minorEastAsia" w:hAnsiTheme="minorEastAsia" w:eastAsiaTheme="minorEastAsia"/>
          <w:i w:val="0"/>
          <w:color w:val="auto"/>
        </w:rPr>
        <w:t xml:space="preserve">15 </w:t>
      </w:r>
      <w:r>
        <w:rPr>
          <w:rStyle w:val="38"/>
          <w:rFonts w:hint="eastAsia" w:asciiTheme="minorEastAsia" w:hAnsiTheme="minorEastAsia" w:eastAsiaTheme="minorEastAsia"/>
          <w:i w:val="0"/>
          <w:color w:val="auto"/>
        </w:rPr>
        <w:t>变更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"_Toc516816343" </w:instrText>
      </w:r>
      <w:r>
        <w:rPr>
          <w:color w:val="auto"/>
        </w:rPr>
        <w:fldChar w:fldCharType="separate"/>
      </w:r>
      <w:r>
        <w:rPr>
          <w:rStyle w:val="38"/>
          <w:rFonts w:asciiTheme="minorEastAsia" w:hAnsiTheme="minorEastAsia" w:eastAsiaTheme="minorEastAsia"/>
          <w:i w:val="0"/>
          <w:color w:val="auto"/>
        </w:rPr>
        <w:t xml:space="preserve">16 </w:t>
      </w:r>
      <w:r>
        <w:rPr>
          <w:rStyle w:val="38"/>
          <w:rFonts w:hint="eastAsia" w:asciiTheme="minorEastAsia" w:hAnsiTheme="minorEastAsia" w:eastAsiaTheme="minorEastAsia"/>
          <w:i w:val="0"/>
          <w:color w:val="auto"/>
        </w:rPr>
        <w:t>价格调整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"_Toc516816344" </w:instrText>
      </w:r>
      <w:r>
        <w:rPr>
          <w:color w:val="auto"/>
        </w:rPr>
        <w:fldChar w:fldCharType="separate"/>
      </w:r>
      <w:r>
        <w:rPr>
          <w:rStyle w:val="38"/>
          <w:rFonts w:asciiTheme="minorEastAsia" w:hAnsiTheme="minorEastAsia" w:eastAsiaTheme="minorEastAsia"/>
          <w:i w:val="0"/>
          <w:color w:val="auto"/>
        </w:rPr>
        <w:t xml:space="preserve">17 </w:t>
      </w:r>
      <w:r>
        <w:rPr>
          <w:rStyle w:val="38"/>
          <w:rFonts w:hint="eastAsia" w:asciiTheme="minorEastAsia" w:hAnsiTheme="minorEastAsia" w:eastAsiaTheme="minorEastAsia"/>
          <w:i w:val="0"/>
          <w:color w:val="auto"/>
        </w:rPr>
        <w:t>计量与支付</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"_Toc516816345" </w:instrText>
      </w:r>
      <w:r>
        <w:rPr>
          <w:color w:val="auto"/>
        </w:rPr>
        <w:fldChar w:fldCharType="separate"/>
      </w:r>
      <w:r>
        <w:rPr>
          <w:rStyle w:val="38"/>
          <w:rFonts w:asciiTheme="minorEastAsia" w:hAnsiTheme="minorEastAsia" w:eastAsiaTheme="minorEastAsia"/>
          <w:i w:val="0"/>
          <w:color w:val="auto"/>
        </w:rPr>
        <w:t xml:space="preserve">18 </w:t>
      </w:r>
      <w:r>
        <w:rPr>
          <w:rStyle w:val="38"/>
          <w:rFonts w:hint="eastAsia" w:asciiTheme="minorEastAsia" w:hAnsiTheme="minorEastAsia" w:eastAsiaTheme="minorEastAsia"/>
          <w:i w:val="0"/>
          <w:color w:val="auto"/>
        </w:rPr>
        <w:t>竣工验收（验收）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"_Toc516816346" </w:instrText>
      </w:r>
      <w:r>
        <w:rPr>
          <w:color w:val="auto"/>
        </w:rPr>
        <w:fldChar w:fldCharType="separate"/>
      </w:r>
      <w:r>
        <w:rPr>
          <w:rStyle w:val="38"/>
          <w:rFonts w:asciiTheme="minorEastAsia" w:hAnsiTheme="minorEastAsia" w:eastAsiaTheme="minorEastAsia"/>
          <w:i w:val="0"/>
          <w:color w:val="auto"/>
        </w:rPr>
        <w:t xml:space="preserve">19 </w:t>
      </w:r>
      <w:r>
        <w:rPr>
          <w:rStyle w:val="38"/>
          <w:rFonts w:hint="eastAsia" w:asciiTheme="minorEastAsia" w:hAnsiTheme="minorEastAsia" w:eastAsiaTheme="minorEastAsia"/>
          <w:i w:val="0"/>
          <w:color w:val="auto"/>
        </w:rPr>
        <w:t>缺陷责任与保修责任</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"_Toc516816347" </w:instrText>
      </w:r>
      <w:r>
        <w:rPr>
          <w:color w:val="auto"/>
        </w:rPr>
        <w:fldChar w:fldCharType="separate"/>
      </w:r>
      <w:r>
        <w:rPr>
          <w:rStyle w:val="38"/>
          <w:rFonts w:asciiTheme="minorEastAsia" w:hAnsiTheme="minorEastAsia" w:eastAsiaTheme="minorEastAsia"/>
          <w:i w:val="0"/>
          <w:color w:val="auto"/>
        </w:rPr>
        <w:t xml:space="preserve">20 </w:t>
      </w:r>
      <w:r>
        <w:rPr>
          <w:rStyle w:val="38"/>
          <w:rFonts w:hint="eastAsia" w:asciiTheme="minorEastAsia" w:hAnsiTheme="minorEastAsia" w:eastAsiaTheme="minorEastAsia"/>
          <w:i w:val="0"/>
          <w:color w:val="auto"/>
        </w:rPr>
        <w:t>保险</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"_Toc516816348" </w:instrText>
      </w:r>
      <w:r>
        <w:rPr>
          <w:color w:val="auto"/>
        </w:rPr>
        <w:fldChar w:fldCharType="separate"/>
      </w:r>
      <w:r>
        <w:rPr>
          <w:rStyle w:val="38"/>
          <w:rFonts w:asciiTheme="minorEastAsia" w:hAnsiTheme="minorEastAsia" w:eastAsiaTheme="minorEastAsia"/>
          <w:i w:val="0"/>
          <w:color w:val="auto"/>
        </w:rPr>
        <w:t xml:space="preserve">21 </w:t>
      </w:r>
      <w:r>
        <w:rPr>
          <w:rStyle w:val="38"/>
          <w:rFonts w:hint="eastAsia" w:asciiTheme="minorEastAsia" w:hAnsiTheme="minorEastAsia" w:eastAsiaTheme="minorEastAsia"/>
          <w:i w:val="0"/>
          <w:color w:val="auto"/>
        </w:rPr>
        <w:t>不可抗力</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"_Toc516816349" </w:instrText>
      </w:r>
      <w:r>
        <w:rPr>
          <w:color w:val="auto"/>
        </w:rPr>
        <w:fldChar w:fldCharType="separate"/>
      </w:r>
      <w:r>
        <w:rPr>
          <w:rStyle w:val="38"/>
          <w:rFonts w:asciiTheme="minorEastAsia" w:hAnsiTheme="minorEastAsia" w:eastAsiaTheme="minorEastAsia"/>
          <w:i w:val="0"/>
          <w:color w:val="auto"/>
        </w:rPr>
        <w:t xml:space="preserve">22 </w:t>
      </w:r>
      <w:r>
        <w:rPr>
          <w:rStyle w:val="38"/>
          <w:rFonts w:hint="eastAsia" w:asciiTheme="minorEastAsia" w:hAnsiTheme="minorEastAsia" w:eastAsiaTheme="minorEastAsia"/>
          <w:i w:val="0"/>
          <w:color w:val="auto"/>
        </w:rPr>
        <w:t>违约</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_Toc516816349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"_Toc516816350" </w:instrText>
      </w:r>
      <w:r>
        <w:rPr>
          <w:color w:val="auto"/>
        </w:rPr>
        <w:fldChar w:fldCharType="separate"/>
      </w:r>
      <w:r>
        <w:rPr>
          <w:rStyle w:val="38"/>
          <w:rFonts w:asciiTheme="minorEastAsia" w:hAnsiTheme="minorEastAsia" w:eastAsiaTheme="minorEastAsia"/>
          <w:i w:val="0"/>
          <w:color w:val="auto"/>
        </w:rPr>
        <w:t xml:space="preserve">23 </w:t>
      </w:r>
      <w:r>
        <w:rPr>
          <w:rStyle w:val="38"/>
          <w:rFonts w:hint="eastAsia" w:asciiTheme="minorEastAsia" w:hAnsiTheme="minorEastAsia" w:eastAsiaTheme="minorEastAsia"/>
          <w:i w:val="0"/>
          <w:color w:val="auto"/>
        </w:rPr>
        <w:t>索赔</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"_Toc516816351" </w:instrText>
      </w:r>
      <w:r>
        <w:rPr>
          <w:color w:val="auto"/>
        </w:rPr>
        <w:fldChar w:fldCharType="separate"/>
      </w:r>
      <w:r>
        <w:rPr>
          <w:rStyle w:val="38"/>
          <w:rFonts w:asciiTheme="minorEastAsia" w:hAnsiTheme="minorEastAsia" w:eastAsiaTheme="minorEastAsia"/>
          <w:i w:val="0"/>
          <w:color w:val="auto"/>
        </w:rPr>
        <w:t xml:space="preserve">24 </w:t>
      </w:r>
      <w:r>
        <w:rPr>
          <w:rStyle w:val="38"/>
          <w:rFonts w:hint="eastAsia" w:asciiTheme="minorEastAsia" w:hAnsiTheme="minorEastAsia" w:eastAsiaTheme="minorEastAsia"/>
          <w:i w:val="0"/>
          <w:color w:val="auto"/>
        </w:rPr>
        <w:t>争议的解决</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"_Toc516816352" </w:instrText>
      </w:r>
      <w:r>
        <w:rPr>
          <w:color w:val="auto"/>
        </w:rPr>
        <w:fldChar w:fldCharType="separate"/>
      </w:r>
      <w:r>
        <w:rPr>
          <w:rStyle w:val="38"/>
          <w:rFonts w:hint="eastAsia" w:asciiTheme="minorEastAsia" w:hAnsiTheme="minorEastAsia" w:eastAsiaTheme="minorEastAsia"/>
          <w:color w:val="auto"/>
        </w:rPr>
        <w:t>第二节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专用合同条款</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_Toc516816352 \h </w:instrText>
      </w:r>
      <w:r>
        <w:rPr>
          <w:rFonts w:asciiTheme="minorEastAsia" w:hAnsiTheme="minorEastAsia"/>
          <w:color w:val="auto"/>
          <w:sz w:val="21"/>
          <w:szCs w:val="21"/>
        </w:rPr>
        <w:fldChar w:fldCharType="separate"/>
      </w:r>
      <w:r>
        <w:rPr>
          <w:rFonts w:asciiTheme="minorEastAsia" w:hAnsiTheme="minorEastAsia"/>
          <w:color w:val="auto"/>
          <w:sz w:val="21"/>
          <w:szCs w:val="21"/>
        </w:rPr>
        <w:t>113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"_Toc516816353" </w:instrText>
      </w:r>
      <w:r>
        <w:rPr>
          <w:color w:val="auto"/>
        </w:rPr>
        <w:fldChar w:fldCharType="separate"/>
      </w:r>
      <w:r>
        <w:rPr>
          <w:rStyle w:val="38"/>
          <w:rFonts w:asciiTheme="minorEastAsia" w:hAnsiTheme="minorEastAsia" w:eastAsiaTheme="minorEastAsia"/>
          <w:i w:val="0"/>
          <w:color w:val="auto"/>
        </w:rPr>
        <w:t xml:space="preserve">1 </w:t>
      </w:r>
      <w:r>
        <w:rPr>
          <w:rStyle w:val="38"/>
          <w:rFonts w:hint="eastAsia" w:asciiTheme="minorEastAsia" w:hAnsiTheme="minorEastAsia" w:eastAsiaTheme="minorEastAsia"/>
          <w:i w:val="0"/>
          <w:color w:val="auto"/>
        </w:rPr>
        <w:t>一般约定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"_Toc516816354" </w:instrText>
      </w:r>
      <w:r>
        <w:rPr>
          <w:color w:val="auto"/>
        </w:rPr>
        <w:fldChar w:fldCharType="separate"/>
      </w:r>
      <w:r>
        <w:rPr>
          <w:rStyle w:val="38"/>
          <w:rFonts w:asciiTheme="minorEastAsia" w:hAnsiTheme="minorEastAsia" w:eastAsiaTheme="minorEastAsia"/>
          <w:i w:val="0"/>
          <w:color w:val="auto"/>
        </w:rPr>
        <w:t xml:space="preserve">2 </w:t>
      </w:r>
      <w:r>
        <w:rPr>
          <w:rStyle w:val="38"/>
          <w:rFonts w:hint="eastAsia" w:asciiTheme="minorEastAsia" w:hAnsiTheme="minorEastAsia" w:eastAsiaTheme="minorEastAsia"/>
          <w:i w:val="0"/>
          <w:color w:val="auto"/>
        </w:rPr>
        <w:t>发包人义务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"_Toc516816355" </w:instrText>
      </w:r>
      <w:r>
        <w:rPr>
          <w:color w:val="auto"/>
        </w:rPr>
        <w:fldChar w:fldCharType="separate"/>
      </w:r>
      <w:r>
        <w:rPr>
          <w:rStyle w:val="38"/>
          <w:rFonts w:asciiTheme="minorEastAsia" w:hAnsiTheme="minorEastAsia" w:eastAsiaTheme="minorEastAsia"/>
          <w:i w:val="0"/>
          <w:color w:val="auto"/>
        </w:rPr>
        <w:t xml:space="preserve">3 </w:t>
      </w:r>
      <w:r>
        <w:rPr>
          <w:rStyle w:val="38"/>
          <w:rFonts w:hint="eastAsia" w:asciiTheme="minorEastAsia" w:hAnsiTheme="minorEastAsia" w:eastAsiaTheme="minorEastAsia"/>
          <w:i w:val="0"/>
          <w:color w:val="auto"/>
        </w:rPr>
        <w:t>监理人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"_Toc516816356" </w:instrText>
      </w:r>
      <w:r>
        <w:rPr>
          <w:color w:val="auto"/>
        </w:rPr>
        <w:fldChar w:fldCharType="separate"/>
      </w:r>
      <w:r>
        <w:rPr>
          <w:rStyle w:val="38"/>
          <w:rFonts w:asciiTheme="minorEastAsia" w:hAnsiTheme="minorEastAsia" w:eastAsiaTheme="minorEastAsia"/>
          <w:i w:val="0"/>
          <w:color w:val="auto"/>
        </w:rPr>
        <w:t xml:space="preserve">4 </w:t>
      </w:r>
      <w:r>
        <w:rPr>
          <w:rStyle w:val="38"/>
          <w:rFonts w:hint="eastAsia" w:asciiTheme="minorEastAsia" w:hAnsiTheme="minorEastAsia" w:eastAsiaTheme="minorEastAsia"/>
          <w:i w:val="0"/>
          <w:color w:val="auto"/>
        </w:rPr>
        <w:t>承包人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"_Toc516816357" </w:instrText>
      </w:r>
      <w:r>
        <w:rPr>
          <w:color w:val="auto"/>
        </w:rPr>
        <w:fldChar w:fldCharType="separate"/>
      </w:r>
      <w:r>
        <w:rPr>
          <w:rStyle w:val="38"/>
          <w:rFonts w:asciiTheme="minorEastAsia" w:hAnsiTheme="minorEastAsia" w:eastAsiaTheme="minorEastAsia"/>
          <w:i w:val="0"/>
          <w:color w:val="auto"/>
        </w:rPr>
        <w:t xml:space="preserve">5 </w:t>
      </w:r>
      <w:r>
        <w:rPr>
          <w:rStyle w:val="38"/>
          <w:rFonts w:hint="eastAsia" w:asciiTheme="minorEastAsia" w:hAnsiTheme="minorEastAsia" w:eastAsiaTheme="minorEastAsia"/>
          <w:i w:val="0"/>
          <w:color w:val="auto"/>
        </w:rPr>
        <w:t>材料和工程设备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"_Toc516816358" </w:instrText>
      </w:r>
      <w:r>
        <w:rPr>
          <w:color w:val="auto"/>
        </w:rPr>
        <w:fldChar w:fldCharType="separate"/>
      </w:r>
      <w:r>
        <w:rPr>
          <w:rStyle w:val="38"/>
          <w:rFonts w:asciiTheme="minorEastAsia" w:hAnsiTheme="minorEastAsia" w:eastAsiaTheme="minorEastAsia"/>
          <w:i w:val="0"/>
          <w:color w:val="auto"/>
        </w:rPr>
        <w:t xml:space="preserve">6 </w:t>
      </w:r>
      <w:r>
        <w:rPr>
          <w:rStyle w:val="38"/>
          <w:rFonts w:hint="eastAsia" w:asciiTheme="minorEastAsia" w:hAnsiTheme="minorEastAsia" w:eastAsiaTheme="minorEastAsia"/>
          <w:i w:val="0"/>
          <w:color w:val="auto"/>
        </w:rPr>
        <w:t>施工设备和临时设施</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"_Toc516816359" </w:instrText>
      </w:r>
      <w:r>
        <w:rPr>
          <w:color w:val="auto"/>
        </w:rPr>
        <w:fldChar w:fldCharType="separate"/>
      </w:r>
      <w:r>
        <w:rPr>
          <w:rStyle w:val="38"/>
          <w:rFonts w:asciiTheme="minorEastAsia" w:hAnsiTheme="minorEastAsia" w:eastAsiaTheme="minorEastAsia"/>
          <w:i w:val="0"/>
          <w:color w:val="auto"/>
        </w:rPr>
        <w:t xml:space="preserve">7 </w:t>
      </w:r>
      <w:r>
        <w:rPr>
          <w:rStyle w:val="38"/>
          <w:rFonts w:hint="eastAsia" w:asciiTheme="minorEastAsia" w:hAnsiTheme="minorEastAsia" w:eastAsiaTheme="minorEastAsia"/>
          <w:i w:val="0"/>
          <w:color w:val="auto"/>
        </w:rPr>
        <w:t>交通运输</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_Toc516816359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"_Toc516816360" </w:instrText>
      </w:r>
      <w:r>
        <w:rPr>
          <w:color w:val="auto"/>
        </w:rPr>
        <w:fldChar w:fldCharType="separate"/>
      </w:r>
      <w:r>
        <w:rPr>
          <w:rStyle w:val="38"/>
          <w:rFonts w:asciiTheme="minorEastAsia" w:hAnsiTheme="minorEastAsia" w:eastAsiaTheme="minorEastAsia"/>
          <w:i w:val="0"/>
          <w:color w:val="auto"/>
        </w:rPr>
        <w:t xml:space="preserve">8 </w:t>
      </w:r>
      <w:r>
        <w:rPr>
          <w:rStyle w:val="38"/>
          <w:rFonts w:hint="eastAsia" w:asciiTheme="minorEastAsia" w:hAnsiTheme="minorEastAsia" w:eastAsiaTheme="minorEastAsia"/>
          <w:i w:val="0"/>
          <w:color w:val="auto"/>
        </w:rPr>
        <w:t>测量放线</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"_Toc516816361" </w:instrText>
      </w:r>
      <w:r>
        <w:rPr>
          <w:color w:val="auto"/>
        </w:rPr>
        <w:fldChar w:fldCharType="separate"/>
      </w:r>
      <w:r>
        <w:rPr>
          <w:rStyle w:val="38"/>
          <w:rFonts w:asciiTheme="minorEastAsia" w:hAnsiTheme="minorEastAsia" w:eastAsiaTheme="minorEastAsia"/>
          <w:i w:val="0"/>
          <w:color w:val="auto"/>
        </w:rPr>
        <w:t xml:space="preserve">9 </w:t>
      </w:r>
      <w:r>
        <w:rPr>
          <w:rStyle w:val="38"/>
          <w:rFonts w:hint="eastAsia" w:asciiTheme="minorEastAsia" w:hAnsiTheme="minorEastAsia" w:eastAsiaTheme="minorEastAsia"/>
          <w:i w:val="0"/>
          <w:color w:val="auto"/>
        </w:rPr>
        <w:t>施工安全、治安保卫和环境保护</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"_Toc516816362" </w:instrText>
      </w:r>
      <w:r>
        <w:rPr>
          <w:color w:val="auto"/>
        </w:rPr>
        <w:fldChar w:fldCharType="separate"/>
      </w:r>
      <w:r>
        <w:rPr>
          <w:rStyle w:val="38"/>
          <w:rFonts w:asciiTheme="minorEastAsia" w:hAnsiTheme="minorEastAsia" w:eastAsiaTheme="minorEastAsia"/>
          <w:i w:val="0"/>
          <w:color w:val="auto"/>
        </w:rPr>
        <w:t xml:space="preserve">11 </w:t>
      </w:r>
      <w:r>
        <w:rPr>
          <w:rStyle w:val="38"/>
          <w:rFonts w:hint="eastAsia" w:asciiTheme="minorEastAsia" w:hAnsiTheme="minorEastAsia" w:eastAsiaTheme="minorEastAsia"/>
          <w:i w:val="0"/>
          <w:color w:val="auto"/>
        </w:rPr>
        <w:t>开工和竣工（完工）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"_Toc516816363" </w:instrText>
      </w:r>
      <w:r>
        <w:rPr>
          <w:color w:val="auto"/>
        </w:rPr>
        <w:fldChar w:fldCharType="separate"/>
      </w:r>
      <w:r>
        <w:rPr>
          <w:rStyle w:val="38"/>
          <w:rFonts w:asciiTheme="minorEastAsia" w:hAnsiTheme="minorEastAsia" w:eastAsiaTheme="minorEastAsia"/>
          <w:i w:val="0"/>
          <w:color w:val="auto"/>
        </w:rPr>
        <w:t xml:space="preserve">12 </w:t>
      </w:r>
      <w:r>
        <w:rPr>
          <w:rStyle w:val="38"/>
          <w:rFonts w:hint="eastAsia" w:asciiTheme="minorEastAsia" w:hAnsiTheme="minorEastAsia" w:eastAsiaTheme="minorEastAsia"/>
          <w:i w:val="0"/>
          <w:color w:val="auto"/>
        </w:rPr>
        <w:t>暂停施工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"_Toc516816364" </w:instrText>
      </w:r>
      <w:r>
        <w:rPr>
          <w:color w:val="auto"/>
        </w:rPr>
        <w:fldChar w:fldCharType="separate"/>
      </w:r>
      <w:r>
        <w:rPr>
          <w:rStyle w:val="38"/>
          <w:rFonts w:asciiTheme="minorEastAsia" w:hAnsiTheme="minorEastAsia" w:eastAsiaTheme="minorEastAsia"/>
          <w:i w:val="0"/>
          <w:color w:val="auto"/>
        </w:rPr>
        <w:t xml:space="preserve">13 </w:t>
      </w:r>
      <w:r>
        <w:rPr>
          <w:rStyle w:val="38"/>
          <w:rFonts w:hint="eastAsia" w:asciiTheme="minorEastAsia" w:hAnsiTheme="minorEastAsia" w:eastAsiaTheme="minorEastAsia"/>
          <w:i w:val="0"/>
          <w:color w:val="auto"/>
        </w:rPr>
        <w:t>工程质量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"_Toc516816365" </w:instrText>
      </w:r>
      <w:r>
        <w:rPr>
          <w:color w:val="auto"/>
        </w:rPr>
        <w:fldChar w:fldCharType="separate"/>
      </w:r>
      <w:r>
        <w:rPr>
          <w:rStyle w:val="38"/>
          <w:rFonts w:asciiTheme="minorEastAsia" w:hAnsiTheme="minorEastAsia" w:eastAsiaTheme="minorEastAsia"/>
          <w:i w:val="0"/>
          <w:color w:val="auto"/>
        </w:rPr>
        <w:t xml:space="preserve">14 </w:t>
      </w:r>
      <w:r>
        <w:rPr>
          <w:rStyle w:val="38"/>
          <w:rFonts w:hint="eastAsia" w:asciiTheme="minorEastAsia" w:hAnsiTheme="minorEastAsia" w:eastAsiaTheme="minorEastAsia"/>
          <w:i w:val="0"/>
          <w:color w:val="auto"/>
        </w:rPr>
        <w:t>试验和检验</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"_Toc516816366" </w:instrText>
      </w:r>
      <w:r>
        <w:rPr>
          <w:color w:val="auto"/>
        </w:rPr>
        <w:fldChar w:fldCharType="separate"/>
      </w:r>
      <w:r>
        <w:rPr>
          <w:rStyle w:val="38"/>
          <w:rFonts w:asciiTheme="minorEastAsia" w:hAnsiTheme="minorEastAsia" w:eastAsiaTheme="minorEastAsia"/>
          <w:i w:val="0"/>
          <w:color w:val="auto"/>
        </w:rPr>
        <w:t xml:space="preserve">15 </w:t>
      </w:r>
      <w:r>
        <w:rPr>
          <w:rStyle w:val="38"/>
          <w:rFonts w:hint="eastAsia" w:asciiTheme="minorEastAsia" w:hAnsiTheme="minorEastAsia" w:eastAsiaTheme="minorEastAsia"/>
          <w:i w:val="0"/>
          <w:color w:val="auto"/>
        </w:rPr>
        <w:t>变更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"_Toc516816367" </w:instrText>
      </w:r>
      <w:r>
        <w:rPr>
          <w:color w:val="auto"/>
        </w:rPr>
        <w:fldChar w:fldCharType="separate"/>
      </w:r>
      <w:r>
        <w:rPr>
          <w:rStyle w:val="38"/>
          <w:rFonts w:asciiTheme="minorEastAsia" w:hAnsiTheme="minorEastAsia" w:eastAsiaTheme="minorEastAsia"/>
          <w:i w:val="0"/>
          <w:color w:val="auto"/>
        </w:rPr>
        <w:t xml:space="preserve">16 </w:t>
      </w:r>
      <w:r>
        <w:rPr>
          <w:rStyle w:val="38"/>
          <w:rFonts w:hint="eastAsia" w:asciiTheme="minorEastAsia" w:hAnsiTheme="minorEastAsia" w:eastAsiaTheme="minorEastAsia"/>
          <w:i w:val="0"/>
          <w:color w:val="auto"/>
        </w:rPr>
        <w:t>价格调整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"_Toc516816368" </w:instrText>
      </w:r>
      <w:r>
        <w:rPr>
          <w:color w:val="auto"/>
        </w:rPr>
        <w:fldChar w:fldCharType="separate"/>
      </w:r>
      <w:r>
        <w:rPr>
          <w:rStyle w:val="38"/>
          <w:rFonts w:asciiTheme="minorEastAsia" w:hAnsiTheme="minorEastAsia" w:eastAsiaTheme="minorEastAsia"/>
          <w:i w:val="0"/>
          <w:color w:val="auto"/>
        </w:rPr>
        <w:t xml:space="preserve">17 </w:t>
      </w:r>
      <w:r>
        <w:rPr>
          <w:rStyle w:val="38"/>
          <w:rFonts w:hint="eastAsia" w:asciiTheme="minorEastAsia" w:hAnsiTheme="minorEastAsia" w:eastAsiaTheme="minorEastAsia"/>
          <w:i w:val="0"/>
          <w:color w:val="auto"/>
        </w:rPr>
        <w:t>计量与支付</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"_Toc516816369" </w:instrText>
      </w:r>
      <w:r>
        <w:rPr>
          <w:color w:val="auto"/>
        </w:rPr>
        <w:fldChar w:fldCharType="separate"/>
      </w:r>
      <w:r>
        <w:rPr>
          <w:rStyle w:val="38"/>
          <w:rFonts w:asciiTheme="minorEastAsia" w:hAnsiTheme="minorEastAsia" w:eastAsiaTheme="minorEastAsia"/>
          <w:i w:val="0"/>
          <w:color w:val="auto"/>
        </w:rPr>
        <w:t xml:space="preserve">18 </w:t>
      </w:r>
      <w:r>
        <w:rPr>
          <w:rStyle w:val="38"/>
          <w:rFonts w:hint="eastAsia" w:asciiTheme="minorEastAsia" w:hAnsiTheme="minorEastAsia" w:eastAsiaTheme="minorEastAsia"/>
          <w:i w:val="0"/>
          <w:color w:val="auto"/>
        </w:rPr>
        <w:t>竣工验收（验收）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_Toc516816369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"_Toc516816370" </w:instrText>
      </w:r>
      <w:r>
        <w:rPr>
          <w:color w:val="auto"/>
        </w:rPr>
        <w:fldChar w:fldCharType="separate"/>
      </w:r>
      <w:r>
        <w:rPr>
          <w:rStyle w:val="38"/>
          <w:rFonts w:asciiTheme="minorEastAsia" w:hAnsiTheme="minorEastAsia" w:eastAsiaTheme="minorEastAsia"/>
          <w:i w:val="0"/>
          <w:color w:val="auto"/>
        </w:rPr>
        <w:t xml:space="preserve">19 </w:t>
      </w:r>
      <w:r>
        <w:rPr>
          <w:rStyle w:val="38"/>
          <w:rFonts w:hint="eastAsia" w:asciiTheme="minorEastAsia" w:hAnsiTheme="minorEastAsia" w:eastAsiaTheme="minorEastAsia"/>
          <w:i w:val="0"/>
          <w:color w:val="auto"/>
        </w:rPr>
        <w:t>缺陷责任与保修责任</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"_Toc516816371" </w:instrText>
      </w:r>
      <w:r>
        <w:rPr>
          <w:color w:val="auto"/>
        </w:rPr>
        <w:fldChar w:fldCharType="separate"/>
      </w:r>
      <w:r>
        <w:rPr>
          <w:rStyle w:val="38"/>
          <w:rFonts w:asciiTheme="minorEastAsia" w:hAnsiTheme="minorEastAsia" w:eastAsiaTheme="minorEastAsia"/>
          <w:i w:val="0"/>
          <w:color w:val="auto"/>
        </w:rPr>
        <w:t xml:space="preserve">20 </w:t>
      </w:r>
      <w:r>
        <w:rPr>
          <w:rStyle w:val="38"/>
          <w:rFonts w:hint="eastAsia" w:asciiTheme="minorEastAsia" w:hAnsiTheme="minorEastAsia" w:eastAsiaTheme="minorEastAsia"/>
          <w:i w:val="0"/>
          <w:color w:val="auto"/>
        </w:rPr>
        <w:t>保险</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"_Toc516816372" </w:instrText>
      </w:r>
      <w:r>
        <w:rPr>
          <w:color w:val="auto"/>
        </w:rPr>
        <w:fldChar w:fldCharType="separate"/>
      </w:r>
      <w:r>
        <w:rPr>
          <w:rStyle w:val="38"/>
          <w:rFonts w:asciiTheme="minorEastAsia" w:hAnsiTheme="minorEastAsia" w:eastAsiaTheme="minorEastAsia"/>
          <w:i w:val="0"/>
          <w:color w:val="auto"/>
        </w:rPr>
        <w:t xml:space="preserve">24 </w:t>
      </w:r>
      <w:r>
        <w:rPr>
          <w:rStyle w:val="38"/>
          <w:rFonts w:hint="eastAsia" w:asciiTheme="minorEastAsia" w:hAnsiTheme="minorEastAsia" w:eastAsiaTheme="minorEastAsia"/>
          <w:i w:val="0"/>
          <w:color w:val="auto"/>
        </w:rPr>
        <w:t>争议的解决</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"_Toc516816373" </w:instrText>
      </w:r>
      <w:r>
        <w:rPr>
          <w:color w:val="auto"/>
        </w:rPr>
        <w:fldChar w:fldCharType="separate"/>
      </w:r>
      <w:r>
        <w:rPr>
          <w:rStyle w:val="38"/>
          <w:rFonts w:hint="eastAsia" w:asciiTheme="minorEastAsia" w:hAnsiTheme="minorEastAsia" w:eastAsiaTheme="minorEastAsia"/>
          <w:color w:val="auto"/>
        </w:rPr>
        <w:t>第三节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合同附件格式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_Toc516816373 \h </w:instrText>
      </w:r>
      <w:r>
        <w:rPr>
          <w:rFonts w:asciiTheme="minorEastAsia" w:hAnsiTheme="minorEastAsia"/>
          <w:color w:val="auto"/>
          <w:sz w:val="21"/>
          <w:szCs w:val="21"/>
        </w:rPr>
        <w:fldChar w:fldCharType="separate"/>
      </w:r>
      <w:r>
        <w:rPr>
          <w:rFonts w:asciiTheme="minorEastAsia" w:hAnsiTheme="minorEastAsia"/>
          <w:color w:val="auto"/>
          <w:sz w:val="21"/>
          <w:szCs w:val="21"/>
        </w:rPr>
        <w:t>122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"_Toc516816374" </w:instrText>
      </w:r>
      <w:r>
        <w:rPr>
          <w:color w:val="auto"/>
        </w:rPr>
        <w:fldChar w:fldCharType="separate"/>
      </w:r>
      <w:r>
        <w:rPr>
          <w:rStyle w:val="38"/>
          <w:rFonts w:hint="eastAsia" w:asciiTheme="minorEastAsia" w:hAnsiTheme="minorEastAsia" w:eastAsiaTheme="minorEastAsia"/>
          <w:i w:val="0"/>
          <w:color w:val="auto"/>
        </w:rPr>
        <w:t>附件一：合同协议书（格式）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"_Toc516816375" </w:instrText>
      </w:r>
      <w:r>
        <w:rPr>
          <w:color w:val="auto"/>
        </w:rPr>
        <w:fldChar w:fldCharType="separate"/>
      </w:r>
      <w:r>
        <w:rPr>
          <w:rStyle w:val="38"/>
          <w:rFonts w:hint="eastAsia" w:asciiTheme="minorEastAsia" w:hAnsiTheme="minorEastAsia" w:eastAsiaTheme="minorEastAsia"/>
          <w:i w:val="0"/>
          <w:color w:val="auto"/>
        </w:rPr>
        <w:t>附件二：履约保证金（格式）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"_Toc516816376" </w:instrText>
      </w:r>
      <w:r>
        <w:rPr>
          <w:color w:val="auto"/>
        </w:rPr>
        <w:fldChar w:fldCharType="separate"/>
      </w:r>
      <w:r>
        <w:rPr>
          <w:rStyle w:val="38"/>
          <w:rFonts w:hint="eastAsia" w:asciiTheme="minorEastAsia" w:hAnsiTheme="minorEastAsia" w:eastAsiaTheme="minorEastAsia"/>
          <w:i w:val="0"/>
          <w:color w:val="auto"/>
        </w:rPr>
        <w:t>附件三：预付款担保函（格式）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_Toc516816376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"_Toc516816377" </w:instrText>
      </w:r>
      <w:r>
        <w:rPr>
          <w:color w:val="auto"/>
        </w:rPr>
        <w:fldChar w:fldCharType="separate"/>
      </w:r>
      <w:r>
        <w:rPr>
          <w:rStyle w:val="38"/>
          <w:rFonts w:hint="eastAsia" w:asciiTheme="minorEastAsia" w:hAnsiTheme="minorEastAsia" w:eastAsiaTheme="minorEastAsia"/>
          <w:color w:val="auto"/>
        </w:rPr>
        <w:t>第二卷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_Toc516816377 \h </w:instrText>
      </w:r>
      <w:r>
        <w:rPr>
          <w:rFonts w:asciiTheme="minorEastAsia" w:hAnsiTheme="minorEastAsia"/>
          <w:color w:val="auto"/>
          <w:sz w:val="21"/>
          <w:szCs w:val="21"/>
        </w:rPr>
        <w:fldChar w:fldCharType="separate"/>
      </w:r>
      <w:r>
        <w:rPr>
          <w:rFonts w:asciiTheme="minorEastAsia" w:hAnsiTheme="minorEastAsia"/>
          <w:color w:val="auto"/>
          <w:sz w:val="21"/>
          <w:szCs w:val="21"/>
        </w:rPr>
        <w:t>127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"_Toc516816378" </w:instrText>
      </w:r>
      <w:r>
        <w:rPr>
          <w:color w:val="auto"/>
        </w:rPr>
        <w:fldChar w:fldCharType="separate"/>
      </w:r>
      <w:r>
        <w:rPr>
          <w:rStyle w:val="38"/>
          <w:rFonts w:hint="eastAsia" w:asciiTheme="minorEastAsia" w:hAnsiTheme="minorEastAsia" w:eastAsiaTheme="minorEastAsia"/>
          <w:color w:val="auto"/>
        </w:rPr>
        <w:t>第五章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工程量清单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_Toc516816378 \h </w:instrText>
      </w:r>
      <w:r>
        <w:rPr>
          <w:rFonts w:asciiTheme="minorEastAsia" w:hAnsiTheme="minorEastAsia"/>
          <w:color w:val="auto"/>
          <w:sz w:val="21"/>
          <w:szCs w:val="21"/>
        </w:rPr>
        <w:fldChar w:fldCharType="separate"/>
      </w:r>
      <w:r>
        <w:rPr>
          <w:rFonts w:asciiTheme="minorEastAsia" w:hAnsiTheme="minorEastAsia"/>
          <w:color w:val="auto"/>
          <w:sz w:val="21"/>
          <w:szCs w:val="21"/>
        </w:rPr>
        <w:t>128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"_Toc516816379" </w:instrText>
      </w:r>
      <w:r>
        <w:rPr>
          <w:color w:val="auto"/>
        </w:rPr>
        <w:fldChar w:fldCharType="separate"/>
      </w:r>
      <w:r>
        <w:rPr>
          <w:rStyle w:val="38"/>
          <w:rFonts w:asciiTheme="minorEastAsia" w:hAnsiTheme="minorEastAsia" w:eastAsiaTheme="minorEastAsia"/>
          <w:color w:val="auto"/>
        </w:rPr>
        <w:t xml:space="preserve">1 </w:t>
      </w:r>
      <w:r>
        <w:rPr>
          <w:rStyle w:val="38"/>
          <w:rFonts w:hint="eastAsia" w:asciiTheme="minorEastAsia" w:hAnsiTheme="minorEastAsia" w:eastAsiaTheme="minorEastAsia"/>
          <w:color w:val="auto"/>
        </w:rPr>
        <w:t>工程量清单说明</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_Toc516816379 \h </w:instrText>
      </w:r>
      <w:r>
        <w:rPr>
          <w:rFonts w:asciiTheme="minorEastAsia" w:hAnsiTheme="minorEastAsia"/>
          <w:color w:val="auto"/>
          <w:sz w:val="21"/>
          <w:szCs w:val="21"/>
        </w:rPr>
        <w:fldChar w:fldCharType="separate"/>
      </w:r>
      <w:r>
        <w:rPr>
          <w:rFonts w:asciiTheme="minorEastAsia" w:hAnsiTheme="minorEastAsia"/>
          <w:color w:val="auto"/>
          <w:sz w:val="21"/>
          <w:szCs w:val="21"/>
        </w:rPr>
        <w:t>128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"_Toc516816380" </w:instrText>
      </w:r>
      <w:r>
        <w:rPr>
          <w:color w:val="auto"/>
        </w:rPr>
        <w:fldChar w:fldCharType="separate"/>
      </w:r>
      <w:r>
        <w:rPr>
          <w:rStyle w:val="38"/>
          <w:rFonts w:asciiTheme="minorEastAsia" w:hAnsiTheme="minorEastAsia" w:eastAsiaTheme="minorEastAsia"/>
          <w:color w:val="auto"/>
        </w:rPr>
        <w:t xml:space="preserve">2 </w:t>
      </w:r>
      <w:r>
        <w:rPr>
          <w:rStyle w:val="38"/>
          <w:rFonts w:hint="eastAsia" w:asciiTheme="minorEastAsia" w:hAnsiTheme="minorEastAsia" w:eastAsiaTheme="minorEastAsia"/>
          <w:color w:val="auto"/>
        </w:rPr>
        <w:t>工程量清单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_Toc516816380 \h </w:instrText>
      </w:r>
      <w:r>
        <w:rPr>
          <w:rFonts w:asciiTheme="minorEastAsia" w:hAnsiTheme="minorEastAsia"/>
          <w:color w:val="auto"/>
          <w:sz w:val="21"/>
          <w:szCs w:val="21"/>
        </w:rPr>
        <w:fldChar w:fldCharType="separate"/>
      </w:r>
      <w:r>
        <w:rPr>
          <w:rFonts w:asciiTheme="minorEastAsia" w:hAnsiTheme="minorEastAsia"/>
          <w:color w:val="auto"/>
          <w:sz w:val="21"/>
          <w:szCs w:val="21"/>
        </w:rPr>
        <w:t>128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"_Toc516816381" </w:instrText>
      </w:r>
      <w:r>
        <w:rPr>
          <w:color w:val="auto"/>
        </w:rPr>
        <w:fldChar w:fldCharType="separate"/>
      </w:r>
      <w:r>
        <w:rPr>
          <w:rStyle w:val="38"/>
          <w:rFonts w:asciiTheme="minorEastAsia" w:hAnsiTheme="minorEastAsia" w:eastAsiaTheme="minorEastAsia"/>
          <w:color w:val="auto"/>
        </w:rPr>
        <w:t xml:space="preserve">3 </w:t>
      </w:r>
      <w:r>
        <w:rPr>
          <w:rStyle w:val="38"/>
          <w:rFonts w:hint="eastAsia" w:asciiTheme="minorEastAsia" w:hAnsiTheme="minorEastAsia" w:eastAsiaTheme="minorEastAsia"/>
          <w:color w:val="auto"/>
        </w:rPr>
        <w:t>投标报价说明</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_Toc516816381 \h </w:instrText>
      </w:r>
      <w:r>
        <w:rPr>
          <w:rFonts w:asciiTheme="minorEastAsia" w:hAnsiTheme="minorEastAsia"/>
          <w:color w:val="auto"/>
          <w:sz w:val="21"/>
          <w:szCs w:val="21"/>
        </w:rPr>
        <w:fldChar w:fldCharType="separate"/>
      </w:r>
      <w:r>
        <w:rPr>
          <w:rFonts w:asciiTheme="minorEastAsia" w:hAnsiTheme="minorEastAsia"/>
          <w:color w:val="auto"/>
          <w:sz w:val="21"/>
          <w:szCs w:val="21"/>
        </w:rPr>
        <w:t>128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"_Toc516816382" </w:instrText>
      </w:r>
      <w:r>
        <w:rPr>
          <w:color w:val="auto"/>
        </w:rPr>
        <w:fldChar w:fldCharType="separate"/>
      </w:r>
      <w:r>
        <w:rPr>
          <w:rStyle w:val="38"/>
          <w:rFonts w:asciiTheme="minorEastAsia" w:hAnsiTheme="minorEastAsia" w:eastAsiaTheme="minorEastAsia"/>
          <w:i w:val="0"/>
          <w:color w:val="auto"/>
        </w:rPr>
        <w:t xml:space="preserve">3.1 </w:t>
      </w:r>
      <w:r>
        <w:rPr>
          <w:rStyle w:val="38"/>
          <w:rFonts w:hint="eastAsia" w:asciiTheme="minorEastAsia" w:hAnsiTheme="minorEastAsia" w:eastAsiaTheme="minorEastAsia"/>
          <w:i w:val="0"/>
          <w:color w:val="auto"/>
        </w:rPr>
        <w:t>已标价工程量清单组成</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_Toc516816382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"_Toc516816383" </w:instrText>
      </w:r>
      <w:r>
        <w:rPr>
          <w:color w:val="auto"/>
        </w:rPr>
        <w:fldChar w:fldCharType="separate"/>
      </w:r>
      <w:r>
        <w:rPr>
          <w:rStyle w:val="38"/>
          <w:rFonts w:asciiTheme="minorEastAsia" w:hAnsiTheme="minorEastAsia" w:eastAsiaTheme="minorEastAsia"/>
          <w:i w:val="0"/>
          <w:color w:val="auto"/>
        </w:rPr>
        <w:t xml:space="preserve">3.2 </w:t>
      </w:r>
      <w:r>
        <w:rPr>
          <w:rStyle w:val="38"/>
          <w:rFonts w:hint="eastAsia" w:asciiTheme="minorEastAsia" w:hAnsiTheme="minorEastAsia" w:eastAsiaTheme="minorEastAsia"/>
          <w:i w:val="0"/>
          <w:color w:val="auto"/>
        </w:rPr>
        <w:t>工程量清单报价填写规定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_Toc516816383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"_Toc516816384" </w:instrText>
      </w:r>
      <w:r>
        <w:rPr>
          <w:color w:val="auto"/>
        </w:rPr>
        <w:fldChar w:fldCharType="separate"/>
      </w:r>
      <w:r>
        <w:rPr>
          <w:rStyle w:val="38"/>
          <w:rFonts w:hint="eastAsia" w:asciiTheme="minorEastAsia" w:hAnsiTheme="minorEastAsia" w:eastAsiaTheme="minorEastAsia"/>
          <w:color w:val="auto"/>
        </w:rPr>
        <w:t>第六章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图纸（另册提供）</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_Toc516816384 \h </w:instrText>
      </w:r>
      <w:r>
        <w:rPr>
          <w:rFonts w:asciiTheme="minorEastAsia" w:hAnsiTheme="minorEastAsia"/>
          <w:color w:val="auto"/>
          <w:sz w:val="21"/>
          <w:szCs w:val="21"/>
        </w:rPr>
        <w:fldChar w:fldCharType="separate"/>
      </w:r>
      <w:r>
        <w:rPr>
          <w:rFonts w:asciiTheme="minorEastAsia" w:hAnsiTheme="minorEastAsia"/>
          <w:color w:val="auto"/>
          <w:sz w:val="21"/>
          <w:szCs w:val="21"/>
        </w:rPr>
        <w:t>130</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"_Toc516816385" </w:instrText>
      </w:r>
      <w:r>
        <w:rPr>
          <w:color w:val="auto"/>
        </w:rPr>
        <w:fldChar w:fldCharType="separate"/>
      </w:r>
      <w:r>
        <w:rPr>
          <w:rStyle w:val="38"/>
          <w:rFonts w:hint="eastAsia" w:asciiTheme="minorEastAsia" w:hAnsiTheme="minorEastAsia" w:eastAsiaTheme="minorEastAsia"/>
          <w:color w:val="auto"/>
        </w:rPr>
        <w:t>第七章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技术标准和要求（另册提供）</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_Toc516816385 \h </w:instrText>
      </w:r>
      <w:r>
        <w:rPr>
          <w:rFonts w:asciiTheme="minorEastAsia" w:hAnsiTheme="minorEastAsia"/>
          <w:color w:val="auto"/>
          <w:sz w:val="21"/>
          <w:szCs w:val="21"/>
        </w:rPr>
        <w:fldChar w:fldCharType="separate"/>
      </w:r>
      <w:r>
        <w:rPr>
          <w:rFonts w:asciiTheme="minorEastAsia" w:hAnsiTheme="minorEastAsia"/>
          <w:color w:val="auto"/>
          <w:sz w:val="21"/>
          <w:szCs w:val="21"/>
        </w:rPr>
        <w:t>131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"_Toc516816386" </w:instrText>
      </w:r>
      <w:r>
        <w:rPr>
          <w:color w:val="auto"/>
        </w:rPr>
        <w:fldChar w:fldCharType="separate"/>
      </w:r>
      <w:r>
        <w:rPr>
          <w:rStyle w:val="38"/>
          <w:rFonts w:hint="eastAsia" w:asciiTheme="minorEastAsia" w:hAnsiTheme="minorEastAsia" w:eastAsiaTheme="minorEastAsia"/>
          <w:color w:val="auto"/>
        </w:rPr>
        <w:t>第三卷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_Toc516816386 \h </w:instrText>
      </w:r>
      <w:r>
        <w:rPr>
          <w:rFonts w:asciiTheme="minorEastAsia" w:hAnsiTheme="minorEastAsia"/>
          <w:color w:val="auto"/>
          <w:sz w:val="21"/>
          <w:szCs w:val="21"/>
        </w:rPr>
        <w:fldChar w:fldCharType="separate"/>
      </w:r>
      <w:r>
        <w:rPr>
          <w:rFonts w:asciiTheme="minorEastAsia" w:hAnsiTheme="minorEastAsia"/>
          <w:color w:val="auto"/>
          <w:sz w:val="21"/>
          <w:szCs w:val="21"/>
        </w:rPr>
        <w:t>132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"_Toc516816387" </w:instrText>
      </w:r>
      <w:r>
        <w:rPr>
          <w:color w:val="auto"/>
        </w:rPr>
        <w:fldChar w:fldCharType="separate"/>
      </w:r>
      <w:r>
        <w:rPr>
          <w:rStyle w:val="38"/>
          <w:rFonts w:hint="eastAsia" w:asciiTheme="minorEastAsia" w:hAnsiTheme="minorEastAsia" w:eastAsiaTheme="minorEastAsia"/>
          <w:color w:val="auto"/>
        </w:rPr>
        <w:t>第八章</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投标文件格式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_Toc516816387 \h </w:instrText>
      </w:r>
      <w:r>
        <w:rPr>
          <w:rFonts w:asciiTheme="minorEastAsia" w:hAnsiTheme="minorEastAsia"/>
          <w:color w:val="auto"/>
          <w:sz w:val="21"/>
          <w:szCs w:val="21"/>
        </w:rPr>
        <w:fldChar w:fldCharType="separate"/>
      </w:r>
      <w:r>
        <w:rPr>
          <w:rFonts w:asciiTheme="minorEastAsia" w:hAnsiTheme="minorEastAsia"/>
          <w:color w:val="auto"/>
          <w:sz w:val="21"/>
          <w:szCs w:val="21"/>
        </w:rPr>
        <w:t>133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"_Toc516816388" </w:instrText>
      </w:r>
      <w:r>
        <w:rPr>
          <w:color w:val="auto"/>
        </w:rPr>
        <w:fldChar w:fldCharType="separate"/>
      </w:r>
      <w:r>
        <w:rPr>
          <w:rStyle w:val="38"/>
          <w:rFonts w:hint="eastAsia" w:asciiTheme="minorEastAsia" w:hAnsiTheme="minorEastAsia" w:eastAsiaTheme="minorEastAsia"/>
          <w:color w:val="auto"/>
        </w:rPr>
        <w:t>第一节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资格文件格式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_Toc516816388 \h </w:instrText>
      </w:r>
      <w:r>
        <w:rPr>
          <w:rFonts w:asciiTheme="minorEastAsia" w:hAnsiTheme="minorEastAsia"/>
          <w:color w:val="auto"/>
          <w:sz w:val="21"/>
          <w:szCs w:val="21"/>
        </w:rPr>
        <w:fldChar w:fldCharType="separate"/>
      </w:r>
      <w:r>
        <w:rPr>
          <w:rFonts w:asciiTheme="minorEastAsia" w:hAnsiTheme="minorEastAsia"/>
          <w:color w:val="auto"/>
          <w:sz w:val="21"/>
          <w:szCs w:val="21"/>
        </w:rPr>
        <w:t>134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"_Toc516816389" </w:instrText>
      </w:r>
      <w:r>
        <w:rPr>
          <w:color w:val="auto"/>
        </w:rPr>
        <w:fldChar w:fldCharType="separate"/>
      </w:r>
      <w:r>
        <w:rPr>
          <w:rStyle w:val="38"/>
          <w:rFonts w:hint="eastAsia" w:asciiTheme="minorEastAsia" w:hAnsiTheme="minorEastAsia" w:eastAsiaTheme="minorEastAsia"/>
          <w:i w:val="0"/>
          <w:color w:val="auto"/>
        </w:rPr>
        <w:t>投标文件（一）（格式）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_Toc516816389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"_Toc516816390" </w:instrText>
      </w:r>
      <w:r>
        <w:rPr>
          <w:color w:val="auto"/>
        </w:rPr>
        <w:fldChar w:fldCharType="separate"/>
      </w:r>
      <w:r>
        <w:rPr>
          <w:rStyle w:val="38"/>
          <w:rFonts w:hint="eastAsia" w:asciiTheme="minorEastAsia" w:hAnsiTheme="minorEastAsia" w:eastAsiaTheme="minorEastAsia"/>
          <w:i w:val="0"/>
          <w:color w:val="auto"/>
        </w:rPr>
        <w:t>目录（格式）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"_Toc516816391" </w:instrText>
      </w:r>
      <w:r>
        <w:rPr>
          <w:color w:val="auto"/>
        </w:rPr>
        <w:fldChar w:fldCharType="separate"/>
      </w:r>
      <w:r>
        <w:rPr>
          <w:rStyle w:val="38"/>
          <w:rFonts w:hint="eastAsia" w:asciiTheme="minorEastAsia" w:hAnsiTheme="minorEastAsia" w:eastAsiaTheme="minorEastAsia"/>
          <w:i w:val="0"/>
          <w:color w:val="auto"/>
        </w:rPr>
        <w:t>一、资格审查申请函（格式）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"_Toc516816392" </w:instrText>
      </w:r>
      <w:r>
        <w:rPr>
          <w:color w:val="auto"/>
        </w:rPr>
        <w:fldChar w:fldCharType="separate"/>
      </w:r>
      <w:r>
        <w:rPr>
          <w:rStyle w:val="38"/>
          <w:rFonts w:hint="eastAsia" w:asciiTheme="minorEastAsia" w:hAnsiTheme="minorEastAsia" w:eastAsiaTheme="minorEastAsia"/>
          <w:i w:val="0"/>
          <w:color w:val="auto"/>
        </w:rPr>
        <w:t>二、投标人基本情况表（格式）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"_Toc516816393" </w:instrText>
      </w:r>
      <w:r>
        <w:rPr>
          <w:color w:val="auto"/>
        </w:rPr>
        <w:fldChar w:fldCharType="separate"/>
      </w:r>
      <w:r>
        <w:rPr>
          <w:rStyle w:val="38"/>
          <w:rFonts w:hint="eastAsia" w:asciiTheme="minorEastAsia" w:hAnsiTheme="minorEastAsia" w:eastAsiaTheme="minorEastAsia"/>
          <w:i w:val="0"/>
          <w:color w:val="auto"/>
        </w:rPr>
        <w:t>三、法定代表人身份证明（适用于无委托代理人的情况）（格式）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"_Toc516816394" </w:instrText>
      </w:r>
      <w:r>
        <w:rPr>
          <w:color w:val="auto"/>
        </w:rPr>
        <w:fldChar w:fldCharType="separate"/>
      </w:r>
      <w:r>
        <w:rPr>
          <w:rStyle w:val="38"/>
          <w:rFonts w:hint="eastAsia" w:asciiTheme="minorEastAsia" w:hAnsiTheme="minorEastAsia" w:eastAsiaTheme="minorEastAsia"/>
          <w:i w:val="0"/>
          <w:color w:val="auto"/>
        </w:rPr>
        <w:t>四、授权委托书（适用于有委托代理人的情况）（格式）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"_Toc516816395" </w:instrText>
      </w:r>
      <w:r>
        <w:rPr>
          <w:color w:val="auto"/>
        </w:rPr>
        <w:fldChar w:fldCharType="separate"/>
      </w:r>
      <w:r>
        <w:rPr>
          <w:rStyle w:val="38"/>
          <w:rFonts w:hint="eastAsia" w:asciiTheme="minorEastAsia" w:hAnsiTheme="minorEastAsia" w:eastAsiaTheme="minorEastAsia"/>
          <w:i w:val="0"/>
          <w:color w:val="auto"/>
        </w:rPr>
        <w:t>五、联合体协议书（适用于联合体的情况）（格式）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"_Toc516816396" </w:instrText>
      </w:r>
      <w:r>
        <w:rPr>
          <w:color w:val="auto"/>
        </w:rPr>
        <w:fldChar w:fldCharType="separate"/>
      </w:r>
      <w:r>
        <w:rPr>
          <w:rStyle w:val="38"/>
          <w:rFonts w:hint="eastAsia" w:asciiTheme="minorEastAsia" w:hAnsiTheme="minorEastAsia" w:eastAsiaTheme="minorEastAsia"/>
          <w:i w:val="0"/>
          <w:color w:val="auto"/>
        </w:rPr>
        <w:t>六、投标保证金（格式）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"_Toc516816397" </w:instrText>
      </w:r>
      <w:r>
        <w:rPr>
          <w:color w:val="auto"/>
        </w:rPr>
        <w:fldChar w:fldCharType="separate"/>
      </w:r>
      <w:r>
        <w:rPr>
          <w:rStyle w:val="38"/>
          <w:rFonts w:hint="eastAsia" w:asciiTheme="minorEastAsia" w:hAnsiTheme="minorEastAsia" w:eastAsiaTheme="minorEastAsia"/>
          <w:i w:val="0"/>
          <w:color w:val="auto"/>
        </w:rPr>
        <w:t>七、近年财务状况表（格式）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"_Toc516816398" </w:instrText>
      </w:r>
      <w:r>
        <w:rPr>
          <w:color w:val="auto"/>
        </w:rPr>
        <w:fldChar w:fldCharType="separate"/>
      </w:r>
      <w:r>
        <w:rPr>
          <w:rStyle w:val="38"/>
          <w:rFonts w:hint="eastAsia" w:asciiTheme="minorEastAsia" w:hAnsiTheme="minorEastAsia" w:eastAsiaTheme="minorEastAsia"/>
          <w:i w:val="0"/>
          <w:color w:val="auto"/>
        </w:rPr>
        <w:t>八、近年完成的类似项目情况表（格式）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"_Toc516816399" </w:instrText>
      </w:r>
      <w:r>
        <w:rPr>
          <w:color w:val="auto"/>
        </w:rPr>
        <w:fldChar w:fldCharType="separate"/>
      </w:r>
      <w:r>
        <w:rPr>
          <w:rStyle w:val="38"/>
          <w:rFonts w:hint="eastAsia" w:asciiTheme="minorEastAsia" w:hAnsiTheme="minorEastAsia" w:eastAsiaTheme="minorEastAsia"/>
          <w:i w:val="0"/>
          <w:color w:val="auto"/>
        </w:rPr>
        <w:t>九、正在施工和新承接的项目情况表（格式）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_Toc516816399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"_Toc516816400" </w:instrText>
      </w:r>
      <w:r>
        <w:rPr>
          <w:color w:val="auto"/>
        </w:rPr>
        <w:fldChar w:fldCharType="separate"/>
      </w:r>
      <w:r>
        <w:rPr>
          <w:rStyle w:val="38"/>
          <w:rFonts w:hint="eastAsia" w:asciiTheme="minorEastAsia" w:hAnsiTheme="minorEastAsia" w:eastAsiaTheme="minorEastAsia"/>
          <w:i w:val="0"/>
          <w:color w:val="auto"/>
        </w:rPr>
        <w:t>十、近年发生的诉讼及仲裁情况（格式）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"_Toc516816401" </w:instrText>
      </w:r>
      <w:r>
        <w:rPr>
          <w:color w:val="auto"/>
        </w:rPr>
        <w:fldChar w:fldCharType="separate"/>
      </w:r>
      <w:r>
        <w:rPr>
          <w:rStyle w:val="38"/>
          <w:rFonts w:hint="eastAsia" w:asciiTheme="minorEastAsia" w:hAnsiTheme="minorEastAsia" w:eastAsiaTheme="minorEastAsia"/>
          <w:i w:val="0"/>
          <w:color w:val="auto"/>
        </w:rPr>
        <w:t>十一、拟委任的主要人员汇总表（格式）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"_Toc516816402" </w:instrText>
      </w:r>
      <w:r>
        <w:rPr>
          <w:color w:val="auto"/>
        </w:rPr>
        <w:fldChar w:fldCharType="separate"/>
      </w:r>
      <w:r>
        <w:rPr>
          <w:rStyle w:val="38"/>
          <w:rFonts w:hint="eastAsia" w:asciiTheme="minorEastAsia" w:hAnsiTheme="minorEastAsia" w:eastAsiaTheme="minorEastAsia"/>
          <w:i w:val="0"/>
          <w:color w:val="auto"/>
        </w:rPr>
        <w:t>十二、主要人员简历表（格式）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"_Toc516816403" </w:instrText>
      </w:r>
      <w:r>
        <w:rPr>
          <w:color w:val="auto"/>
        </w:rPr>
        <w:fldChar w:fldCharType="separate"/>
      </w:r>
      <w:r>
        <w:rPr>
          <w:rStyle w:val="38"/>
          <w:rFonts w:hint="eastAsia" w:asciiTheme="minorEastAsia" w:hAnsiTheme="minorEastAsia" w:eastAsiaTheme="minorEastAsia"/>
          <w:i w:val="0"/>
          <w:color w:val="auto"/>
        </w:rPr>
        <w:t>十三、项目机构派驻现场施工人员到位承诺书（格式）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149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"_Toc516816404" </w:instrText>
      </w:r>
      <w:r>
        <w:rPr>
          <w:color w:val="auto"/>
        </w:rPr>
        <w:fldChar w:fldCharType="separate"/>
      </w:r>
      <w:r>
        <w:rPr>
          <w:rStyle w:val="38"/>
          <w:rFonts w:hint="eastAsia" w:asciiTheme="minorEastAsia" w:hAnsiTheme="minorEastAsia" w:eastAsiaTheme="minorEastAsia"/>
          <w:i w:val="0"/>
          <w:color w:val="auto"/>
        </w:rPr>
        <w:t>十四、不拖欠农民工工资承诺书（格式）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"_Toc516816405" </w:instrText>
      </w:r>
      <w:r>
        <w:rPr>
          <w:color w:val="auto"/>
        </w:rPr>
        <w:fldChar w:fldCharType="separate"/>
      </w:r>
      <w:r>
        <w:rPr>
          <w:rStyle w:val="38"/>
          <w:rFonts w:hint="eastAsia" w:asciiTheme="minorEastAsia" w:hAnsiTheme="minorEastAsia" w:eastAsiaTheme="minorEastAsia"/>
          <w:i w:val="0"/>
          <w:color w:val="auto"/>
        </w:rPr>
        <w:t>十五、投标人承诺书（格式）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"_Toc516816406" </w:instrText>
      </w:r>
      <w:r>
        <w:rPr>
          <w:color w:val="auto"/>
        </w:rPr>
        <w:fldChar w:fldCharType="separate"/>
      </w:r>
      <w:r>
        <w:rPr>
          <w:rStyle w:val="38"/>
          <w:rFonts w:hint="eastAsia" w:asciiTheme="minorEastAsia" w:hAnsiTheme="minorEastAsia" w:eastAsiaTheme="minorEastAsia"/>
          <w:i w:val="0"/>
          <w:color w:val="auto"/>
        </w:rPr>
        <w:t>十六、其他资格材料（如有）（格式）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"_Toc516816407" </w:instrText>
      </w:r>
      <w:r>
        <w:rPr>
          <w:color w:val="auto"/>
        </w:rPr>
        <w:fldChar w:fldCharType="separate"/>
      </w:r>
      <w:r>
        <w:rPr>
          <w:rStyle w:val="38"/>
          <w:rFonts w:hint="eastAsia" w:asciiTheme="minorEastAsia" w:hAnsiTheme="minorEastAsia" w:eastAsiaTheme="minorEastAsia"/>
          <w:color w:val="auto"/>
        </w:rPr>
        <w:t>第二节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商务文件格式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_Toc516816407 \h </w:instrText>
      </w:r>
      <w:r>
        <w:rPr>
          <w:rFonts w:asciiTheme="minorEastAsia" w:hAnsiTheme="minorEastAsia"/>
          <w:color w:val="auto"/>
          <w:sz w:val="21"/>
          <w:szCs w:val="21"/>
        </w:rPr>
        <w:fldChar w:fldCharType="separate"/>
      </w:r>
      <w:r>
        <w:rPr>
          <w:rFonts w:asciiTheme="minorEastAsia" w:hAnsiTheme="minorEastAsia"/>
          <w:color w:val="auto"/>
          <w:sz w:val="21"/>
          <w:szCs w:val="21"/>
        </w:rPr>
        <w:t>153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"_Toc516816408" </w:instrText>
      </w:r>
      <w:r>
        <w:rPr>
          <w:color w:val="auto"/>
        </w:rPr>
        <w:fldChar w:fldCharType="separate"/>
      </w:r>
      <w:r>
        <w:rPr>
          <w:rStyle w:val="38"/>
          <w:rFonts w:hint="eastAsia" w:asciiTheme="minorEastAsia" w:hAnsiTheme="minorEastAsia" w:eastAsiaTheme="minorEastAsia"/>
          <w:i w:val="0"/>
          <w:color w:val="auto"/>
        </w:rPr>
        <w:t>投标文件（二）（格式）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"_Toc516816409" </w:instrText>
      </w:r>
      <w:r>
        <w:rPr>
          <w:color w:val="auto"/>
        </w:rPr>
        <w:fldChar w:fldCharType="separate"/>
      </w:r>
      <w:r>
        <w:rPr>
          <w:rStyle w:val="38"/>
          <w:rFonts w:hint="eastAsia" w:asciiTheme="minorEastAsia" w:hAnsiTheme="minorEastAsia" w:eastAsiaTheme="minorEastAsia"/>
          <w:i w:val="0"/>
          <w:color w:val="auto"/>
        </w:rPr>
        <w:t>目录（格式）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_Toc516816409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"_Toc516816410" </w:instrText>
      </w:r>
      <w:r>
        <w:rPr>
          <w:color w:val="auto"/>
        </w:rPr>
        <w:fldChar w:fldCharType="separate"/>
      </w:r>
      <w:r>
        <w:rPr>
          <w:rStyle w:val="38"/>
          <w:rFonts w:hint="eastAsia" w:asciiTheme="minorEastAsia" w:hAnsiTheme="minorEastAsia" w:eastAsiaTheme="minorEastAsia"/>
          <w:i w:val="0"/>
          <w:color w:val="auto"/>
        </w:rPr>
        <w:t>一、投标函及投标函附录（格式）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_Toc516816410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"_Toc516816411" </w:instrText>
      </w:r>
      <w:r>
        <w:rPr>
          <w:color w:val="auto"/>
        </w:rPr>
        <w:fldChar w:fldCharType="separate"/>
      </w:r>
      <w:r>
        <w:rPr>
          <w:rStyle w:val="38"/>
          <w:rFonts w:hint="eastAsia" w:asciiTheme="minorEastAsia" w:hAnsiTheme="minorEastAsia" w:eastAsiaTheme="minorEastAsia"/>
          <w:i w:val="0"/>
          <w:color w:val="auto"/>
        </w:rPr>
        <w:t>二、已标价工程量清单（格式）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_Toc516816411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159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9"/>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"_Toc516816412" </w:instrText>
      </w:r>
      <w:r>
        <w:rPr>
          <w:color w:val="auto"/>
        </w:rPr>
        <w:fldChar w:fldCharType="separate"/>
      </w:r>
      <w:r>
        <w:rPr>
          <w:rStyle w:val="38"/>
          <w:rFonts w:hint="eastAsia" w:asciiTheme="minorEastAsia" w:hAnsiTheme="minorEastAsia" w:eastAsiaTheme="minorEastAsia"/>
          <w:color w:val="auto"/>
        </w:rPr>
        <w:t>第三节</w:t>
      </w:r>
      <w:r>
        <w:rPr>
          <w:rStyle w:val="38"/>
          <w:rFonts w:asciiTheme="minorEastAsia" w:hAnsiTheme="minorEastAsia" w:eastAsiaTheme="minorEastAsia"/>
          <w:color w:val="auto"/>
        </w:rPr>
        <w:t xml:space="preserve"> </w:t>
      </w:r>
      <w:r>
        <w:rPr>
          <w:rStyle w:val="38"/>
          <w:rFonts w:hint="eastAsia" w:asciiTheme="minorEastAsia" w:hAnsiTheme="minorEastAsia" w:eastAsiaTheme="minorEastAsia"/>
          <w:color w:val="auto"/>
        </w:rPr>
        <w:t>施工组织设计格式（如有）</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_Toc516816412 \h </w:instrText>
      </w:r>
      <w:r>
        <w:rPr>
          <w:rFonts w:asciiTheme="minorEastAsia" w:hAnsiTheme="minorEastAsia"/>
          <w:color w:val="auto"/>
          <w:sz w:val="21"/>
          <w:szCs w:val="21"/>
        </w:rPr>
        <w:fldChar w:fldCharType="separate"/>
      </w:r>
      <w:r>
        <w:rPr>
          <w:rFonts w:asciiTheme="minorEastAsia" w:hAnsiTheme="minorEastAsia"/>
          <w:color w:val="auto"/>
          <w:sz w:val="21"/>
          <w:szCs w:val="21"/>
        </w:rPr>
        <w:t>169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7"/>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"_Toc516816413" </w:instrText>
      </w:r>
      <w:r>
        <w:rPr>
          <w:color w:val="auto"/>
        </w:rPr>
        <w:fldChar w:fldCharType="separate"/>
      </w:r>
      <w:r>
        <w:rPr>
          <w:rStyle w:val="38"/>
          <w:rFonts w:hint="eastAsia" w:asciiTheme="minorEastAsia" w:hAnsiTheme="minorEastAsia" w:eastAsiaTheme="minorEastAsia"/>
          <w:i w:val="0"/>
          <w:color w:val="auto"/>
        </w:rPr>
        <w:t>投标文件（三）（格式）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_Toc516816413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170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25"/>
        <w:tabs>
          <w:tab w:val="right" w:leader="dot" w:pos="8834"/>
        </w:tabs>
        <w:rPr>
          <w:rFonts w:asciiTheme="minorEastAsia" w:hAnsiTheme="minorEastAsia"/>
          <w:color w:val="auto"/>
          <w:szCs w:val="21"/>
        </w:rPr>
      </w:pPr>
      <w:r>
        <w:rPr>
          <w:rFonts w:asciiTheme="minorEastAsia" w:hAnsiTheme="minorEastAsia"/>
          <w:b w:val="0"/>
          <w:bCs w:val="0"/>
          <w:caps w:val="0"/>
          <w:color w:val="auto"/>
          <w:szCs w:val="21"/>
        </w:rPr>
        <w:fldChar w:fldCharType="end"/>
      </w:r>
      <w:r>
        <w:rPr>
          <w:rFonts w:asciiTheme="minorEastAsia" w:hAnsiTheme="minorEastAsia"/>
          <w:b w:val="0"/>
          <w:bCs w:val="0"/>
          <w:caps w:val="0"/>
          <w:color w:val="auto"/>
          <w:szCs w:val="21"/>
        </w:rPr>
        <w:fldChar w:fldCharType="begin"/>
      </w:r>
      <w:r>
        <w:rPr>
          <w:rFonts w:asciiTheme="minorEastAsia" w:hAnsiTheme="minorEastAsia"/>
          <w:b w:val="0"/>
          <w:bCs w:val="0"/>
          <w:caps w:val="0"/>
          <w:color w:val="auto"/>
          <w:szCs w:val="21"/>
        </w:rPr>
        <w:instrText xml:space="preserve"> TOC \o "1-3" \h \z \u </w:instrText>
      </w:r>
      <w:r>
        <w:rPr>
          <w:rFonts w:asciiTheme="minorEastAsia" w:hAnsiTheme="minorEastAsia"/>
          <w:b w:val="0"/>
          <w:bCs w:val="0"/>
          <w:caps w:val="0"/>
          <w:color w:val="auto"/>
          <w:szCs w:val="21"/>
        </w:rPr>
        <w:fldChar w:fldCharType="end"/>
      </w:r>
      <w:r>
        <w:rPr>
          <w:rFonts w:asciiTheme="minorEastAsia" w:hAnsiTheme="minorEastAsia"/>
          <w:b w:val="0"/>
          <w:bCs w:val="0"/>
          <w:caps w:val="0"/>
          <w:color w:val="auto"/>
          <w:szCs w:val="21"/>
        </w:rPr>
        <w:fldChar w:fldCharType="begin"/>
      </w:r>
      <w:r>
        <w:rPr>
          <w:rFonts w:asciiTheme="minorEastAsia" w:hAnsiTheme="minorEastAsia"/>
          <w:b w:val="0"/>
          <w:bCs w:val="0"/>
          <w:caps w:val="0"/>
          <w:color w:val="auto"/>
          <w:szCs w:val="21"/>
        </w:rPr>
        <w:instrText xml:space="preserve"> TOC \o "1-3" \h \z \u </w:instrText>
      </w:r>
      <w:r>
        <w:rPr>
          <w:rFonts w:asciiTheme="minorEastAsia" w:hAnsiTheme="minorEastAsia"/>
          <w:b w:val="0"/>
          <w:bCs w:val="0"/>
          <w:caps w:val="0"/>
          <w:color w:val="auto"/>
          <w:szCs w:val="21"/>
        </w:rPr>
        <w:fldChar w:fldCharType="end"/>
      </w:r>
    </w:p>
    <w:p>
      <w:pPr>
        <w:widowControl/>
        <w:shd w:val="clear" w:color="auto" w:fill="FFFFFF"/>
        <w:adjustRightInd w:val="0"/>
        <w:snapToGrid w:val="0"/>
        <w:ind w:firstLine="422" w:firstLineChars="200"/>
        <w:jc w:val="left"/>
        <w:rPr>
          <w:b/>
          <w:color w:val="auto"/>
          <w:szCs w:val="21"/>
        </w:rPr>
      </w:pPr>
    </w:p>
    <w:p>
      <w:pPr>
        <w:widowControl/>
        <w:shd w:val="clear" w:color="auto" w:fill="FFFFFF"/>
        <w:spacing w:line="300" w:lineRule="atLeast"/>
        <w:ind w:firstLine="422" w:firstLineChars="200"/>
        <w:jc w:val="left"/>
        <w:rPr>
          <w:b/>
          <w:color w:val="auto"/>
          <w:szCs w:val="21"/>
        </w:rPr>
      </w:pPr>
    </w:p>
    <w:p>
      <w:pPr>
        <w:widowControl/>
        <w:shd w:val="clear" w:color="auto" w:fill="FFFFFF"/>
        <w:spacing w:line="300" w:lineRule="atLeast"/>
        <w:ind w:firstLine="422" w:firstLineChars="200"/>
        <w:jc w:val="left"/>
        <w:rPr>
          <w:b/>
          <w:color w:val="auto"/>
          <w:szCs w:val="21"/>
        </w:rPr>
        <w:sectPr>
          <w:pgSz w:w="11906" w:h="16838"/>
          <w:pgMar w:top="1440" w:right="1531" w:bottom="1440" w:left="1531" w:header="851" w:footer="992" w:gutter="0"/>
          <w:cols w:space="425" w:num="1"/>
          <w:docGrid w:type="lines" w:linePitch="312" w:charSpace="0"/>
        </w:sectPr>
      </w:pPr>
    </w:p>
    <w:p>
      <w:pPr>
        <w:pStyle w:val="33"/>
        <w:spacing w:before="0" w:after="0"/>
        <w:rPr>
          <w:rFonts w:asciiTheme="majorEastAsia" w:hAnsiTheme="majorEastAsia" w:eastAsiaTheme="majorEastAsia"/>
          <w:color w:val="auto"/>
          <w:sz w:val="52"/>
          <w:szCs w:val="52"/>
        </w:rPr>
      </w:pPr>
      <w:bookmarkStart w:id="0" w:name="_Toc515441032"/>
      <w:bookmarkStart w:id="1" w:name="_Toc516816225"/>
      <w:bookmarkStart w:id="2" w:name="_Toc511635705"/>
      <w:bookmarkStart w:id="3" w:name="_Toc516816036"/>
      <w:r>
        <w:rPr>
          <w:rFonts w:hint="eastAsia" w:asciiTheme="majorEastAsia" w:hAnsiTheme="majorEastAsia" w:eastAsiaTheme="majorEastAsia"/>
          <w:color w:val="auto"/>
          <w:sz w:val="52"/>
          <w:szCs w:val="52"/>
        </w:rPr>
        <w:t>第一卷</w:t>
      </w:r>
      <w:bookmarkEnd w:id="0"/>
      <w:bookmarkEnd w:id="1"/>
      <w:bookmarkEnd w:id="2"/>
      <w:bookmarkEnd w:id="3"/>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pStyle w:val="2"/>
        <w:spacing w:before="0" w:after="0"/>
        <w:jc w:val="center"/>
        <w:rPr>
          <w:rFonts w:asciiTheme="majorEastAsia" w:hAnsiTheme="majorEastAsia" w:eastAsiaTheme="majorEastAsia"/>
          <w:color w:val="auto"/>
          <w:sz w:val="36"/>
          <w:szCs w:val="36"/>
        </w:rPr>
      </w:pPr>
      <w:bookmarkStart w:id="4" w:name="_Toc516816226"/>
      <w:bookmarkStart w:id="5" w:name="_Toc515441033"/>
      <w:bookmarkStart w:id="6" w:name="_Toc511635706"/>
      <w:bookmarkStart w:id="7" w:name="_Toc516816037"/>
      <w:r>
        <w:rPr>
          <w:rFonts w:hint="eastAsia" w:asciiTheme="majorEastAsia" w:hAnsiTheme="majorEastAsia" w:eastAsiaTheme="majorEastAsia"/>
          <w:color w:val="auto"/>
          <w:sz w:val="36"/>
          <w:szCs w:val="36"/>
        </w:rPr>
        <w:t>第一章 招标公告（适用于公开招标）</w:t>
      </w:r>
      <w:bookmarkEnd w:id="4"/>
      <w:bookmarkEnd w:id="5"/>
      <w:bookmarkEnd w:id="6"/>
      <w:bookmarkEnd w:id="7"/>
    </w:p>
    <w:p>
      <w:pPr>
        <w:widowControl/>
        <w:shd w:val="clear" w:color="auto" w:fill="FFFFFF"/>
        <w:snapToGrid w:val="0"/>
        <w:jc w:val="center"/>
        <w:rPr>
          <w:b/>
          <w:color w:val="auto"/>
          <w:sz w:val="28"/>
          <w:szCs w:val="28"/>
        </w:rPr>
      </w:pPr>
      <w:r>
        <w:rPr>
          <w:rFonts w:hint="eastAsia"/>
          <w:b/>
          <w:color w:val="auto"/>
          <w:sz w:val="28"/>
          <w:szCs w:val="28"/>
        </w:rPr>
        <w:t>__________（项目名称）__________（标段名称）施工招标公告</w:t>
      </w:r>
    </w:p>
    <w:p>
      <w:pPr>
        <w:widowControl/>
        <w:shd w:val="clear" w:color="auto" w:fill="FFFFFF"/>
        <w:snapToGrid w:val="0"/>
        <w:ind w:firstLine="482" w:firstLineChars="200"/>
        <w:jc w:val="left"/>
        <w:rPr>
          <w:b/>
          <w:color w:val="auto"/>
          <w:sz w:val="24"/>
          <w:szCs w:val="24"/>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8" w:name="_Toc511635707"/>
      <w:bookmarkStart w:id="9" w:name="_Toc516816038"/>
      <w:bookmarkStart w:id="10" w:name="_Toc515441034"/>
      <w:bookmarkStart w:id="11" w:name="_Toc516816227"/>
      <w:r>
        <w:rPr>
          <w:rFonts w:hint="eastAsia" w:asciiTheme="majorEastAsia" w:hAnsiTheme="majorEastAsia" w:eastAsiaTheme="majorEastAsia" w:cstheme="minorBidi"/>
          <w:bCs w:val="0"/>
          <w:color w:val="auto"/>
          <w:sz w:val="28"/>
          <w:szCs w:val="28"/>
        </w:rPr>
        <w:t>1. 招标条件</w:t>
      </w:r>
      <w:bookmarkEnd w:id="8"/>
      <w:bookmarkEnd w:id="9"/>
      <w:bookmarkEnd w:id="10"/>
      <w:bookmarkEnd w:id="11"/>
    </w:p>
    <w:p>
      <w:pPr>
        <w:widowControl/>
        <w:shd w:val="clear" w:color="auto" w:fill="FFFFFF"/>
        <w:snapToGrid w:val="0"/>
        <w:ind w:firstLine="420" w:firstLineChars="200"/>
        <w:jc w:val="left"/>
        <w:rPr>
          <w:color w:val="auto"/>
          <w:szCs w:val="21"/>
        </w:rPr>
      </w:pPr>
      <w:r>
        <w:rPr>
          <w:rFonts w:hint="eastAsia"/>
          <w:color w:val="auto"/>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对___________________（标段名称）施工进行公开招标。</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2" w:name="_Toc516816039"/>
      <w:bookmarkStart w:id="13" w:name="_Toc516816228"/>
      <w:bookmarkStart w:id="14" w:name="_Toc515441035"/>
      <w:bookmarkStart w:id="15" w:name="_Toc511635708"/>
      <w:r>
        <w:rPr>
          <w:rFonts w:hint="eastAsia" w:asciiTheme="majorEastAsia" w:hAnsiTheme="majorEastAsia" w:eastAsiaTheme="majorEastAsia" w:cstheme="minorBidi"/>
          <w:bCs w:val="0"/>
          <w:color w:val="auto"/>
          <w:sz w:val="28"/>
          <w:szCs w:val="28"/>
        </w:rPr>
        <w:t>2. 项目概况与招标范围</w:t>
      </w:r>
      <w:bookmarkEnd w:id="12"/>
      <w:bookmarkEnd w:id="13"/>
      <w:bookmarkEnd w:id="14"/>
      <w:bookmarkEnd w:id="15"/>
    </w:p>
    <w:p>
      <w:pPr>
        <w:widowControl/>
        <w:shd w:val="clear" w:color="auto" w:fill="FFFFFF"/>
        <w:snapToGrid w:val="0"/>
        <w:ind w:firstLine="420" w:firstLineChars="200"/>
        <w:jc w:val="left"/>
        <w:rPr>
          <w:color w:val="auto"/>
          <w:szCs w:val="21"/>
        </w:rPr>
      </w:pPr>
      <w:r>
        <w:rPr>
          <w:rFonts w:hint="eastAsia"/>
          <w:color w:val="auto"/>
          <w:szCs w:val="21"/>
        </w:rPr>
        <w:t>2.1 建设地点：______________________；</w:t>
      </w:r>
    </w:p>
    <w:p>
      <w:pPr>
        <w:widowControl/>
        <w:shd w:val="clear" w:color="auto" w:fill="FFFFFF"/>
        <w:snapToGrid w:val="0"/>
        <w:ind w:firstLine="420" w:firstLineChars="200"/>
        <w:jc w:val="left"/>
        <w:rPr>
          <w:color w:val="auto"/>
          <w:szCs w:val="21"/>
        </w:rPr>
      </w:pPr>
      <w:r>
        <w:rPr>
          <w:rFonts w:hint="eastAsia"/>
          <w:color w:val="auto"/>
          <w:szCs w:val="21"/>
        </w:rPr>
        <w:t>2.2 工程规模：______________________；</w:t>
      </w:r>
    </w:p>
    <w:p>
      <w:pPr>
        <w:widowControl/>
        <w:shd w:val="clear" w:color="auto" w:fill="FFFFFF"/>
        <w:snapToGrid w:val="0"/>
        <w:ind w:firstLine="420" w:firstLineChars="200"/>
        <w:jc w:val="left"/>
        <w:rPr>
          <w:color w:val="auto"/>
          <w:szCs w:val="21"/>
        </w:rPr>
      </w:pPr>
      <w:r>
        <w:rPr>
          <w:rFonts w:hint="eastAsia"/>
          <w:color w:val="auto"/>
          <w:szCs w:val="21"/>
        </w:rPr>
        <w:t>2.3 招标范围和内容：______________________；</w:t>
      </w:r>
    </w:p>
    <w:p>
      <w:pPr>
        <w:widowControl/>
        <w:shd w:val="clear" w:color="auto" w:fill="FFFFFF"/>
        <w:snapToGrid w:val="0"/>
        <w:ind w:firstLine="420" w:firstLineChars="200"/>
        <w:jc w:val="left"/>
        <w:rPr>
          <w:color w:val="auto"/>
          <w:szCs w:val="21"/>
        </w:rPr>
      </w:pPr>
      <w:r>
        <w:rPr>
          <w:rFonts w:hint="eastAsia"/>
          <w:color w:val="auto"/>
          <w:szCs w:val="21"/>
        </w:rPr>
        <w:t>2.4 最高控制价：______________________；</w:t>
      </w:r>
    </w:p>
    <w:p>
      <w:pPr>
        <w:widowControl/>
        <w:shd w:val="clear" w:color="auto" w:fill="FFFFFF"/>
        <w:snapToGrid w:val="0"/>
        <w:ind w:firstLine="420" w:firstLineChars="200"/>
        <w:jc w:val="left"/>
        <w:rPr>
          <w:color w:val="auto"/>
          <w:szCs w:val="21"/>
        </w:rPr>
      </w:pPr>
      <w:r>
        <w:rPr>
          <w:rFonts w:hint="eastAsia"/>
          <w:color w:val="auto"/>
          <w:szCs w:val="21"/>
        </w:rPr>
        <w:t>2.5 标段划分（如有）：______________________；</w:t>
      </w:r>
    </w:p>
    <w:p>
      <w:pPr>
        <w:widowControl/>
        <w:shd w:val="clear" w:color="auto" w:fill="FFFFFF"/>
        <w:snapToGrid w:val="0"/>
        <w:ind w:firstLine="420" w:firstLineChars="200"/>
        <w:jc w:val="left"/>
        <w:rPr>
          <w:color w:val="auto"/>
          <w:szCs w:val="21"/>
        </w:rPr>
      </w:pPr>
      <w:r>
        <w:rPr>
          <w:rFonts w:hint="eastAsia"/>
          <w:color w:val="auto"/>
          <w:szCs w:val="21"/>
        </w:rPr>
        <w:t>2.6 质量要求：______________________；</w:t>
      </w:r>
    </w:p>
    <w:p>
      <w:pPr>
        <w:widowControl/>
        <w:shd w:val="clear" w:color="auto" w:fill="FFFFFF"/>
        <w:snapToGrid w:val="0"/>
        <w:ind w:firstLine="420" w:firstLineChars="200"/>
        <w:jc w:val="left"/>
        <w:rPr>
          <w:color w:val="auto"/>
          <w:szCs w:val="21"/>
        </w:rPr>
      </w:pPr>
      <w:r>
        <w:rPr>
          <w:rFonts w:hint="eastAsia"/>
          <w:color w:val="auto"/>
          <w:szCs w:val="21"/>
        </w:rPr>
        <w:t>2.7 工期要求：</w:t>
      </w:r>
      <w:r>
        <w:rPr>
          <w:color w:val="auto"/>
          <w:szCs w:val="21"/>
        </w:rPr>
        <w:t>总工期</w:t>
      </w:r>
      <w:r>
        <w:rPr>
          <w:rFonts w:hint="eastAsia"/>
          <w:color w:val="auto"/>
          <w:szCs w:val="21"/>
        </w:rPr>
        <w:t>______</w:t>
      </w:r>
      <w:r>
        <w:rPr>
          <w:color w:val="auto"/>
          <w:szCs w:val="21"/>
        </w:rPr>
        <w:t>日历天</w:t>
      </w:r>
      <w:r>
        <w:rPr>
          <w:rFonts w:hint="eastAsia"/>
          <w:color w:val="auto"/>
          <w:szCs w:val="21"/>
        </w:rPr>
        <w:t>，其中各关键节点的工期要求：______。</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6" w:name="_Toc511635709"/>
      <w:bookmarkStart w:id="17" w:name="_Toc516816040"/>
      <w:bookmarkStart w:id="18" w:name="_Toc516816229"/>
      <w:bookmarkStart w:id="19" w:name="_Toc515441036"/>
      <w:r>
        <w:rPr>
          <w:rFonts w:hint="eastAsia" w:asciiTheme="majorEastAsia" w:hAnsiTheme="majorEastAsia" w:eastAsiaTheme="majorEastAsia" w:cstheme="minorBidi"/>
          <w:bCs w:val="0"/>
          <w:color w:val="auto"/>
          <w:sz w:val="28"/>
          <w:szCs w:val="28"/>
        </w:rPr>
        <w:t>3. 投标人资格要求</w:t>
      </w:r>
      <w:bookmarkEnd w:id="16"/>
      <w:r>
        <w:rPr>
          <w:rFonts w:hint="eastAsia" w:asciiTheme="majorEastAsia" w:hAnsiTheme="majorEastAsia" w:eastAsiaTheme="majorEastAsia" w:cstheme="minorBidi"/>
          <w:bCs w:val="0"/>
          <w:color w:val="auto"/>
          <w:sz w:val="28"/>
          <w:szCs w:val="28"/>
        </w:rPr>
        <w:t>及审查办法</w:t>
      </w:r>
      <w:bookmarkEnd w:id="17"/>
      <w:bookmarkEnd w:id="18"/>
      <w:bookmarkEnd w:id="19"/>
    </w:p>
    <w:p>
      <w:pPr>
        <w:widowControl/>
        <w:shd w:val="clear" w:color="auto" w:fill="FFFFFF"/>
        <w:snapToGrid w:val="0"/>
        <w:ind w:firstLine="420" w:firstLineChars="200"/>
        <w:jc w:val="left"/>
        <w:rPr>
          <w:color w:val="auto"/>
          <w:szCs w:val="21"/>
        </w:rPr>
      </w:pPr>
      <w:r>
        <w:rPr>
          <w:rFonts w:hint="eastAsia"/>
          <w:color w:val="auto"/>
          <w:szCs w:val="21"/>
        </w:rPr>
        <w:t>3.1 本招标项目要求投标人须具备有效的不低于____________资质，《施工企业安全生产许可证》和__________业绩（指近10年内承担过类似的工程业绩）。</w:t>
      </w:r>
    </w:p>
    <w:p>
      <w:pPr>
        <w:widowControl/>
        <w:shd w:val="clear" w:color="auto" w:fill="FFFFFF"/>
        <w:snapToGrid w:val="0"/>
        <w:ind w:firstLine="420" w:firstLineChars="200"/>
        <w:jc w:val="left"/>
        <w:rPr>
          <w:color w:val="auto"/>
          <w:szCs w:val="21"/>
        </w:rPr>
      </w:pPr>
      <w:r>
        <w:rPr>
          <w:rFonts w:hint="eastAsia"/>
          <w:color w:val="auto"/>
          <w:szCs w:val="21"/>
        </w:rPr>
        <w:t>3.2 投标人拟担任本招标项目的项目经理应具备有效的不低于_____级__________专业注册建造师执业资格，水行政主管部门颁发的安全考核合格证书（B证）和__________职称，__________业绩（指近10年内承担过类似的工程业绩）。并</w:t>
      </w:r>
      <w:r>
        <w:rPr>
          <w:color w:val="auto"/>
          <w:szCs w:val="21"/>
        </w:rPr>
        <w:t>在其他人员、设备、资金等方面</w:t>
      </w:r>
      <w:r>
        <w:rPr>
          <w:rFonts w:hint="eastAsia"/>
          <w:color w:val="auto"/>
          <w:szCs w:val="21"/>
        </w:rPr>
        <w:t>具有承担本标段施工的能力。</w:t>
      </w:r>
    </w:p>
    <w:p>
      <w:pPr>
        <w:widowControl/>
        <w:shd w:val="clear" w:color="auto" w:fill="FFFFFF"/>
        <w:snapToGrid w:val="0"/>
        <w:ind w:firstLine="420" w:firstLineChars="200"/>
        <w:jc w:val="left"/>
        <w:rPr>
          <w:color w:val="auto"/>
          <w:szCs w:val="21"/>
        </w:rPr>
      </w:pPr>
      <w:r>
        <w:rPr>
          <w:rFonts w:hint="eastAsia"/>
          <w:color w:val="auto"/>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color w:val="auto"/>
          <w:szCs w:val="21"/>
        </w:rPr>
      </w:pPr>
      <w:r>
        <w:rPr>
          <w:rFonts w:hint="eastAsia"/>
          <w:color w:val="auto"/>
          <w:szCs w:val="21"/>
        </w:rPr>
        <w:t>3.4 本招标项目的投标保证金：</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3.5 本招标项目评标办法：</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0" w:name="_Toc511635710"/>
      <w:bookmarkStart w:id="21" w:name="_Toc515441037"/>
      <w:bookmarkStart w:id="22" w:name="_Toc516816230"/>
      <w:bookmarkStart w:id="23" w:name="_Toc516816041"/>
      <w:r>
        <w:rPr>
          <w:rFonts w:hint="eastAsia" w:asciiTheme="majorEastAsia" w:hAnsiTheme="majorEastAsia" w:eastAsiaTheme="majorEastAsia" w:cstheme="minorBidi"/>
          <w:bCs w:val="0"/>
          <w:color w:val="auto"/>
          <w:sz w:val="28"/>
          <w:szCs w:val="28"/>
        </w:rPr>
        <w:t>4. 招标文件的获取</w:t>
      </w:r>
      <w:bookmarkEnd w:id="20"/>
      <w:bookmarkEnd w:id="21"/>
      <w:bookmarkEnd w:id="22"/>
      <w:bookmarkEnd w:id="23"/>
    </w:p>
    <w:p>
      <w:pPr>
        <w:widowControl/>
        <w:shd w:val="clear" w:color="auto" w:fill="FFFFFF"/>
        <w:snapToGrid w:val="0"/>
        <w:ind w:firstLine="420" w:firstLineChars="200"/>
        <w:rPr>
          <w:color w:val="auto"/>
          <w:szCs w:val="21"/>
        </w:rPr>
      </w:pPr>
      <w:r>
        <w:rPr>
          <w:rFonts w:hint="eastAsia"/>
          <w:color w:val="auto"/>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color w:val="auto"/>
          <w:szCs w:val="21"/>
        </w:rPr>
      </w:pPr>
      <w:r>
        <w:rPr>
          <w:rFonts w:hint="eastAsia"/>
          <w:color w:val="auto"/>
          <w:szCs w:val="21"/>
        </w:rPr>
        <w:t>4.2 招标文件每套售价__________元，售后不退。</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4" w:name="_Toc515441038"/>
      <w:bookmarkStart w:id="25" w:name="_Toc511635711"/>
      <w:bookmarkStart w:id="26" w:name="_Toc516816231"/>
      <w:bookmarkStart w:id="27" w:name="_Toc516816042"/>
      <w:r>
        <w:rPr>
          <w:rFonts w:hint="eastAsia" w:asciiTheme="majorEastAsia" w:hAnsiTheme="majorEastAsia" w:eastAsiaTheme="majorEastAsia" w:cstheme="minorBidi"/>
          <w:bCs w:val="0"/>
          <w:color w:val="auto"/>
          <w:sz w:val="28"/>
          <w:szCs w:val="28"/>
        </w:rPr>
        <w:t>5. 投标文件的递交</w:t>
      </w:r>
      <w:bookmarkEnd w:id="24"/>
      <w:bookmarkEnd w:id="25"/>
      <w:bookmarkEnd w:id="26"/>
      <w:bookmarkEnd w:id="27"/>
    </w:p>
    <w:p>
      <w:pPr>
        <w:widowControl/>
        <w:shd w:val="clear" w:color="auto" w:fill="FFFFFF"/>
        <w:snapToGrid w:val="0"/>
        <w:ind w:firstLine="420" w:firstLineChars="200"/>
        <w:jc w:val="left"/>
        <w:rPr>
          <w:color w:val="auto"/>
          <w:szCs w:val="21"/>
        </w:rPr>
      </w:pPr>
      <w:r>
        <w:rPr>
          <w:rFonts w:hint="eastAsia"/>
          <w:color w:val="auto"/>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color w:val="auto"/>
          <w:szCs w:val="21"/>
        </w:rPr>
      </w:pPr>
      <w:r>
        <w:rPr>
          <w:rFonts w:hint="eastAsia"/>
          <w:color w:val="auto"/>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8" w:name="_Toc516816043"/>
      <w:bookmarkStart w:id="29" w:name="_Toc516816232"/>
      <w:bookmarkStart w:id="30" w:name="_Toc511635712"/>
      <w:bookmarkStart w:id="31" w:name="_Toc515441039"/>
      <w:r>
        <w:rPr>
          <w:rFonts w:hint="eastAsia" w:asciiTheme="majorEastAsia" w:hAnsiTheme="majorEastAsia" w:eastAsiaTheme="majorEastAsia" w:cstheme="minorBidi"/>
          <w:bCs w:val="0"/>
          <w:color w:val="auto"/>
          <w:sz w:val="28"/>
          <w:szCs w:val="28"/>
        </w:rPr>
        <w:t>6. 发布公告的媒介</w:t>
      </w:r>
      <w:bookmarkEnd w:id="28"/>
      <w:bookmarkEnd w:id="29"/>
      <w:bookmarkEnd w:id="30"/>
      <w:bookmarkEnd w:id="31"/>
    </w:p>
    <w:p>
      <w:pPr>
        <w:widowControl/>
        <w:shd w:val="clear" w:color="auto" w:fill="FFFFFF"/>
        <w:snapToGrid w:val="0"/>
        <w:ind w:firstLine="420" w:firstLineChars="200"/>
        <w:jc w:val="left"/>
        <w:rPr>
          <w:color w:val="auto"/>
          <w:szCs w:val="21"/>
        </w:rPr>
      </w:pPr>
      <w:r>
        <w:rPr>
          <w:rFonts w:hint="eastAsia"/>
          <w:color w:val="auto"/>
          <w:szCs w:val="21"/>
        </w:rPr>
        <w:t>本次招标公告同时在__________________（发布公告的媒介名称）上发布。</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2" w:name="_Toc516816044"/>
      <w:bookmarkStart w:id="33" w:name="_Toc511635713"/>
      <w:bookmarkStart w:id="34" w:name="_Toc515441040"/>
      <w:bookmarkStart w:id="35" w:name="_Toc516816233"/>
      <w:r>
        <w:rPr>
          <w:rFonts w:hint="eastAsia" w:asciiTheme="majorEastAsia" w:hAnsiTheme="majorEastAsia" w:eastAsiaTheme="majorEastAsia" w:cstheme="minorBidi"/>
          <w:bCs w:val="0"/>
          <w:color w:val="auto"/>
          <w:sz w:val="28"/>
          <w:szCs w:val="28"/>
        </w:rPr>
        <w:t>7. 联系方式</w:t>
      </w:r>
      <w:bookmarkEnd w:id="32"/>
      <w:bookmarkEnd w:id="33"/>
      <w:bookmarkEnd w:id="34"/>
      <w:bookmarkEnd w:id="35"/>
    </w:p>
    <w:p>
      <w:pPr>
        <w:widowControl/>
        <w:shd w:val="clear" w:color="auto" w:fill="FFFFFF"/>
        <w:snapToGrid w:val="0"/>
        <w:ind w:firstLine="420" w:firstLineChars="200"/>
        <w:jc w:val="left"/>
        <w:rPr>
          <w:color w:val="auto"/>
          <w:szCs w:val="21"/>
        </w:rPr>
      </w:pPr>
      <w:r>
        <w:rPr>
          <w:rFonts w:hint="eastAsia"/>
          <w:color w:val="auto"/>
          <w:szCs w:val="21"/>
        </w:rPr>
        <w:t>招 标 人：_________________________    招标代理机构：___________________________</w:t>
      </w:r>
    </w:p>
    <w:p>
      <w:pPr>
        <w:widowControl/>
        <w:shd w:val="clear" w:color="auto" w:fill="FFFFFF"/>
        <w:snapToGrid w:val="0"/>
        <w:ind w:firstLine="420" w:firstLineChars="200"/>
        <w:jc w:val="left"/>
        <w:rPr>
          <w:color w:val="auto"/>
          <w:szCs w:val="21"/>
        </w:rPr>
      </w:pPr>
      <w:r>
        <w:rPr>
          <w:rFonts w:hint="eastAsia"/>
          <w:color w:val="auto"/>
          <w:szCs w:val="21"/>
        </w:rPr>
        <w:t>地    址：_________________________    地    址：_______________________________</w:t>
      </w:r>
    </w:p>
    <w:p>
      <w:pPr>
        <w:widowControl/>
        <w:shd w:val="clear" w:color="auto" w:fill="FFFFFF"/>
        <w:snapToGrid w:val="0"/>
        <w:ind w:firstLine="420" w:firstLineChars="200"/>
        <w:jc w:val="left"/>
        <w:rPr>
          <w:color w:val="auto"/>
          <w:szCs w:val="21"/>
        </w:rPr>
      </w:pPr>
      <w:r>
        <w:rPr>
          <w:rFonts w:hint="eastAsia"/>
          <w:color w:val="auto"/>
          <w:szCs w:val="21"/>
        </w:rPr>
        <w:t>邮    编：_________________________    邮    编：_______________________________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联 系 人：_________________________    联 系 人：_______________________________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    话：_________________________    电    话：_______________________________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传    真：_________________________    传    真：_______________________________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电子邮件：_________________________    电子邮件：_______________________________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网    址：_________________________    网     址：______________________________</w:t>
      </w:r>
    </w:p>
    <w:p>
      <w:pPr>
        <w:widowControl/>
        <w:shd w:val="clear" w:color="auto" w:fill="FFFFFF"/>
        <w:snapToGrid w:val="0"/>
        <w:ind w:firstLine="420" w:firstLineChars="200"/>
        <w:jc w:val="left"/>
        <w:rPr>
          <w:color w:val="auto"/>
          <w:szCs w:val="21"/>
        </w:rPr>
      </w:pPr>
      <w:r>
        <w:rPr>
          <w:rFonts w:hint="eastAsia"/>
          <w:color w:val="auto"/>
          <w:szCs w:val="21"/>
        </w:rPr>
        <w:t>开户银行：_________________________    开户银行：_______________________________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账    号：_________________________    账    号：_______________________________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交易平台：_________________________    联系方式：_______________________________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监督单位：_________________________    联系方式：_______________________________</w:t>
      </w:r>
    </w:p>
    <w:p>
      <w:pPr>
        <w:widowControl/>
        <w:shd w:val="clear" w:color="auto" w:fill="FFFFFF"/>
        <w:snapToGrid w:val="0"/>
        <w:ind w:firstLine="420" w:firstLineChars="200"/>
        <w:jc w:val="right"/>
        <w:rPr>
          <w:color w:val="auto"/>
          <w:szCs w:val="21"/>
        </w:rPr>
      </w:pPr>
      <w:r>
        <w:rPr>
          <w:rFonts w:hint="eastAsia"/>
          <w:color w:val="auto"/>
          <w:szCs w:val="21"/>
        </w:rPr>
        <w:t>__________年________月__________日</w:t>
      </w: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pStyle w:val="2"/>
        <w:spacing w:before="0" w:after="0"/>
        <w:jc w:val="center"/>
        <w:rPr>
          <w:rFonts w:asciiTheme="majorEastAsia" w:hAnsiTheme="majorEastAsia" w:eastAsiaTheme="majorEastAsia"/>
          <w:color w:val="auto"/>
          <w:sz w:val="36"/>
          <w:szCs w:val="36"/>
        </w:rPr>
      </w:pPr>
      <w:bookmarkStart w:id="36" w:name="_Toc511635714"/>
      <w:bookmarkStart w:id="37" w:name="_Toc516816045"/>
      <w:bookmarkStart w:id="38" w:name="_Toc516816234"/>
      <w:bookmarkStart w:id="39" w:name="_Toc515441041"/>
      <w:r>
        <w:rPr>
          <w:rFonts w:hint="eastAsia" w:asciiTheme="majorEastAsia" w:hAnsiTheme="majorEastAsia" w:eastAsiaTheme="majorEastAsia"/>
          <w:color w:val="auto"/>
          <w:sz w:val="36"/>
          <w:szCs w:val="36"/>
        </w:rPr>
        <w:t>第一章 投标邀请书（适用于邀请招标）</w:t>
      </w:r>
      <w:bookmarkEnd w:id="36"/>
      <w:bookmarkEnd w:id="37"/>
      <w:bookmarkEnd w:id="38"/>
      <w:bookmarkEnd w:id="39"/>
    </w:p>
    <w:p>
      <w:pPr>
        <w:widowControl/>
        <w:shd w:val="clear" w:color="auto" w:fill="FFFFFF"/>
        <w:snapToGrid w:val="0"/>
        <w:jc w:val="center"/>
        <w:rPr>
          <w:b/>
          <w:color w:val="auto"/>
          <w:sz w:val="28"/>
          <w:szCs w:val="28"/>
        </w:rPr>
      </w:pPr>
      <w:r>
        <w:rPr>
          <w:rFonts w:hint="eastAsia"/>
          <w:b/>
          <w:color w:val="auto"/>
          <w:sz w:val="28"/>
          <w:szCs w:val="28"/>
        </w:rPr>
        <w:t>__________（项目名称）__________（标段名称）施工投标邀请书</w:t>
      </w:r>
    </w:p>
    <w:p>
      <w:pPr>
        <w:widowControl/>
        <w:shd w:val="clear" w:color="auto" w:fill="FFFFFF"/>
        <w:snapToGrid w:val="0"/>
        <w:ind w:firstLine="562" w:firstLineChars="200"/>
        <w:jc w:val="center"/>
        <w:rPr>
          <w:b/>
          <w:color w:val="auto"/>
          <w:sz w:val="28"/>
          <w:szCs w:val="28"/>
        </w:rPr>
      </w:pPr>
    </w:p>
    <w:p>
      <w:pPr>
        <w:widowControl/>
        <w:shd w:val="clear" w:color="auto" w:fill="FFFFFF"/>
        <w:adjustRightInd w:val="0"/>
        <w:snapToGrid w:val="0"/>
        <w:jc w:val="left"/>
        <w:rPr>
          <w:color w:val="auto"/>
          <w:szCs w:val="21"/>
        </w:rPr>
      </w:pPr>
      <w:r>
        <w:rPr>
          <w:rFonts w:hint="eastAsia"/>
          <w:color w:val="auto"/>
          <w:szCs w:val="21"/>
        </w:rPr>
        <w:t>________________（被邀请单位名称）：</w:t>
      </w:r>
    </w:p>
    <w:p>
      <w:pPr>
        <w:widowControl/>
        <w:shd w:val="clear" w:color="auto" w:fill="FFFFFF"/>
        <w:adjustRightInd w:val="0"/>
        <w:snapToGrid w:val="0"/>
        <w:jc w:val="left"/>
        <w:rPr>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40" w:name="_Toc511635715"/>
      <w:bookmarkStart w:id="41" w:name="_Toc515441042"/>
      <w:bookmarkStart w:id="42" w:name="_Toc516816235"/>
      <w:bookmarkStart w:id="43" w:name="_Toc516816046"/>
      <w:r>
        <w:rPr>
          <w:rFonts w:hint="eastAsia" w:asciiTheme="majorEastAsia" w:hAnsiTheme="majorEastAsia" w:eastAsiaTheme="majorEastAsia" w:cstheme="minorBidi"/>
          <w:bCs w:val="0"/>
          <w:color w:val="auto"/>
          <w:sz w:val="28"/>
          <w:szCs w:val="28"/>
        </w:rPr>
        <w:t>1. 招标条件</w:t>
      </w:r>
      <w:bookmarkEnd w:id="40"/>
      <w:bookmarkEnd w:id="41"/>
      <w:bookmarkEnd w:id="42"/>
      <w:bookmarkEnd w:id="43"/>
    </w:p>
    <w:p>
      <w:pPr>
        <w:widowControl/>
        <w:shd w:val="clear" w:color="auto" w:fill="FFFFFF"/>
        <w:snapToGrid w:val="0"/>
        <w:ind w:firstLine="420" w:firstLineChars="200"/>
        <w:jc w:val="left"/>
        <w:rPr>
          <w:color w:val="auto"/>
          <w:szCs w:val="21"/>
        </w:rPr>
      </w:pPr>
      <w:r>
        <w:rPr>
          <w:rFonts w:hint="eastAsia"/>
          <w:color w:val="auto"/>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邀请你单位参加___________________（标段名称）施工投标。</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44" w:name="_Toc516816047"/>
      <w:bookmarkStart w:id="45" w:name="_Toc515441043"/>
      <w:bookmarkStart w:id="46" w:name="_Toc516816236"/>
      <w:bookmarkStart w:id="47" w:name="_Toc511635716"/>
      <w:r>
        <w:rPr>
          <w:rFonts w:hint="eastAsia" w:asciiTheme="majorEastAsia" w:hAnsiTheme="majorEastAsia" w:eastAsiaTheme="majorEastAsia" w:cstheme="minorBidi"/>
          <w:bCs w:val="0"/>
          <w:color w:val="auto"/>
          <w:sz w:val="28"/>
          <w:szCs w:val="28"/>
        </w:rPr>
        <w:t>2. 项目概况与招标范围</w:t>
      </w:r>
      <w:bookmarkEnd w:id="44"/>
      <w:bookmarkEnd w:id="45"/>
      <w:bookmarkEnd w:id="46"/>
      <w:bookmarkEnd w:id="47"/>
    </w:p>
    <w:p>
      <w:pPr>
        <w:widowControl/>
        <w:shd w:val="clear" w:color="auto" w:fill="FFFFFF"/>
        <w:snapToGrid w:val="0"/>
        <w:ind w:firstLine="420" w:firstLineChars="200"/>
        <w:jc w:val="left"/>
        <w:rPr>
          <w:color w:val="auto"/>
          <w:szCs w:val="21"/>
        </w:rPr>
      </w:pPr>
      <w:bookmarkStart w:id="48" w:name="_Toc511635717"/>
      <w:r>
        <w:rPr>
          <w:rFonts w:hint="eastAsia"/>
          <w:color w:val="auto"/>
          <w:szCs w:val="21"/>
        </w:rPr>
        <w:t>2.1 招标编号：建设地点：______________________；</w:t>
      </w:r>
    </w:p>
    <w:p>
      <w:pPr>
        <w:widowControl/>
        <w:shd w:val="clear" w:color="auto" w:fill="FFFFFF"/>
        <w:snapToGrid w:val="0"/>
        <w:ind w:firstLine="420" w:firstLineChars="200"/>
        <w:jc w:val="left"/>
        <w:rPr>
          <w:color w:val="auto"/>
          <w:szCs w:val="21"/>
        </w:rPr>
      </w:pPr>
      <w:r>
        <w:rPr>
          <w:rFonts w:hint="eastAsia"/>
          <w:color w:val="auto"/>
          <w:szCs w:val="21"/>
        </w:rPr>
        <w:t>2.2工程规模：______________________；</w:t>
      </w:r>
    </w:p>
    <w:p>
      <w:pPr>
        <w:widowControl/>
        <w:shd w:val="clear" w:color="auto" w:fill="FFFFFF"/>
        <w:snapToGrid w:val="0"/>
        <w:ind w:firstLine="420" w:firstLineChars="200"/>
        <w:jc w:val="left"/>
        <w:rPr>
          <w:color w:val="auto"/>
          <w:szCs w:val="21"/>
        </w:rPr>
      </w:pPr>
      <w:r>
        <w:rPr>
          <w:rFonts w:hint="eastAsia"/>
          <w:color w:val="auto"/>
          <w:szCs w:val="21"/>
        </w:rPr>
        <w:t>2.3招标范围和内容：______________________；</w:t>
      </w:r>
    </w:p>
    <w:p>
      <w:pPr>
        <w:widowControl/>
        <w:shd w:val="clear" w:color="auto" w:fill="FFFFFF"/>
        <w:snapToGrid w:val="0"/>
        <w:ind w:firstLine="420" w:firstLineChars="200"/>
        <w:jc w:val="left"/>
        <w:rPr>
          <w:color w:val="auto"/>
          <w:szCs w:val="21"/>
        </w:rPr>
      </w:pPr>
      <w:r>
        <w:rPr>
          <w:rFonts w:hint="eastAsia"/>
          <w:color w:val="auto"/>
          <w:szCs w:val="21"/>
        </w:rPr>
        <w:t>2.4最高控制价：______________________；</w:t>
      </w:r>
    </w:p>
    <w:p>
      <w:pPr>
        <w:widowControl/>
        <w:shd w:val="clear" w:color="auto" w:fill="FFFFFF"/>
        <w:snapToGrid w:val="0"/>
        <w:ind w:firstLine="420" w:firstLineChars="200"/>
        <w:jc w:val="left"/>
        <w:rPr>
          <w:color w:val="auto"/>
          <w:szCs w:val="21"/>
        </w:rPr>
      </w:pPr>
      <w:r>
        <w:rPr>
          <w:rFonts w:hint="eastAsia"/>
          <w:color w:val="auto"/>
          <w:szCs w:val="21"/>
        </w:rPr>
        <w:t>2.5标段划分（如有）：______________________；</w:t>
      </w:r>
    </w:p>
    <w:p>
      <w:pPr>
        <w:widowControl/>
        <w:shd w:val="clear" w:color="auto" w:fill="FFFFFF"/>
        <w:snapToGrid w:val="0"/>
        <w:ind w:firstLine="420" w:firstLineChars="200"/>
        <w:jc w:val="left"/>
        <w:rPr>
          <w:color w:val="auto"/>
          <w:szCs w:val="21"/>
        </w:rPr>
      </w:pPr>
      <w:r>
        <w:rPr>
          <w:rFonts w:hint="eastAsia"/>
          <w:color w:val="auto"/>
          <w:szCs w:val="21"/>
        </w:rPr>
        <w:t>2.6 质量要求：______________________；</w:t>
      </w:r>
    </w:p>
    <w:p>
      <w:pPr>
        <w:widowControl/>
        <w:shd w:val="clear" w:color="auto" w:fill="FFFFFF"/>
        <w:snapToGrid w:val="0"/>
        <w:ind w:firstLine="420" w:firstLineChars="200"/>
        <w:jc w:val="left"/>
        <w:rPr>
          <w:color w:val="auto"/>
          <w:szCs w:val="21"/>
        </w:rPr>
      </w:pPr>
      <w:r>
        <w:rPr>
          <w:rFonts w:hint="eastAsia"/>
          <w:color w:val="auto"/>
          <w:szCs w:val="21"/>
        </w:rPr>
        <w:t>2.7工期要求：</w:t>
      </w:r>
      <w:r>
        <w:rPr>
          <w:color w:val="auto"/>
          <w:szCs w:val="21"/>
        </w:rPr>
        <w:t>总工期</w:t>
      </w:r>
      <w:r>
        <w:rPr>
          <w:rFonts w:hint="eastAsia"/>
          <w:color w:val="auto"/>
          <w:szCs w:val="21"/>
        </w:rPr>
        <w:t>______</w:t>
      </w:r>
      <w:r>
        <w:rPr>
          <w:color w:val="auto"/>
          <w:szCs w:val="21"/>
        </w:rPr>
        <w:t>日历天</w:t>
      </w:r>
      <w:r>
        <w:rPr>
          <w:rFonts w:hint="eastAsia"/>
          <w:color w:val="auto"/>
          <w:szCs w:val="21"/>
        </w:rPr>
        <w:t>，其中各关键节点的工期要求：______。</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49" w:name="_Toc516816237"/>
      <w:bookmarkStart w:id="50" w:name="_Toc516816048"/>
      <w:bookmarkStart w:id="51" w:name="_Toc515441044"/>
      <w:r>
        <w:rPr>
          <w:rFonts w:hint="eastAsia" w:asciiTheme="majorEastAsia" w:hAnsiTheme="majorEastAsia" w:eastAsiaTheme="majorEastAsia" w:cstheme="minorBidi"/>
          <w:bCs w:val="0"/>
          <w:color w:val="auto"/>
          <w:sz w:val="28"/>
          <w:szCs w:val="28"/>
        </w:rPr>
        <w:t>3. 投标人资格要求</w:t>
      </w:r>
      <w:bookmarkEnd w:id="48"/>
      <w:r>
        <w:rPr>
          <w:rFonts w:hint="eastAsia" w:asciiTheme="majorEastAsia" w:hAnsiTheme="majorEastAsia" w:eastAsiaTheme="majorEastAsia" w:cstheme="minorBidi"/>
          <w:bCs w:val="0"/>
          <w:color w:val="auto"/>
          <w:sz w:val="28"/>
          <w:szCs w:val="28"/>
        </w:rPr>
        <w:t>及审查办法</w:t>
      </w:r>
      <w:bookmarkEnd w:id="49"/>
      <w:bookmarkEnd w:id="50"/>
      <w:bookmarkEnd w:id="51"/>
    </w:p>
    <w:p>
      <w:pPr>
        <w:widowControl/>
        <w:shd w:val="clear" w:color="auto" w:fill="FFFFFF"/>
        <w:snapToGrid w:val="0"/>
        <w:ind w:firstLine="420" w:firstLineChars="200"/>
        <w:jc w:val="left"/>
        <w:rPr>
          <w:color w:val="auto"/>
          <w:szCs w:val="21"/>
        </w:rPr>
      </w:pPr>
      <w:bookmarkStart w:id="52" w:name="_Toc511635718"/>
      <w:r>
        <w:rPr>
          <w:rFonts w:hint="eastAsia"/>
          <w:color w:val="auto"/>
          <w:szCs w:val="21"/>
        </w:rPr>
        <w:t>3.1 本招标项目要求投标人须具备有效的不低于____________资质，《施工企业安全生产许可证》和__________业绩（指近10年内承担过类似的工程业绩）。</w:t>
      </w:r>
    </w:p>
    <w:p>
      <w:pPr>
        <w:widowControl/>
        <w:shd w:val="clear" w:color="auto" w:fill="FFFFFF"/>
        <w:snapToGrid w:val="0"/>
        <w:ind w:firstLine="420" w:firstLineChars="200"/>
        <w:jc w:val="left"/>
        <w:rPr>
          <w:color w:val="auto"/>
          <w:szCs w:val="21"/>
        </w:rPr>
      </w:pPr>
      <w:r>
        <w:rPr>
          <w:rFonts w:hint="eastAsia"/>
          <w:color w:val="auto"/>
          <w:szCs w:val="21"/>
        </w:rPr>
        <w:t>3.2 投标人拟担任本招标项目的项目经理应具备有效的不低于_____级__________专业注册建造师执业资格，水行政主管部门颁发的安全考核合格证书（B证）和__________职称，__________业绩（指近10年内承担过类似的工程业绩）。并</w:t>
      </w:r>
      <w:r>
        <w:rPr>
          <w:color w:val="auto"/>
          <w:szCs w:val="21"/>
        </w:rPr>
        <w:t>在其他人员、设备、资金等方面</w:t>
      </w:r>
      <w:r>
        <w:rPr>
          <w:rFonts w:hint="eastAsia"/>
          <w:color w:val="auto"/>
          <w:szCs w:val="21"/>
        </w:rPr>
        <w:t>具有承担本标段施工的能力。</w:t>
      </w:r>
    </w:p>
    <w:p>
      <w:pPr>
        <w:widowControl/>
        <w:shd w:val="clear" w:color="auto" w:fill="FFFFFF"/>
        <w:snapToGrid w:val="0"/>
        <w:ind w:firstLine="420" w:firstLineChars="200"/>
        <w:jc w:val="left"/>
        <w:rPr>
          <w:color w:val="auto"/>
          <w:szCs w:val="21"/>
        </w:rPr>
      </w:pPr>
      <w:r>
        <w:rPr>
          <w:rFonts w:hint="eastAsia"/>
          <w:color w:val="auto"/>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color w:val="auto"/>
          <w:szCs w:val="21"/>
        </w:rPr>
      </w:pPr>
      <w:r>
        <w:rPr>
          <w:rFonts w:hint="eastAsia"/>
          <w:color w:val="auto"/>
          <w:szCs w:val="21"/>
        </w:rPr>
        <w:t>3.4 本招标项目的投标保证金：</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3.5 本招标项目评标办法：</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53" w:name="_Toc516816238"/>
      <w:bookmarkStart w:id="54" w:name="_Toc515441045"/>
      <w:bookmarkStart w:id="55" w:name="_Toc516816049"/>
      <w:r>
        <w:rPr>
          <w:rFonts w:hint="eastAsia" w:asciiTheme="majorEastAsia" w:hAnsiTheme="majorEastAsia" w:eastAsiaTheme="majorEastAsia" w:cstheme="minorBidi"/>
          <w:bCs w:val="0"/>
          <w:color w:val="auto"/>
          <w:sz w:val="28"/>
          <w:szCs w:val="28"/>
        </w:rPr>
        <w:t>4. 招标文件的获取</w:t>
      </w:r>
      <w:bookmarkEnd w:id="52"/>
      <w:bookmarkEnd w:id="53"/>
      <w:bookmarkEnd w:id="54"/>
      <w:bookmarkEnd w:id="55"/>
    </w:p>
    <w:p>
      <w:pPr>
        <w:widowControl/>
        <w:shd w:val="clear" w:color="auto" w:fill="FFFFFF"/>
        <w:snapToGrid w:val="0"/>
        <w:ind w:firstLine="420" w:firstLineChars="200"/>
        <w:rPr>
          <w:color w:val="auto"/>
          <w:szCs w:val="21"/>
        </w:rPr>
      </w:pPr>
      <w:r>
        <w:rPr>
          <w:rFonts w:hint="eastAsia"/>
          <w:color w:val="auto"/>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color w:val="auto"/>
          <w:szCs w:val="21"/>
        </w:rPr>
      </w:pPr>
      <w:r>
        <w:rPr>
          <w:rFonts w:hint="eastAsia"/>
          <w:color w:val="auto"/>
          <w:szCs w:val="21"/>
        </w:rPr>
        <w:t>4.2 招标文件每套售价__________元，售后不退。</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56" w:name="_Toc511635719"/>
      <w:bookmarkStart w:id="57" w:name="_Toc516816050"/>
      <w:bookmarkStart w:id="58" w:name="_Toc515441046"/>
      <w:bookmarkStart w:id="59" w:name="_Toc516816239"/>
      <w:r>
        <w:rPr>
          <w:rFonts w:hint="eastAsia" w:asciiTheme="majorEastAsia" w:hAnsiTheme="majorEastAsia" w:eastAsiaTheme="majorEastAsia" w:cstheme="minorBidi"/>
          <w:bCs w:val="0"/>
          <w:color w:val="auto"/>
          <w:sz w:val="28"/>
          <w:szCs w:val="28"/>
        </w:rPr>
        <w:t>5. 投标文件的递交</w:t>
      </w:r>
      <w:bookmarkEnd w:id="56"/>
      <w:bookmarkEnd w:id="57"/>
      <w:bookmarkEnd w:id="58"/>
      <w:bookmarkEnd w:id="59"/>
    </w:p>
    <w:p>
      <w:pPr>
        <w:widowControl/>
        <w:shd w:val="clear" w:color="auto" w:fill="FFFFFF"/>
        <w:snapToGrid w:val="0"/>
        <w:ind w:firstLine="420" w:firstLineChars="200"/>
        <w:jc w:val="left"/>
        <w:rPr>
          <w:color w:val="auto"/>
          <w:szCs w:val="21"/>
        </w:rPr>
      </w:pPr>
      <w:r>
        <w:rPr>
          <w:rFonts w:hint="eastAsia"/>
          <w:color w:val="auto"/>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color w:val="auto"/>
          <w:szCs w:val="21"/>
        </w:rPr>
      </w:pPr>
      <w:r>
        <w:rPr>
          <w:rFonts w:hint="eastAsia"/>
          <w:color w:val="auto"/>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60" w:name="_Toc516816051"/>
      <w:bookmarkStart w:id="61" w:name="_Toc511635720"/>
      <w:bookmarkStart w:id="62" w:name="_Toc516816240"/>
      <w:bookmarkStart w:id="63" w:name="_Toc515441047"/>
      <w:r>
        <w:rPr>
          <w:rFonts w:hint="eastAsia" w:asciiTheme="majorEastAsia" w:hAnsiTheme="majorEastAsia" w:eastAsiaTheme="majorEastAsia" w:cstheme="minorBidi"/>
          <w:bCs w:val="0"/>
          <w:color w:val="auto"/>
          <w:sz w:val="28"/>
          <w:szCs w:val="28"/>
        </w:rPr>
        <w:t>6. 确认</w:t>
      </w:r>
      <w:bookmarkEnd w:id="60"/>
      <w:bookmarkEnd w:id="61"/>
      <w:bookmarkEnd w:id="62"/>
      <w:bookmarkEnd w:id="63"/>
    </w:p>
    <w:p>
      <w:pPr>
        <w:widowControl/>
        <w:shd w:val="clear" w:color="auto" w:fill="FFFFFF"/>
        <w:snapToGrid w:val="0"/>
        <w:ind w:firstLine="420" w:firstLineChars="200"/>
        <w:jc w:val="left"/>
        <w:rPr>
          <w:color w:val="auto"/>
          <w:szCs w:val="21"/>
        </w:rPr>
      </w:pPr>
      <w:r>
        <w:rPr>
          <w:rFonts w:hint="eastAsia"/>
          <w:color w:val="auto"/>
          <w:szCs w:val="21"/>
        </w:rPr>
        <w:t>你单位收到本邀请书后，请于___________年__________月_________日________时前，以书面形式确认是否参加投标。在本邀请书规定的时间内未表示是否参加投标或明确表示不参加投标的，不得再参加投标。</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64" w:name="_Toc516816241"/>
      <w:bookmarkStart w:id="65" w:name="_Toc515441048"/>
      <w:bookmarkStart w:id="66" w:name="_Toc516816052"/>
      <w:bookmarkStart w:id="67" w:name="_Toc511635721"/>
      <w:r>
        <w:rPr>
          <w:rFonts w:hint="eastAsia" w:asciiTheme="majorEastAsia" w:hAnsiTheme="majorEastAsia" w:eastAsiaTheme="majorEastAsia" w:cstheme="minorBidi"/>
          <w:bCs w:val="0"/>
          <w:color w:val="auto"/>
          <w:sz w:val="28"/>
          <w:szCs w:val="28"/>
        </w:rPr>
        <w:t>7. 联系方式</w:t>
      </w:r>
      <w:bookmarkEnd w:id="64"/>
      <w:bookmarkEnd w:id="65"/>
      <w:bookmarkEnd w:id="66"/>
      <w:bookmarkEnd w:id="67"/>
    </w:p>
    <w:p>
      <w:pPr>
        <w:widowControl/>
        <w:shd w:val="clear" w:color="auto" w:fill="FFFFFF"/>
        <w:snapToGrid w:val="0"/>
        <w:ind w:firstLine="420" w:firstLineChars="200"/>
        <w:jc w:val="left"/>
        <w:rPr>
          <w:color w:val="auto"/>
          <w:szCs w:val="21"/>
        </w:rPr>
      </w:pPr>
      <w:r>
        <w:rPr>
          <w:rFonts w:hint="eastAsia"/>
          <w:color w:val="auto"/>
          <w:szCs w:val="21"/>
        </w:rPr>
        <w:t>招 标 人：_________________________    招标代理机构：___________________________</w:t>
      </w:r>
    </w:p>
    <w:p>
      <w:pPr>
        <w:widowControl/>
        <w:shd w:val="clear" w:color="auto" w:fill="FFFFFF"/>
        <w:snapToGrid w:val="0"/>
        <w:ind w:firstLine="420" w:firstLineChars="200"/>
        <w:jc w:val="left"/>
        <w:rPr>
          <w:color w:val="auto"/>
          <w:szCs w:val="21"/>
        </w:rPr>
      </w:pPr>
      <w:r>
        <w:rPr>
          <w:rFonts w:hint="eastAsia"/>
          <w:color w:val="auto"/>
          <w:szCs w:val="21"/>
        </w:rPr>
        <w:t>地    址：_________________________    地    址：_______________________________</w:t>
      </w:r>
    </w:p>
    <w:p>
      <w:pPr>
        <w:widowControl/>
        <w:shd w:val="clear" w:color="auto" w:fill="FFFFFF"/>
        <w:snapToGrid w:val="0"/>
        <w:ind w:firstLine="420" w:firstLineChars="200"/>
        <w:jc w:val="left"/>
        <w:rPr>
          <w:color w:val="auto"/>
          <w:szCs w:val="21"/>
        </w:rPr>
      </w:pPr>
      <w:r>
        <w:rPr>
          <w:rFonts w:hint="eastAsia"/>
          <w:color w:val="auto"/>
          <w:szCs w:val="21"/>
        </w:rPr>
        <w:t>邮    编：_________________________    邮    编：_______________________________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联 系 人：_________________________     联 系 人：_______________________________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    话：_________________________     电    话：_______________________________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传    真：_________________________     传    真：_______________________________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电子邮件：_________________________     电子邮件：_______________________________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网    址：_________________________     网     址：______________________________</w:t>
      </w:r>
    </w:p>
    <w:p>
      <w:pPr>
        <w:widowControl/>
        <w:shd w:val="clear" w:color="auto" w:fill="FFFFFF"/>
        <w:snapToGrid w:val="0"/>
        <w:ind w:firstLine="420" w:firstLineChars="200"/>
        <w:jc w:val="left"/>
        <w:rPr>
          <w:color w:val="auto"/>
          <w:szCs w:val="21"/>
        </w:rPr>
      </w:pPr>
      <w:r>
        <w:rPr>
          <w:rFonts w:hint="eastAsia"/>
          <w:color w:val="auto"/>
          <w:szCs w:val="21"/>
        </w:rPr>
        <w:t>开户银行：_________________________     开户银行：_______________________________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账    号：_________________________     账    号：_______________________________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交易平台：_________________________     联系方式：_______________________________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监督单位：_________________________     联系方式：_______________________________</w:t>
      </w:r>
    </w:p>
    <w:p>
      <w:pPr>
        <w:widowControl/>
        <w:shd w:val="clear" w:color="auto" w:fill="FFFFFF"/>
        <w:snapToGrid w:val="0"/>
        <w:ind w:firstLine="420" w:firstLineChars="200"/>
        <w:jc w:val="right"/>
        <w:rPr>
          <w:color w:val="auto"/>
          <w:szCs w:val="21"/>
        </w:rPr>
      </w:pPr>
      <w:r>
        <w:rPr>
          <w:rFonts w:hint="eastAsia"/>
          <w:color w:val="auto"/>
          <w:szCs w:val="21"/>
        </w:rPr>
        <w:t>__________年________月__________日</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pStyle w:val="3"/>
        <w:adjustRightInd w:val="0"/>
        <w:snapToGrid w:val="0"/>
        <w:spacing w:before="0" w:after="0" w:line="520" w:lineRule="exact"/>
        <w:rPr>
          <w:b w:val="0"/>
          <w:color w:val="auto"/>
          <w:sz w:val="28"/>
          <w:szCs w:val="28"/>
        </w:rPr>
      </w:pPr>
      <w:bookmarkStart w:id="68" w:name="_Toc516816053"/>
      <w:bookmarkStart w:id="69" w:name="_Toc515441049"/>
      <w:bookmarkStart w:id="70" w:name="_Toc511635722"/>
      <w:bookmarkStart w:id="71" w:name="_Toc516816242"/>
      <w:r>
        <w:rPr>
          <w:rFonts w:hint="eastAsia" w:asciiTheme="majorEastAsia" w:hAnsiTheme="majorEastAsia" w:eastAsiaTheme="majorEastAsia" w:cstheme="minorBidi"/>
          <w:bCs w:val="0"/>
          <w:color w:val="auto"/>
          <w:sz w:val="28"/>
          <w:szCs w:val="28"/>
        </w:rPr>
        <w:t>附件：确认通知（格式）</w:t>
      </w:r>
      <w:bookmarkEnd w:id="68"/>
      <w:bookmarkEnd w:id="69"/>
      <w:bookmarkEnd w:id="70"/>
      <w:bookmarkEnd w:id="71"/>
    </w:p>
    <w:p>
      <w:pPr>
        <w:widowControl/>
        <w:shd w:val="clear" w:color="auto" w:fill="FFFFFF"/>
        <w:snapToGrid w:val="0"/>
        <w:ind w:firstLine="723" w:firstLineChars="200"/>
        <w:jc w:val="center"/>
        <w:rPr>
          <w:b/>
          <w:color w:val="auto"/>
          <w:sz w:val="36"/>
          <w:szCs w:val="36"/>
        </w:rPr>
      </w:pPr>
      <w:r>
        <w:rPr>
          <w:rFonts w:hint="eastAsia"/>
          <w:b/>
          <w:color w:val="auto"/>
          <w:sz w:val="36"/>
          <w:szCs w:val="36"/>
        </w:rPr>
        <w:t>确认通知</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rPr>
          <w:color w:val="auto"/>
          <w:szCs w:val="21"/>
        </w:rPr>
      </w:pPr>
      <w:r>
        <w:rPr>
          <w:rFonts w:hint="eastAsia"/>
          <w:color w:val="auto"/>
          <w:szCs w:val="21"/>
        </w:rPr>
        <w:t>_________________（招标人名称）：</w:t>
      </w:r>
    </w:p>
    <w:p>
      <w:pPr>
        <w:widowControl/>
        <w:shd w:val="clear" w:color="auto" w:fill="FFFFFF"/>
        <w:snapToGrid w:val="0"/>
        <w:ind w:firstLine="420" w:firstLineChars="200"/>
        <w:jc w:val="left"/>
        <w:rPr>
          <w:color w:val="auto"/>
          <w:szCs w:val="21"/>
        </w:rPr>
      </w:pPr>
      <w:r>
        <w:rPr>
          <w:rFonts w:hint="eastAsia"/>
          <w:color w:val="auto"/>
          <w:szCs w:val="21"/>
        </w:rPr>
        <w:t>我方已于__________年________月________日收到你方_________年_________月_________日发出的____________________（项目名称）____________________（标段名称）施工招标的投标邀请书，并确认__________（参加/不参加）投标。</w:t>
      </w:r>
    </w:p>
    <w:p>
      <w:pPr>
        <w:widowControl/>
        <w:shd w:val="clear" w:color="auto" w:fill="FFFFFF"/>
        <w:snapToGrid w:val="0"/>
        <w:ind w:firstLine="420" w:firstLineChars="200"/>
        <w:jc w:val="left"/>
        <w:rPr>
          <w:color w:val="auto"/>
          <w:szCs w:val="21"/>
        </w:rPr>
      </w:pPr>
      <w:r>
        <w:rPr>
          <w:rFonts w:hint="eastAsia"/>
          <w:color w:val="auto"/>
          <w:szCs w:val="21"/>
        </w:rPr>
        <w:t>特此确认。</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right"/>
        <w:rPr>
          <w:color w:val="auto"/>
          <w:szCs w:val="21"/>
        </w:rPr>
      </w:pPr>
      <w:r>
        <w:rPr>
          <w:rFonts w:hint="eastAsia"/>
          <w:color w:val="auto"/>
          <w:szCs w:val="21"/>
        </w:rPr>
        <w:t>被邀请单位名称：________________________（盖单位章）</w:t>
      </w:r>
    </w:p>
    <w:p>
      <w:pPr>
        <w:widowControl/>
        <w:shd w:val="clear" w:color="auto" w:fill="FFFFFF"/>
        <w:snapToGrid w:val="0"/>
        <w:ind w:firstLine="420" w:firstLineChars="200"/>
        <w:jc w:val="right"/>
        <w:rPr>
          <w:color w:val="auto"/>
          <w:szCs w:val="21"/>
        </w:rPr>
      </w:pPr>
      <w:r>
        <w:rPr>
          <w:rFonts w:hint="eastAsia"/>
          <w:color w:val="auto"/>
          <w:szCs w:val="21"/>
        </w:rPr>
        <w:t>法定代表人（单位负责人）：___________________（签字）</w:t>
      </w:r>
    </w:p>
    <w:p>
      <w:pPr>
        <w:widowControl/>
        <w:shd w:val="clear" w:color="auto" w:fill="FFFFFF"/>
        <w:snapToGrid w:val="0"/>
        <w:ind w:firstLine="420" w:firstLineChars="200"/>
        <w:jc w:val="right"/>
        <w:rPr>
          <w:color w:val="auto"/>
          <w:szCs w:val="21"/>
        </w:rPr>
      </w:pPr>
      <w:r>
        <w:rPr>
          <w:rFonts w:hint="eastAsia"/>
          <w:color w:val="auto"/>
          <w:szCs w:val="21"/>
        </w:rPr>
        <w:t>____________年_________月____________日</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pStyle w:val="2"/>
        <w:spacing w:before="0" w:after="0"/>
        <w:jc w:val="center"/>
        <w:rPr>
          <w:rFonts w:asciiTheme="majorEastAsia" w:hAnsiTheme="majorEastAsia" w:eastAsiaTheme="majorEastAsia"/>
          <w:color w:val="auto"/>
          <w:sz w:val="36"/>
          <w:szCs w:val="36"/>
        </w:rPr>
      </w:pPr>
      <w:bookmarkStart w:id="72" w:name="_Toc516816054"/>
      <w:bookmarkStart w:id="73" w:name="_Toc515441050"/>
      <w:bookmarkStart w:id="74" w:name="_Toc516816243"/>
      <w:bookmarkStart w:id="75" w:name="_Toc511635723"/>
      <w:r>
        <w:rPr>
          <w:rFonts w:hint="eastAsia" w:asciiTheme="majorEastAsia" w:hAnsiTheme="majorEastAsia" w:eastAsiaTheme="majorEastAsia"/>
          <w:color w:val="auto"/>
          <w:sz w:val="36"/>
          <w:szCs w:val="36"/>
        </w:rPr>
        <w:t>第二章 投标人须知</w:t>
      </w:r>
      <w:bookmarkEnd w:id="72"/>
      <w:bookmarkEnd w:id="73"/>
      <w:bookmarkEnd w:id="74"/>
      <w:bookmarkEnd w:id="75"/>
    </w:p>
    <w:p>
      <w:pPr>
        <w:widowControl/>
        <w:shd w:val="clear" w:color="auto" w:fill="FFFFFF"/>
        <w:snapToGrid w:val="0"/>
        <w:ind w:firstLine="643" w:firstLineChars="200"/>
        <w:jc w:val="center"/>
        <w:rPr>
          <w:b/>
          <w:color w:val="auto"/>
          <w:sz w:val="32"/>
          <w:szCs w:val="32"/>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76" w:name="_Toc511635724"/>
      <w:bookmarkStart w:id="77" w:name="_Toc516816244"/>
      <w:bookmarkStart w:id="78" w:name="_Toc515441051"/>
      <w:bookmarkStart w:id="79" w:name="_Toc516816055"/>
      <w:r>
        <w:rPr>
          <w:rFonts w:hint="eastAsia" w:asciiTheme="majorEastAsia" w:hAnsiTheme="majorEastAsia" w:eastAsiaTheme="majorEastAsia" w:cstheme="minorBidi"/>
          <w:bCs w:val="0"/>
          <w:color w:val="auto"/>
          <w:sz w:val="28"/>
          <w:szCs w:val="28"/>
        </w:rPr>
        <w:t>投标人须知前附表</w:t>
      </w:r>
      <w:bookmarkEnd w:id="76"/>
      <w:bookmarkEnd w:id="77"/>
      <w:bookmarkEnd w:id="78"/>
      <w:bookmarkEnd w:id="79"/>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8"/>
        <w:gridCol w:w="2041"/>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bottom"/>
          </w:tcPr>
          <w:p>
            <w:pPr>
              <w:widowControl/>
              <w:spacing w:line="360" w:lineRule="auto"/>
              <w:jc w:val="center"/>
              <w:rPr>
                <w:b/>
                <w:color w:val="auto"/>
                <w:szCs w:val="21"/>
              </w:rPr>
            </w:pPr>
            <w:r>
              <w:rPr>
                <w:rFonts w:hint="eastAsia"/>
                <w:b/>
                <w:color w:val="auto"/>
                <w:szCs w:val="21"/>
              </w:rPr>
              <w:t>条款号</w:t>
            </w:r>
          </w:p>
        </w:tc>
        <w:tc>
          <w:tcPr>
            <w:tcW w:w="2041" w:type="dxa"/>
            <w:vAlign w:val="bottom"/>
          </w:tcPr>
          <w:p>
            <w:pPr>
              <w:widowControl/>
              <w:spacing w:line="360" w:lineRule="auto"/>
              <w:jc w:val="center"/>
              <w:rPr>
                <w:b/>
                <w:color w:val="auto"/>
                <w:szCs w:val="21"/>
              </w:rPr>
            </w:pPr>
            <w:r>
              <w:rPr>
                <w:rFonts w:hint="eastAsia"/>
                <w:b/>
                <w:color w:val="auto"/>
                <w:szCs w:val="21"/>
              </w:rPr>
              <w:t>条款名称</w:t>
            </w:r>
          </w:p>
        </w:tc>
        <w:tc>
          <w:tcPr>
            <w:tcW w:w="5670" w:type="dxa"/>
            <w:vAlign w:val="bottom"/>
          </w:tcPr>
          <w:p>
            <w:pPr>
              <w:widowControl/>
              <w:spacing w:line="360" w:lineRule="auto"/>
              <w:jc w:val="center"/>
              <w:rPr>
                <w:b/>
                <w:color w:val="auto"/>
                <w:szCs w:val="21"/>
              </w:rPr>
            </w:pPr>
            <w:r>
              <w:rPr>
                <w:rFonts w:hint="eastAsia"/>
                <w:b/>
                <w:color w:val="auto"/>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1.1.2</w:t>
            </w:r>
          </w:p>
        </w:tc>
        <w:tc>
          <w:tcPr>
            <w:tcW w:w="2041" w:type="dxa"/>
            <w:vAlign w:val="center"/>
          </w:tcPr>
          <w:p>
            <w:pPr>
              <w:widowControl/>
              <w:spacing w:line="360" w:lineRule="auto"/>
              <w:jc w:val="center"/>
              <w:rPr>
                <w:color w:val="auto"/>
                <w:szCs w:val="21"/>
              </w:rPr>
            </w:pPr>
            <w:r>
              <w:rPr>
                <w:rFonts w:hint="eastAsia" w:ascii="宋体" w:hAnsi="宋体" w:eastAsia="宋体" w:cs="Times New Roman"/>
                <w:color w:val="auto"/>
                <w:szCs w:val="21"/>
              </w:rPr>
              <w:t>本招标项目</w:t>
            </w:r>
            <w:r>
              <w:rPr>
                <w:rFonts w:hint="eastAsia" w:asciiTheme="minorEastAsia" w:hAnsiTheme="minorEastAsia"/>
                <w:color w:val="auto"/>
                <w:szCs w:val="21"/>
              </w:rPr>
              <w:t>招标人</w:t>
            </w:r>
          </w:p>
        </w:tc>
        <w:tc>
          <w:tcPr>
            <w:tcW w:w="5670" w:type="dxa"/>
            <w:vAlign w:val="bottom"/>
          </w:tcPr>
          <w:p>
            <w:pPr>
              <w:widowControl/>
              <w:spacing w:line="360" w:lineRule="auto"/>
              <w:rPr>
                <w:color w:val="auto"/>
                <w:szCs w:val="21"/>
              </w:rPr>
            </w:pPr>
            <w:r>
              <w:rPr>
                <w:rFonts w:hint="eastAsia"/>
                <w:color w:val="auto"/>
                <w:szCs w:val="21"/>
              </w:rPr>
              <w:t>名称：</w:t>
            </w:r>
          </w:p>
          <w:p>
            <w:pPr>
              <w:widowControl/>
              <w:spacing w:line="360" w:lineRule="auto"/>
              <w:rPr>
                <w:color w:val="auto"/>
                <w:szCs w:val="21"/>
              </w:rPr>
            </w:pPr>
            <w:r>
              <w:rPr>
                <w:rFonts w:hint="eastAsia"/>
                <w:color w:val="auto"/>
                <w:szCs w:val="21"/>
              </w:rPr>
              <w:t>地址：</w:t>
            </w:r>
          </w:p>
          <w:p>
            <w:pPr>
              <w:widowControl/>
              <w:spacing w:line="360" w:lineRule="auto"/>
              <w:rPr>
                <w:color w:val="auto"/>
                <w:szCs w:val="21"/>
              </w:rPr>
            </w:pPr>
            <w:r>
              <w:rPr>
                <w:rFonts w:hint="eastAsia"/>
                <w:color w:val="auto"/>
                <w:szCs w:val="21"/>
              </w:rPr>
              <w:t>联系人：</w:t>
            </w:r>
          </w:p>
          <w:p>
            <w:pPr>
              <w:widowControl/>
              <w:spacing w:line="360" w:lineRule="auto"/>
              <w:rPr>
                <w:color w:val="auto"/>
                <w:szCs w:val="21"/>
              </w:rPr>
            </w:pPr>
            <w:r>
              <w:rPr>
                <w:rFonts w:hint="eastAsia"/>
                <w:color w:val="auto"/>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1.1.3</w:t>
            </w:r>
          </w:p>
        </w:tc>
        <w:tc>
          <w:tcPr>
            <w:tcW w:w="2041" w:type="dxa"/>
            <w:vAlign w:val="center"/>
          </w:tcPr>
          <w:p>
            <w:pPr>
              <w:widowControl/>
              <w:spacing w:line="360" w:lineRule="auto"/>
              <w:jc w:val="center"/>
              <w:rPr>
                <w:color w:val="auto"/>
                <w:szCs w:val="21"/>
              </w:rPr>
            </w:pPr>
            <w:r>
              <w:rPr>
                <w:rFonts w:hint="eastAsia" w:ascii="宋体" w:hAnsi="宋体" w:eastAsia="宋体" w:cs="Times New Roman"/>
                <w:color w:val="auto"/>
                <w:szCs w:val="21"/>
              </w:rPr>
              <w:t>本标段</w:t>
            </w:r>
            <w:r>
              <w:rPr>
                <w:rFonts w:hint="eastAsia" w:asciiTheme="minorEastAsia" w:hAnsiTheme="minorEastAsia"/>
                <w:color w:val="auto"/>
                <w:szCs w:val="21"/>
              </w:rPr>
              <w:t>招标代理机构</w:t>
            </w:r>
          </w:p>
        </w:tc>
        <w:tc>
          <w:tcPr>
            <w:tcW w:w="5670" w:type="dxa"/>
            <w:vAlign w:val="bottom"/>
          </w:tcPr>
          <w:p>
            <w:pPr>
              <w:widowControl/>
              <w:spacing w:line="360" w:lineRule="auto"/>
              <w:rPr>
                <w:color w:val="auto"/>
                <w:szCs w:val="21"/>
              </w:rPr>
            </w:pPr>
            <w:r>
              <w:rPr>
                <w:rFonts w:hint="eastAsia"/>
                <w:color w:val="auto"/>
                <w:szCs w:val="21"/>
              </w:rPr>
              <w:t>名称：</w:t>
            </w:r>
          </w:p>
          <w:p>
            <w:pPr>
              <w:widowControl/>
              <w:spacing w:line="360" w:lineRule="auto"/>
              <w:rPr>
                <w:color w:val="auto"/>
                <w:szCs w:val="21"/>
              </w:rPr>
            </w:pPr>
            <w:r>
              <w:rPr>
                <w:rFonts w:hint="eastAsia"/>
                <w:color w:val="auto"/>
                <w:szCs w:val="21"/>
              </w:rPr>
              <w:t>地址：</w:t>
            </w:r>
          </w:p>
          <w:p>
            <w:pPr>
              <w:widowControl/>
              <w:spacing w:line="360" w:lineRule="auto"/>
              <w:rPr>
                <w:color w:val="auto"/>
                <w:szCs w:val="21"/>
              </w:rPr>
            </w:pPr>
            <w:r>
              <w:rPr>
                <w:rFonts w:hint="eastAsia"/>
                <w:color w:val="auto"/>
                <w:szCs w:val="21"/>
              </w:rPr>
              <w:t>联系人：</w:t>
            </w:r>
          </w:p>
          <w:p>
            <w:pPr>
              <w:widowControl/>
              <w:spacing w:line="360" w:lineRule="auto"/>
              <w:rPr>
                <w:color w:val="auto"/>
                <w:szCs w:val="21"/>
              </w:rPr>
            </w:pPr>
            <w:r>
              <w:rPr>
                <w:rFonts w:hint="eastAsia"/>
                <w:color w:val="auto"/>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1.1.4</w:t>
            </w:r>
          </w:p>
        </w:tc>
        <w:tc>
          <w:tcPr>
            <w:tcW w:w="2041" w:type="dxa"/>
            <w:vAlign w:val="center"/>
          </w:tcPr>
          <w:p>
            <w:pPr>
              <w:widowControl/>
              <w:spacing w:line="360" w:lineRule="auto"/>
              <w:jc w:val="center"/>
              <w:rPr>
                <w:color w:val="auto"/>
                <w:szCs w:val="21"/>
              </w:rPr>
            </w:pPr>
            <w:r>
              <w:rPr>
                <w:rFonts w:hint="eastAsia" w:ascii="宋体" w:hAnsi="宋体" w:eastAsia="宋体" w:cs="Times New Roman"/>
                <w:color w:val="auto"/>
                <w:szCs w:val="21"/>
              </w:rPr>
              <w:t>本招标项目</w:t>
            </w:r>
            <w:r>
              <w:rPr>
                <w:rFonts w:hint="eastAsia" w:asciiTheme="minorEastAsia" w:hAnsiTheme="minorEastAsia"/>
                <w:color w:val="auto"/>
                <w:szCs w:val="21"/>
              </w:rPr>
              <w:t>名称</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1.1.5</w:t>
            </w:r>
          </w:p>
        </w:tc>
        <w:tc>
          <w:tcPr>
            <w:tcW w:w="2041" w:type="dxa"/>
            <w:vAlign w:val="center"/>
          </w:tcPr>
          <w:p>
            <w:pPr>
              <w:widowControl/>
              <w:spacing w:line="360" w:lineRule="auto"/>
              <w:jc w:val="center"/>
              <w:rPr>
                <w:color w:val="auto"/>
                <w:szCs w:val="21"/>
              </w:rPr>
            </w:pPr>
            <w:r>
              <w:rPr>
                <w:rFonts w:hint="eastAsia" w:asciiTheme="minorEastAsia" w:hAnsiTheme="minorEastAsia"/>
                <w:color w:val="auto"/>
                <w:szCs w:val="21"/>
              </w:rPr>
              <w:t>本标段建设地点</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bookmarkStart w:id="80" w:name="_Toc221950020"/>
            <w:r>
              <w:rPr>
                <w:rFonts w:hint="eastAsia"/>
                <w:color w:val="auto"/>
                <w:szCs w:val="21"/>
              </w:rPr>
              <w:t>1.1.6</w:t>
            </w:r>
            <w:bookmarkEnd w:id="80"/>
          </w:p>
        </w:tc>
        <w:tc>
          <w:tcPr>
            <w:tcW w:w="2041" w:type="dxa"/>
            <w:vAlign w:val="center"/>
          </w:tcPr>
          <w:p>
            <w:pPr>
              <w:widowControl/>
              <w:spacing w:line="360" w:lineRule="auto"/>
              <w:jc w:val="center"/>
              <w:rPr>
                <w:color w:val="auto"/>
                <w:szCs w:val="21"/>
              </w:rPr>
            </w:pPr>
            <w:r>
              <w:rPr>
                <w:rFonts w:hint="eastAsia" w:asciiTheme="minorEastAsia" w:hAnsiTheme="minorEastAsia"/>
                <w:color w:val="auto"/>
                <w:szCs w:val="21"/>
              </w:rPr>
              <w:t>工程项目名称</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1.2.1</w:t>
            </w:r>
          </w:p>
        </w:tc>
        <w:tc>
          <w:tcPr>
            <w:tcW w:w="2041" w:type="dxa"/>
            <w:vAlign w:val="center"/>
          </w:tcPr>
          <w:p>
            <w:pPr>
              <w:widowControl/>
              <w:spacing w:line="360" w:lineRule="auto"/>
              <w:jc w:val="center"/>
              <w:rPr>
                <w:color w:val="auto"/>
                <w:szCs w:val="21"/>
              </w:rPr>
            </w:pPr>
            <w:r>
              <w:rPr>
                <w:rFonts w:hint="eastAsia"/>
                <w:color w:val="auto"/>
                <w:szCs w:val="21"/>
              </w:rPr>
              <w:t>资金来源及比例</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1.2.</w:t>
            </w:r>
            <w:r>
              <w:rPr>
                <w:rFonts w:hint="eastAsia"/>
                <w:color w:val="auto"/>
                <w:szCs w:val="21"/>
              </w:rPr>
              <w:t>2</w:t>
            </w:r>
          </w:p>
        </w:tc>
        <w:tc>
          <w:tcPr>
            <w:tcW w:w="2041" w:type="dxa"/>
            <w:vAlign w:val="center"/>
          </w:tcPr>
          <w:p>
            <w:pPr>
              <w:widowControl/>
              <w:spacing w:line="360" w:lineRule="auto"/>
              <w:jc w:val="center"/>
              <w:rPr>
                <w:color w:val="auto"/>
                <w:szCs w:val="21"/>
              </w:rPr>
            </w:pPr>
            <w:r>
              <w:rPr>
                <w:rFonts w:hint="eastAsia"/>
                <w:color w:val="auto"/>
                <w:szCs w:val="21"/>
              </w:rPr>
              <w:t>资金落实情况</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1.3.1</w:t>
            </w:r>
          </w:p>
        </w:tc>
        <w:tc>
          <w:tcPr>
            <w:tcW w:w="2041" w:type="dxa"/>
            <w:vAlign w:val="center"/>
          </w:tcPr>
          <w:p>
            <w:pPr>
              <w:widowControl/>
              <w:spacing w:line="360" w:lineRule="auto"/>
              <w:jc w:val="center"/>
              <w:rPr>
                <w:color w:val="auto"/>
                <w:szCs w:val="21"/>
              </w:rPr>
            </w:pPr>
            <w:r>
              <w:rPr>
                <w:rFonts w:hint="eastAsia" w:asciiTheme="minorEastAsia" w:hAnsiTheme="minorEastAsia"/>
                <w:color w:val="auto"/>
                <w:szCs w:val="21"/>
              </w:rPr>
              <w:t>本次招标范围</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1.3.2</w:t>
            </w:r>
          </w:p>
        </w:tc>
        <w:tc>
          <w:tcPr>
            <w:tcW w:w="2041" w:type="dxa"/>
            <w:vAlign w:val="center"/>
          </w:tcPr>
          <w:p>
            <w:pPr>
              <w:widowControl/>
              <w:spacing w:line="360" w:lineRule="auto"/>
              <w:jc w:val="center"/>
              <w:rPr>
                <w:color w:val="auto"/>
                <w:szCs w:val="21"/>
              </w:rPr>
            </w:pPr>
            <w:r>
              <w:rPr>
                <w:rFonts w:hint="eastAsia" w:asciiTheme="minorEastAsia" w:hAnsiTheme="minorEastAsia"/>
                <w:color w:val="auto"/>
                <w:szCs w:val="21"/>
              </w:rPr>
              <w:t>本标段的计划工期</w:t>
            </w:r>
          </w:p>
        </w:tc>
        <w:tc>
          <w:tcPr>
            <w:tcW w:w="5670" w:type="dxa"/>
            <w:vAlign w:val="bottom"/>
          </w:tcPr>
          <w:p>
            <w:pPr>
              <w:widowControl/>
              <w:spacing w:line="360" w:lineRule="auto"/>
              <w:rPr>
                <w:color w:val="auto"/>
                <w:szCs w:val="21"/>
              </w:rPr>
            </w:pPr>
            <w:bookmarkStart w:id="81" w:name="_Toc221950040"/>
            <w:r>
              <w:rPr>
                <w:color w:val="auto"/>
                <w:szCs w:val="21"/>
              </w:rPr>
              <w:t>总工期：</w:t>
            </w:r>
            <w:r>
              <w:rPr>
                <w:rFonts w:hint="eastAsia"/>
                <w:color w:val="auto"/>
                <w:szCs w:val="21"/>
              </w:rPr>
              <w:t>______</w:t>
            </w:r>
            <w:r>
              <w:rPr>
                <w:color w:val="auto"/>
                <w:szCs w:val="21"/>
              </w:rPr>
              <w:t>日历天</w:t>
            </w:r>
            <w:bookmarkEnd w:id="81"/>
            <w:r>
              <w:rPr>
                <w:rFonts w:hint="eastAsia"/>
                <w:color w:val="auto"/>
                <w:szCs w:val="21"/>
              </w:rPr>
              <w:t>；其中各关键节点的工期要求：______。</w:t>
            </w:r>
          </w:p>
          <w:p>
            <w:pPr>
              <w:widowControl/>
              <w:spacing w:line="360" w:lineRule="auto"/>
              <w:rPr>
                <w:color w:val="auto"/>
                <w:szCs w:val="21"/>
              </w:rPr>
            </w:pPr>
            <w:bookmarkStart w:id="82" w:name="_Toc221950041"/>
            <w:r>
              <w:rPr>
                <w:color w:val="auto"/>
                <w:szCs w:val="21"/>
              </w:rPr>
              <w:t>计划开工日期：</w:t>
            </w:r>
            <w:r>
              <w:rPr>
                <w:rFonts w:hint="eastAsia"/>
                <w:color w:val="auto"/>
                <w:szCs w:val="21"/>
              </w:rPr>
              <w:t>____</w:t>
            </w:r>
            <w:r>
              <w:rPr>
                <w:color w:val="auto"/>
                <w:szCs w:val="21"/>
              </w:rPr>
              <w:t>年</w:t>
            </w:r>
            <w:r>
              <w:rPr>
                <w:rFonts w:hint="eastAsia"/>
                <w:color w:val="auto"/>
                <w:szCs w:val="21"/>
              </w:rPr>
              <w:t>____</w:t>
            </w:r>
            <w:r>
              <w:rPr>
                <w:color w:val="auto"/>
                <w:szCs w:val="21"/>
              </w:rPr>
              <w:t>月</w:t>
            </w:r>
            <w:r>
              <w:rPr>
                <w:rFonts w:hint="eastAsia"/>
                <w:color w:val="auto"/>
                <w:szCs w:val="21"/>
              </w:rPr>
              <w:t>____</w:t>
            </w:r>
            <w:r>
              <w:rPr>
                <w:color w:val="auto"/>
                <w:szCs w:val="21"/>
              </w:rPr>
              <w:t>日</w:t>
            </w:r>
            <w:bookmarkEnd w:id="82"/>
          </w:p>
          <w:p>
            <w:pPr>
              <w:widowControl/>
              <w:spacing w:line="360" w:lineRule="auto"/>
              <w:rPr>
                <w:color w:val="auto"/>
                <w:szCs w:val="21"/>
              </w:rPr>
            </w:pPr>
            <w:bookmarkStart w:id="83" w:name="_Toc221950042"/>
            <w:r>
              <w:rPr>
                <w:color w:val="auto"/>
                <w:szCs w:val="21"/>
              </w:rPr>
              <w:t>计划</w:t>
            </w:r>
            <w:r>
              <w:rPr>
                <w:rFonts w:hint="eastAsia"/>
                <w:color w:val="auto"/>
                <w:szCs w:val="21"/>
              </w:rPr>
              <w:t>完工</w:t>
            </w:r>
            <w:r>
              <w:rPr>
                <w:color w:val="auto"/>
                <w:szCs w:val="21"/>
              </w:rPr>
              <w:t>日期：</w:t>
            </w:r>
            <w:r>
              <w:rPr>
                <w:rFonts w:hint="eastAsia"/>
                <w:color w:val="auto"/>
                <w:szCs w:val="21"/>
              </w:rPr>
              <w:t>____</w:t>
            </w:r>
            <w:r>
              <w:rPr>
                <w:color w:val="auto"/>
                <w:szCs w:val="21"/>
              </w:rPr>
              <w:t>年</w:t>
            </w:r>
            <w:r>
              <w:rPr>
                <w:rFonts w:hint="eastAsia"/>
                <w:color w:val="auto"/>
                <w:szCs w:val="21"/>
              </w:rPr>
              <w:t>____</w:t>
            </w:r>
            <w:r>
              <w:rPr>
                <w:color w:val="auto"/>
                <w:szCs w:val="21"/>
              </w:rPr>
              <w:t>月</w:t>
            </w:r>
            <w:r>
              <w:rPr>
                <w:rFonts w:hint="eastAsia"/>
                <w:color w:val="auto"/>
                <w:szCs w:val="21"/>
              </w:rPr>
              <w:t>____</w:t>
            </w:r>
            <w:r>
              <w:rPr>
                <w:color w:val="auto"/>
                <w:szCs w:val="21"/>
              </w:rPr>
              <w:t>日</w:t>
            </w:r>
            <w:bookmarkEnd w:id="83"/>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1.3.3</w:t>
            </w:r>
          </w:p>
        </w:tc>
        <w:tc>
          <w:tcPr>
            <w:tcW w:w="2041" w:type="dxa"/>
            <w:vAlign w:val="center"/>
          </w:tcPr>
          <w:p>
            <w:pPr>
              <w:widowControl/>
              <w:spacing w:line="360" w:lineRule="auto"/>
              <w:jc w:val="center"/>
              <w:rPr>
                <w:color w:val="auto"/>
                <w:szCs w:val="21"/>
              </w:rPr>
            </w:pPr>
            <w:r>
              <w:rPr>
                <w:rFonts w:hint="eastAsia" w:asciiTheme="minorEastAsia" w:hAnsiTheme="minorEastAsia"/>
                <w:color w:val="auto"/>
                <w:szCs w:val="21"/>
              </w:rPr>
              <w:t>本标段的质量要求</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1.4.1</w:t>
            </w:r>
          </w:p>
        </w:tc>
        <w:tc>
          <w:tcPr>
            <w:tcW w:w="2041" w:type="dxa"/>
            <w:vAlign w:val="center"/>
          </w:tcPr>
          <w:p>
            <w:pPr>
              <w:widowControl/>
              <w:spacing w:line="360" w:lineRule="auto"/>
              <w:jc w:val="center"/>
              <w:rPr>
                <w:color w:val="auto"/>
                <w:szCs w:val="21"/>
              </w:rPr>
            </w:pPr>
            <w:r>
              <w:rPr>
                <w:rFonts w:hint="eastAsia"/>
                <w:color w:val="auto"/>
                <w:szCs w:val="21"/>
              </w:rPr>
              <w:t>投标人资质条件、能力、信誉</w:t>
            </w:r>
          </w:p>
        </w:tc>
        <w:tc>
          <w:tcPr>
            <w:tcW w:w="5670" w:type="dxa"/>
            <w:vAlign w:val="bottom"/>
          </w:tcPr>
          <w:p>
            <w:pPr>
              <w:widowControl/>
              <w:spacing w:line="360" w:lineRule="auto"/>
              <w:rPr>
                <w:color w:val="auto"/>
                <w:szCs w:val="21"/>
              </w:rPr>
            </w:pPr>
            <w:r>
              <w:rPr>
                <w:rFonts w:hint="eastAsia"/>
                <w:color w:val="auto"/>
                <w:szCs w:val="21"/>
              </w:rPr>
              <w:t>（1）资质要求：</w:t>
            </w:r>
            <w:r>
              <w:rPr>
                <w:color w:val="auto"/>
                <w:szCs w:val="21"/>
              </w:rPr>
              <w:t xml:space="preserve"> </w:t>
            </w:r>
          </w:p>
          <w:p>
            <w:pPr>
              <w:widowControl/>
              <w:spacing w:line="360" w:lineRule="auto"/>
              <w:rPr>
                <w:color w:val="auto"/>
                <w:szCs w:val="21"/>
              </w:rPr>
            </w:pPr>
            <w:r>
              <w:rPr>
                <w:rFonts w:hint="eastAsia"/>
                <w:color w:val="auto"/>
                <w:szCs w:val="21"/>
              </w:rPr>
              <w:t>（2）财务要求：</w:t>
            </w:r>
          </w:p>
          <w:p>
            <w:pPr>
              <w:widowControl/>
              <w:spacing w:line="360" w:lineRule="auto"/>
              <w:rPr>
                <w:color w:val="auto"/>
                <w:szCs w:val="21"/>
              </w:rPr>
            </w:pPr>
            <w:r>
              <w:rPr>
                <w:rFonts w:hint="eastAsia"/>
                <w:color w:val="auto"/>
                <w:szCs w:val="21"/>
              </w:rPr>
              <w:t>（3）业绩要求：</w:t>
            </w:r>
          </w:p>
          <w:p>
            <w:pPr>
              <w:widowControl/>
              <w:spacing w:line="360" w:lineRule="auto"/>
              <w:rPr>
                <w:color w:val="auto"/>
                <w:szCs w:val="21"/>
              </w:rPr>
            </w:pPr>
            <w:r>
              <w:rPr>
                <w:rFonts w:hint="eastAsia"/>
                <w:color w:val="auto"/>
                <w:szCs w:val="21"/>
              </w:rPr>
              <w:t>【</w:t>
            </w:r>
            <w:r>
              <w:rPr>
                <w:rFonts w:hint="eastAsia"/>
                <w:b/>
                <w:color w:val="auto"/>
                <w:szCs w:val="21"/>
              </w:rPr>
              <w:t>注：</w:t>
            </w:r>
            <w:r>
              <w:rPr>
                <w:rFonts w:hint="eastAsia" w:asciiTheme="minorEastAsia" w:hAnsiTheme="minorEastAsia"/>
                <w:b/>
                <w:color w:val="auto"/>
                <w:szCs w:val="21"/>
              </w:rPr>
              <w:t>业绩指近10年内承担过类似的工程业绩，具体时间要求见“投标人须知”第3.5.3项规定。有具体业绩要求的，应提供合同协议书和发包人出具的证明文件（指合同工程完工证书或竣工证书或完工验收鉴定书或竣工验收鉴定书或发包人证明），以完工为准，完工时间</w:t>
            </w:r>
            <w:r>
              <w:rPr>
                <w:rFonts w:hint="eastAsia"/>
                <w:b/>
                <w:color w:val="auto"/>
                <w:szCs w:val="21"/>
              </w:rPr>
              <w:t>以</w:t>
            </w:r>
            <w:r>
              <w:rPr>
                <w:rFonts w:hint="eastAsia" w:asciiTheme="minorEastAsia" w:hAnsiTheme="minorEastAsia"/>
                <w:b/>
                <w:color w:val="auto"/>
                <w:szCs w:val="21"/>
              </w:rPr>
              <w:t>发包人出具的证明文件中注明的完工时间为准。下同。</w:t>
            </w:r>
            <w:r>
              <w:rPr>
                <w:rFonts w:hint="eastAsia"/>
                <w:color w:val="auto"/>
                <w:szCs w:val="21"/>
              </w:rPr>
              <w:t>】</w:t>
            </w:r>
          </w:p>
          <w:p>
            <w:pPr>
              <w:widowControl/>
              <w:spacing w:line="360" w:lineRule="auto"/>
              <w:rPr>
                <w:color w:val="auto"/>
                <w:szCs w:val="21"/>
              </w:rPr>
            </w:pPr>
            <w:r>
              <w:rPr>
                <w:rFonts w:hint="eastAsia"/>
                <w:color w:val="auto"/>
                <w:szCs w:val="21"/>
              </w:rPr>
              <w:t>（4）信誉要求：</w:t>
            </w:r>
          </w:p>
          <w:p>
            <w:pPr>
              <w:widowControl/>
              <w:spacing w:line="360" w:lineRule="auto"/>
              <w:rPr>
                <w:color w:val="auto"/>
                <w:szCs w:val="21"/>
              </w:rPr>
            </w:pPr>
            <w:r>
              <w:rPr>
                <w:rFonts w:hint="eastAsia"/>
                <w:color w:val="auto"/>
                <w:szCs w:val="21"/>
              </w:rPr>
              <w:t>（5）项目经理（建造师，下同）的资格要求：</w:t>
            </w:r>
          </w:p>
          <w:p>
            <w:pPr>
              <w:widowControl/>
              <w:spacing w:line="360" w:lineRule="auto"/>
              <w:rPr>
                <w:color w:val="auto"/>
                <w:szCs w:val="21"/>
              </w:rPr>
            </w:pPr>
            <w:r>
              <w:rPr>
                <w:rFonts w:hint="eastAsia"/>
                <w:color w:val="auto"/>
                <w:szCs w:val="21"/>
              </w:rPr>
              <w:t>①具有有效的执业或职业资格:______；</w:t>
            </w:r>
          </w:p>
          <w:p>
            <w:pPr>
              <w:widowControl/>
              <w:spacing w:line="360" w:lineRule="auto"/>
              <w:rPr>
                <w:color w:val="auto"/>
                <w:szCs w:val="21"/>
              </w:rPr>
            </w:pPr>
            <w:r>
              <w:rPr>
                <w:rFonts w:hint="eastAsia"/>
                <w:color w:val="auto"/>
                <w:szCs w:val="21"/>
              </w:rPr>
              <w:t>②职称:______；</w:t>
            </w:r>
          </w:p>
          <w:p>
            <w:pPr>
              <w:widowControl/>
              <w:spacing w:line="360" w:lineRule="auto"/>
              <w:rPr>
                <w:color w:val="auto"/>
                <w:szCs w:val="21"/>
              </w:rPr>
            </w:pPr>
            <w:r>
              <w:rPr>
                <w:rFonts w:hint="eastAsia" w:ascii="宋体" w:hAnsi="宋体" w:eastAsia="宋体"/>
                <w:color w:val="auto"/>
                <w:szCs w:val="21"/>
              </w:rPr>
              <w:t>③</w:t>
            </w:r>
            <w:r>
              <w:rPr>
                <w:rFonts w:hint="eastAsia"/>
                <w:color w:val="auto"/>
                <w:szCs w:val="21"/>
              </w:rPr>
              <w:t>具有有效的行业行政主管部门颁发的安全考核合格证书（B证）:______；</w:t>
            </w:r>
          </w:p>
          <w:p>
            <w:pPr>
              <w:widowControl/>
              <w:spacing w:line="360" w:lineRule="auto"/>
              <w:rPr>
                <w:color w:val="auto"/>
                <w:szCs w:val="21"/>
              </w:rPr>
            </w:pPr>
            <w:r>
              <w:rPr>
                <w:rFonts w:hint="eastAsia" w:asciiTheme="minorEastAsia" w:hAnsiTheme="minorEastAsia"/>
                <w:color w:val="auto"/>
                <w:szCs w:val="21"/>
              </w:rPr>
              <w:t>④</w:t>
            </w:r>
            <w:r>
              <w:rPr>
                <w:rFonts w:hint="eastAsia"/>
                <w:color w:val="auto"/>
                <w:szCs w:val="21"/>
              </w:rPr>
              <w:t>业绩______。</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w:t>
            </w:r>
            <w:r>
              <w:rPr>
                <w:rFonts w:asciiTheme="minorEastAsia" w:hAnsiTheme="minorEastAsia"/>
                <w:b/>
                <w:color w:val="auto"/>
                <w:szCs w:val="21"/>
              </w:rPr>
              <w:t>注</w:t>
            </w:r>
            <w:r>
              <w:rPr>
                <w:rFonts w:hint="eastAsia" w:asciiTheme="minorEastAsia" w:hAnsiTheme="minorEastAsia"/>
                <w:b/>
                <w:color w:val="auto"/>
                <w:szCs w:val="21"/>
              </w:rPr>
              <w:t>：执业或职业资格以有效的执业或职业证上注明的为准，职称以职称证上注明的为准，如执业或职业或职称证等未注明专业的，以毕业证上注明的专业为准。下同。】</w:t>
            </w:r>
          </w:p>
          <w:p>
            <w:pPr>
              <w:widowControl/>
              <w:spacing w:line="360" w:lineRule="auto"/>
              <w:rPr>
                <w:color w:val="auto"/>
                <w:szCs w:val="21"/>
              </w:rPr>
            </w:pPr>
            <w:r>
              <w:rPr>
                <w:rFonts w:hint="eastAsia"/>
                <w:color w:val="auto"/>
                <w:szCs w:val="21"/>
              </w:rPr>
              <w:t>（6）其他主要人员要求：</w:t>
            </w:r>
          </w:p>
          <w:tbl>
            <w:tblPr>
              <w:tblStyle w:val="40"/>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993"/>
              <w:gridCol w:w="850"/>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color w:val="auto"/>
                      <w:szCs w:val="21"/>
                    </w:rPr>
                    <w:t>序号</w:t>
                  </w:r>
                </w:p>
              </w:tc>
              <w:tc>
                <w:tcPr>
                  <w:tcW w:w="993" w:type="dxa"/>
                  <w:tcBorders>
                    <w:left w:val="single" w:color="auto" w:sz="4" w:space="0"/>
                  </w:tcBorders>
                </w:tcPr>
                <w:p>
                  <w:pPr>
                    <w:spacing w:line="360" w:lineRule="auto"/>
                    <w:jc w:val="center"/>
                    <w:rPr>
                      <w:color w:val="auto"/>
                      <w:szCs w:val="21"/>
                    </w:rPr>
                  </w:pPr>
                  <w:r>
                    <w:rPr>
                      <w:rFonts w:hint="eastAsia"/>
                      <w:color w:val="auto"/>
                      <w:szCs w:val="21"/>
                    </w:rPr>
                    <w:t>岗位</w:t>
                  </w:r>
                </w:p>
              </w:tc>
              <w:tc>
                <w:tcPr>
                  <w:tcW w:w="850" w:type="dxa"/>
                </w:tcPr>
                <w:p>
                  <w:pPr>
                    <w:widowControl/>
                    <w:spacing w:line="360" w:lineRule="auto"/>
                    <w:jc w:val="center"/>
                    <w:rPr>
                      <w:color w:val="auto"/>
                      <w:szCs w:val="21"/>
                    </w:rPr>
                  </w:pPr>
                  <w:r>
                    <w:rPr>
                      <w:rFonts w:hint="eastAsia"/>
                      <w:color w:val="auto"/>
                      <w:szCs w:val="21"/>
                    </w:rPr>
                    <w:t>人数</w:t>
                  </w:r>
                </w:p>
              </w:tc>
              <w:tc>
                <w:tcPr>
                  <w:tcW w:w="1134" w:type="dxa"/>
                </w:tcPr>
                <w:p>
                  <w:pPr>
                    <w:widowControl/>
                    <w:spacing w:line="360" w:lineRule="auto"/>
                    <w:jc w:val="center"/>
                    <w:rPr>
                      <w:color w:val="auto"/>
                      <w:szCs w:val="21"/>
                    </w:rPr>
                  </w:pPr>
                  <w:r>
                    <w:rPr>
                      <w:rFonts w:hint="eastAsia"/>
                      <w:color w:val="auto"/>
                      <w:szCs w:val="21"/>
                    </w:rPr>
                    <w:t>职称</w:t>
                  </w:r>
                </w:p>
              </w:tc>
              <w:tc>
                <w:tcPr>
                  <w:tcW w:w="1276" w:type="dxa"/>
                </w:tcPr>
                <w:p>
                  <w:pPr>
                    <w:widowControl/>
                    <w:spacing w:line="360" w:lineRule="auto"/>
                    <w:jc w:val="center"/>
                    <w:rPr>
                      <w:color w:val="auto"/>
                      <w:szCs w:val="21"/>
                    </w:rPr>
                  </w:pPr>
                  <w:r>
                    <w:rPr>
                      <w:rFonts w:hint="eastAsia"/>
                      <w:color w:val="auto"/>
                      <w:szCs w:val="21"/>
                    </w:rPr>
                    <w:t>注册专业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rFonts w:hint="eastAsia"/>
                      <w:color w:val="auto"/>
                      <w:szCs w:val="21"/>
                    </w:rPr>
                    <w:t>1</w:t>
                  </w:r>
                </w:p>
              </w:tc>
              <w:tc>
                <w:tcPr>
                  <w:tcW w:w="993" w:type="dxa"/>
                  <w:tcBorders>
                    <w:left w:val="single" w:color="auto" w:sz="4" w:space="0"/>
                  </w:tcBorders>
                </w:tcPr>
                <w:p>
                  <w:pPr>
                    <w:widowControl/>
                    <w:spacing w:line="360" w:lineRule="auto"/>
                    <w:rPr>
                      <w:color w:val="auto"/>
                      <w:szCs w:val="21"/>
                    </w:rPr>
                  </w:pPr>
                </w:p>
              </w:tc>
              <w:tc>
                <w:tcPr>
                  <w:tcW w:w="850" w:type="dxa"/>
                </w:tcPr>
                <w:p>
                  <w:pPr>
                    <w:widowControl/>
                    <w:spacing w:line="360" w:lineRule="auto"/>
                    <w:rPr>
                      <w:color w:val="auto"/>
                      <w:szCs w:val="21"/>
                    </w:rPr>
                  </w:pPr>
                </w:p>
              </w:tc>
              <w:tc>
                <w:tcPr>
                  <w:tcW w:w="1134" w:type="dxa"/>
                </w:tcPr>
                <w:p>
                  <w:pPr>
                    <w:widowControl/>
                    <w:spacing w:line="360" w:lineRule="auto"/>
                    <w:rPr>
                      <w:color w:val="auto"/>
                      <w:szCs w:val="21"/>
                    </w:rPr>
                  </w:pPr>
                </w:p>
              </w:tc>
              <w:tc>
                <w:tcPr>
                  <w:tcW w:w="1276"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rFonts w:hint="eastAsia"/>
                      <w:color w:val="auto"/>
                      <w:szCs w:val="21"/>
                    </w:rPr>
                    <w:t>......</w:t>
                  </w:r>
                </w:p>
              </w:tc>
              <w:tc>
                <w:tcPr>
                  <w:tcW w:w="993" w:type="dxa"/>
                  <w:tcBorders>
                    <w:left w:val="single" w:color="auto" w:sz="4" w:space="0"/>
                  </w:tcBorders>
                </w:tcPr>
                <w:p>
                  <w:pPr>
                    <w:widowControl/>
                    <w:spacing w:line="360" w:lineRule="auto"/>
                    <w:rPr>
                      <w:color w:val="auto"/>
                      <w:szCs w:val="21"/>
                    </w:rPr>
                  </w:pPr>
                </w:p>
              </w:tc>
              <w:tc>
                <w:tcPr>
                  <w:tcW w:w="850" w:type="dxa"/>
                </w:tcPr>
                <w:p>
                  <w:pPr>
                    <w:widowControl/>
                    <w:spacing w:line="360" w:lineRule="auto"/>
                    <w:rPr>
                      <w:color w:val="auto"/>
                      <w:szCs w:val="21"/>
                    </w:rPr>
                  </w:pPr>
                </w:p>
              </w:tc>
              <w:tc>
                <w:tcPr>
                  <w:tcW w:w="1134" w:type="dxa"/>
                </w:tcPr>
                <w:p>
                  <w:pPr>
                    <w:widowControl/>
                    <w:spacing w:line="360" w:lineRule="auto"/>
                    <w:rPr>
                      <w:color w:val="auto"/>
                      <w:szCs w:val="21"/>
                    </w:rPr>
                  </w:pPr>
                </w:p>
              </w:tc>
              <w:tc>
                <w:tcPr>
                  <w:tcW w:w="1276" w:type="dxa"/>
                </w:tcPr>
                <w:p>
                  <w:pPr>
                    <w:widowControl/>
                    <w:spacing w:line="360" w:lineRule="auto"/>
                    <w:rPr>
                      <w:color w:val="auto"/>
                      <w:szCs w:val="21"/>
                    </w:rPr>
                  </w:pPr>
                </w:p>
              </w:tc>
            </w:tr>
          </w:tbl>
          <w:p>
            <w:pPr>
              <w:widowControl/>
              <w:spacing w:line="360" w:lineRule="auto"/>
              <w:rPr>
                <w:rFonts w:asciiTheme="minorEastAsia" w:hAnsiTheme="minorEastAsia"/>
                <w:b/>
                <w:color w:val="auto"/>
                <w:szCs w:val="21"/>
              </w:rPr>
            </w:pPr>
            <w:r>
              <w:rPr>
                <w:rFonts w:hint="eastAsia" w:asciiTheme="minorEastAsia" w:hAnsiTheme="minorEastAsia"/>
                <w:b/>
                <w:color w:val="auto"/>
                <w:szCs w:val="21"/>
              </w:rPr>
              <w:t>【</w:t>
            </w:r>
            <w:r>
              <w:rPr>
                <w:rFonts w:asciiTheme="minorEastAsia" w:hAnsiTheme="minorEastAsia"/>
                <w:b/>
                <w:color w:val="auto"/>
                <w:szCs w:val="21"/>
              </w:rPr>
              <w:t>注</w:t>
            </w:r>
            <w:r>
              <w:rPr>
                <w:rFonts w:hint="eastAsia" w:asciiTheme="minorEastAsia" w:hAnsiTheme="minorEastAsia"/>
                <w:b/>
                <w:color w:val="auto"/>
                <w:szCs w:val="21"/>
              </w:rPr>
              <w:t>：施工员、材料员、质检员、安全员等应具有行业行政主管部门核发的合格有效的岗位证书，安全员应同时具有行业行政主管部门颁发的合格有效的安全考核合格证书（C证）。】</w:t>
            </w:r>
          </w:p>
          <w:p>
            <w:pPr>
              <w:widowControl/>
              <w:spacing w:line="360" w:lineRule="auto"/>
              <w:rPr>
                <w:color w:val="auto"/>
                <w:szCs w:val="21"/>
              </w:rPr>
            </w:pPr>
            <w:r>
              <w:rPr>
                <w:rFonts w:hint="eastAsia"/>
                <w:color w:val="auto"/>
                <w:szCs w:val="21"/>
              </w:rPr>
              <w:t>（7）其他要求：项目机构成员均应为本单位人员，应提供近三个月:_____年___月___日至_____年____月___日社保缴纳凭证。</w:t>
            </w:r>
          </w:p>
          <w:p>
            <w:pPr>
              <w:widowControl/>
              <w:spacing w:line="360" w:lineRule="auto"/>
              <w:rPr>
                <w:color w:val="auto"/>
                <w:szCs w:val="21"/>
              </w:rPr>
            </w:pPr>
            <w:r>
              <w:rPr>
                <w:rFonts w:hint="eastAsia"/>
                <w:b/>
                <w:color w:val="auto"/>
                <w:szCs w:val="21"/>
              </w:rPr>
              <w:t>【注：由投标人上级单位缴纳社保的，应提供投标人与上级单位的隶属证明；属于离（退）休人员的，应提供社保部门的离（退）休证明。】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1.4.2</w:t>
            </w:r>
          </w:p>
        </w:tc>
        <w:tc>
          <w:tcPr>
            <w:tcW w:w="2041" w:type="dxa"/>
            <w:vAlign w:val="center"/>
          </w:tcPr>
          <w:p>
            <w:pPr>
              <w:widowControl/>
              <w:spacing w:line="360" w:lineRule="auto"/>
              <w:jc w:val="center"/>
              <w:rPr>
                <w:color w:val="auto"/>
                <w:szCs w:val="21"/>
              </w:rPr>
            </w:pPr>
            <w:r>
              <w:rPr>
                <w:rFonts w:hint="eastAsia"/>
                <w:color w:val="auto"/>
                <w:szCs w:val="21"/>
              </w:rPr>
              <w:t>是否接受联合体投标</w:t>
            </w:r>
          </w:p>
        </w:tc>
        <w:tc>
          <w:tcPr>
            <w:tcW w:w="5670" w:type="dxa"/>
            <w:vAlign w:val="bottom"/>
          </w:tcPr>
          <w:p>
            <w:pPr>
              <w:widowControl/>
              <w:spacing w:line="360" w:lineRule="auto"/>
              <w:rPr>
                <w:color w:val="auto"/>
                <w:szCs w:val="21"/>
              </w:rPr>
            </w:pPr>
            <w:r>
              <w:rPr>
                <w:rFonts w:hint="eastAsia"/>
                <w:color w:val="auto"/>
                <w:szCs w:val="21"/>
              </w:rPr>
              <w:t>□不接受</w:t>
            </w:r>
          </w:p>
          <w:p>
            <w:pPr>
              <w:widowControl/>
              <w:spacing w:line="360" w:lineRule="auto"/>
              <w:rPr>
                <w:color w:val="auto"/>
                <w:szCs w:val="21"/>
              </w:rPr>
            </w:pPr>
            <w:r>
              <w:rPr>
                <w:rFonts w:hint="eastAsia"/>
                <w:color w:val="auto"/>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1.4.3</w:t>
            </w:r>
          </w:p>
        </w:tc>
        <w:tc>
          <w:tcPr>
            <w:tcW w:w="2041" w:type="dxa"/>
            <w:vAlign w:val="center"/>
          </w:tcPr>
          <w:p>
            <w:pPr>
              <w:widowControl/>
              <w:spacing w:line="360" w:lineRule="auto"/>
              <w:jc w:val="center"/>
              <w:rPr>
                <w:color w:val="auto"/>
                <w:szCs w:val="21"/>
              </w:rPr>
            </w:pPr>
            <w:r>
              <w:rPr>
                <w:rFonts w:hint="eastAsia"/>
                <w:color w:val="auto"/>
                <w:szCs w:val="21"/>
              </w:rPr>
              <w:t>投标人不得存在的其他情形</w:t>
            </w:r>
          </w:p>
        </w:tc>
        <w:tc>
          <w:tcPr>
            <w:tcW w:w="5670" w:type="dxa"/>
            <w:vAlign w:val="bottom"/>
          </w:tcPr>
          <w:p>
            <w:pPr>
              <w:widowControl/>
              <w:spacing w:line="360" w:lineRule="auto"/>
              <w:rPr>
                <w:b/>
                <w:color w:val="auto"/>
                <w:szCs w:val="21"/>
              </w:rPr>
            </w:pPr>
            <w:r>
              <w:rPr>
                <w:rFonts w:hint="eastAsia"/>
                <w:b/>
                <w:color w:val="auto"/>
                <w:szCs w:val="21"/>
              </w:rPr>
              <w:t>（1）与本招标项目（标段）的电子招标投标交易平台人同为一个法定代表人；</w:t>
            </w:r>
          </w:p>
          <w:p>
            <w:pPr>
              <w:widowControl/>
              <w:spacing w:line="360" w:lineRule="auto"/>
              <w:rPr>
                <w:b/>
                <w:color w:val="auto"/>
                <w:szCs w:val="21"/>
              </w:rPr>
            </w:pPr>
            <w:r>
              <w:rPr>
                <w:rFonts w:hint="eastAsia"/>
                <w:b/>
                <w:color w:val="auto"/>
                <w:szCs w:val="21"/>
              </w:rPr>
              <w:t>（2）与本招标项目（标段）的电子招标投标交易平台人存在相互控股或参股关系；</w:t>
            </w:r>
          </w:p>
          <w:p>
            <w:pPr>
              <w:widowControl/>
              <w:spacing w:line="360" w:lineRule="auto"/>
              <w:rPr>
                <w:b/>
                <w:color w:val="auto"/>
                <w:szCs w:val="21"/>
              </w:rPr>
            </w:pPr>
            <w:r>
              <w:rPr>
                <w:rFonts w:hint="eastAsia"/>
                <w:b/>
                <w:color w:val="auto"/>
                <w:szCs w:val="21"/>
              </w:rPr>
              <w:t>（3）在本招标项目（标段）中有以他人名义投标、串通投标、弄虚作假、行贿等违法行为；</w:t>
            </w:r>
          </w:p>
          <w:p>
            <w:pPr>
              <w:widowControl/>
              <w:spacing w:line="360" w:lineRule="auto"/>
              <w:rPr>
                <w:b/>
                <w:color w:val="auto"/>
                <w:szCs w:val="21"/>
              </w:rPr>
            </w:pPr>
            <w:r>
              <w:rPr>
                <w:rFonts w:hint="eastAsia"/>
                <w:b/>
                <w:color w:val="auto"/>
                <w:szCs w:val="21"/>
              </w:rPr>
              <w:t>（4）财产被司法机关接管或冻结；</w:t>
            </w:r>
          </w:p>
          <w:p>
            <w:pPr>
              <w:widowControl/>
              <w:spacing w:line="360" w:lineRule="auto"/>
              <w:rPr>
                <w:color w:val="auto"/>
                <w:szCs w:val="21"/>
              </w:rPr>
            </w:pPr>
            <w:r>
              <w:rPr>
                <w:rFonts w:hint="eastAsia"/>
                <w:b/>
                <w:color w:val="auto"/>
                <w:szCs w:val="21"/>
              </w:rPr>
              <w:t>（5）其他情形：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rFonts w:hint="eastAsia"/>
                <w:color w:val="auto"/>
                <w:szCs w:val="21"/>
              </w:rPr>
              <w:t>1.9</w:t>
            </w:r>
            <w:r>
              <w:rPr>
                <w:color w:val="auto"/>
                <w:szCs w:val="21"/>
              </w:rPr>
              <w:t>.</w:t>
            </w:r>
            <w:r>
              <w:rPr>
                <w:rFonts w:hint="eastAsia"/>
                <w:color w:val="auto"/>
                <w:szCs w:val="21"/>
              </w:rPr>
              <w:t>1</w:t>
            </w:r>
          </w:p>
        </w:tc>
        <w:tc>
          <w:tcPr>
            <w:tcW w:w="2041" w:type="dxa"/>
            <w:vAlign w:val="center"/>
          </w:tcPr>
          <w:p>
            <w:pPr>
              <w:widowControl/>
              <w:spacing w:line="360" w:lineRule="auto"/>
              <w:jc w:val="center"/>
              <w:rPr>
                <w:color w:val="auto"/>
                <w:szCs w:val="21"/>
              </w:rPr>
            </w:pPr>
            <w:r>
              <w:rPr>
                <w:rFonts w:hint="eastAsia"/>
                <w:color w:val="auto"/>
                <w:szCs w:val="21"/>
              </w:rPr>
              <w:t>踏勘现场</w:t>
            </w:r>
          </w:p>
        </w:tc>
        <w:tc>
          <w:tcPr>
            <w:tcW w:w="5670" w:type="dxa"/>
            <w:vAlign w:val="bottom"/>
          </w:tcPr>
          <w:p>
            <w:pPr>
              <w:widowControl/>
              <w:spacing w:line="360" w:lineRule="auto"/>
              <w:rPr>
                <w:color w:val="auto"/>
                <w:szCs w:val="21"/>
              </w:rPr>
            </w:pPr>
            <w:r>
              <w:rPr>
                <w:rFonts w:hint="eastAsia"/>
                <w:color w:val="auto"/>
                <w:szCs w:val="21"/>
              </w:rPr>
              <w:t>□不组织</w:t>
            </w:r>
          </w:p>
          <w:p>
            <w:pPr>
              <w:widowControl/>
              <w:spacing w:line="360" w:lineRule="auto"/>
              <w:rPr>
                <w:color w:val="auto"/>
                <w:szCs w:val="21"/>
              </w:rPr>
            </w:pPr>
            <w:r>
              <w:rPr>
                <w:rFonts w:hint="eastAsia"/>
                <w:color w:val="auto"/>
                <w:szCs w:val="21"/>
              </w:rPr>
              <w:t>□组织，踏勘时间：</w:t>
            </w:r>
          </w:p>
          <w:p>
            <w:pPr>
              <w:widowControl/>
              <w:spacing w:line="360" w:lineRule="auto"/>
              <w:ind w:firstLine="840" w:firstLineChars="400"/>
              <w:rPr>
                <w:color w:val="auto"/>
                <w:szCs w:val="21"/>
              </w:rPr>
            </w:pPr>
            <w:r>
              <w:rPr>
                <w:rFonts w:hint="eastAsia"/>
                <w:color w:val="auto"/>
                <w:szCs w:val="21"/>
              </w:rPr>
              <w:t>踏勘集中地点：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rFonts w:hint="eastAsia"/>
                <w:color w:val="auto"/>
                <w:szCs w:val="21"/>
              </w:rPr>
              <w:t>1.10</w:t>
            </w:r>
            <w:r>
              <w:rPr>
                <w:color w:val="auto"/>
                <w:szCs w:val="21"/>
              </w:rPr>
              <w:t>.</w:t>
            </w:r>
            <w:r>
              <w:rPr>
                <w:rFonts w:hint="eastAsia"/>
                <w:color w:val="auto"/>
                <w:szCs w:val="21"/>
              </w:rPr>
              <w:t>1</w:t>
            </w:r>
          </w:p>
        </w:tc>
        <w:tc>
          <w:tcPr>
            <w:tcW w:w="2041" w:type="dxa"/>
            <w:vAlign w:val="center"/>
          </w:tcPr>
          <w:p>
            <w:pPr>
              <w:widowControl/>
              <w:spacing w:line="360" w:lineRule="auto"/>
              <w:jc w:val="center"/>
              <w:rPr>
                <w:color w:val="auto"/>
                <w:szCs w:val="21"/>
              </w:rPr>
            </w:pPr>
            <w:r>
              <w:rPr>
                <w:rFonts w:hint="eastAsia"/>
                <w:color w:val="auto"/>
                <w:szCs w:val="21"/>
              </w:rPr>
              <w:t>投标预备会</w:t>
            </w:r>
          </w:p>
        </w:tc>
        <w:tc>
          <w:tcPr>
            <w:tcW w:w="5670" w:type="dxa"/>
            <w:vAlign w:val="bottom"/>
          </w:tcPr>
          <w:p>
            <w:pPr>
              <w:widowControl/>
              <w:spacing w:line="360" w:lineRule="auto"/>
              <w:rPr>
                <w:color w:val="auto"/>
                <w:szCs w:val="21"/>
              </w:rPr>
            </w:pPr>
            <w:r>
              <w:rPr>
                <w:rFonts w:hint="eastAsia"/>
                <w:color w:val="auto"/>
                <w:szCs w:val="21"/>
              </w:rPr>
              <w:t>□不召开</w:t>
            </w:r>
          </w:p>
          <w:p>
            <w:pPr>
              <w:widowControl/>
              <w:spacing w:line="360" w:lineRule="auto"/>
              <w:rPr>
                <w:color w:val="auto"/>
                <w:szCs w:val="21"/>
              </w:rPr>
            </w:pPr>
            <w:r>
              <w:rPr>
                <w:rFonts w:hint="eastAsia"/>
                <w:color w:val="auto"/>
                <w:szCs w:val="21"/>
              </w:rPr>
              <w:t>□召开，召开时间：</w:t>
            </w:r>
          </w:p>
          <w:p>
            <w:pPr>
              <w:widowControl/>
              <w:spacing w:line="360" w:lineRule="auto"/>
              <w:ind w:firstLine="840" w:firstLineChars="400"/>
              <w:rPr>
                <w:color w:val="auto"/>
                <w:szCs w:val="21"/>
              </w:rPr>
            </w:pPr>
            <w:r>
              <w:rPr>
                <w:rFonts w:hint="eastAsia"/>
                <w:color w:val="auto"/>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078" w:type="dxa"/>
            <w:vMerge w:val="restart"/>
            <w:vAlign w:val="center"/>
          </w:tcPr>
          <w:p>
            <w:pPr>
              <w:widowControl/>
              <w:spacing w:line="360" w:lineRule="auto"/>
              <w:jc w:val="center"/>
              <w:rPr>
                <w:color w:val="auto"/>
                <w:szCs w:val="21"/>
              </w:rPr>
            </w:pPr>
            <w:r>
              <w:rPr>
                <w:color w:val="auto"/>
                <w:szCs w:val="21"/>
              </w:rPr>
              <w:t>1.</w:t>
            </w:r>
            <w:r>
              <w:rPr>
                <w:rFonts w:hint="eastAsia"/>
                <w:color w:val="auto"/>
                <w:szCs w:val="21"/>
              </w:rPr>
              <w:t>10</w:t>
            </w:r>
            <w:r>
              <w:rPr>
                <w:color w:val="auto"/>
                <w:szCs w:val="21"/>
              </w:rPr>
              <w:t>.2</w:t>
            </w:r>
          </w:p>
        </w:tc>
        <w:tc>
          <w:tcPr>
            <w:tcW w:w="2041" w:type="dxa"/>
            <w:vMerge w:val="restart"/>
            <w:vAlign w:val="center"/>
          </w:tcPr>
          <w:p>
            <w:pPr>
              <w:widowControl/>
              <w:spacing w:line="360" w:lineRule="auto"/>
              <w:jc w:val="center"/>
              <w:rPr>
                <w:color w:val="auto"/>
                <w:szCs w:val="21"/>
              </w:rPr>
            </w:pPr>
            <w:r>
              <w:rPr>
                <w:rFonts w:hint="eastAsia"/>
                <w:color w:val="auto"/>
                <w:szCs w:val="21"/>
              </w:rPr>
              <w:t>投标人在投标预备会前提出问题</w:t>
            </w:r>
          </w:p>
        </w:tc>
        <w:tc>
          <w:tcPr>
            <w:tcW w:w="5670" w:type="dxa"/>
            <w:tcBorders>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078" w:type="dxa"/>
            <w:vMerge w:val="continue"/>
            <w:vAlign w:val="center"/>
          </w:tcPr>
          <w:p>
            <w:pPr>
              <w:widowControl/>
              <w:spacing w:line="360" w:lineRule="auto"/>
              <w:jc w:val="center"/>
              <w:rPr>
                <w:color w:val="auto"/>
                <w:szCs w:val="21"/>
              </w:rPr>
            </w:pPr>
          </w:p>
        </w:tc>
        <w:tc>
          <w:tcPr>
            <w:tcW w:w="2041" w:type="dxa"/>
            <w:vMerge w:val="continue"/>
            <w:vAlign w:val="center"/>
          </w:tcPr>
          <w:p>
            <w:pPr>
              <w:widowControl/>
              <w:spacing w:line="360" w:lineRule="auto"/>
              <w:jc w:val="center"/>
              <w:rPr>
                <w:color w:val="auto"/>
                <w:szCs w:val="21"/>
              </w:rPr>
            </w:pPr>
          </w:p>
        </w:tc>
        <w:tc>
          <w:tcPr>
            <w:tcW w:w="5670" w:type="dxa"/>
            <w:tcBorders>
              <w:top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w:t>
            </w:r>
            <w:r>
              <w:rPr>
                <w:rFonts w:hint="eastAsia"/>
                <w:color w:val="auto"/>
                <w:szCs w:val="21"/>
              </w:rPr>
              <w:t>10</w:t>
            </w:r>
            <w:r>
              <w:rPr>
                <w:color w:val="auto"/>
                <w:szCs w:val="21"/>
              </w:rPr>
              <w:t>.3</w:t>
            </w:r>
          </w:p>
        </w:tc>
        <w:tc>
          <w:tcPr>
            <w:tcW w:w="2041" w:type="dxa"/>
            <w:vAlign w:val="center"/>
          </w:tcPr>
          <w:p>
            <w:pPr>
              <w:widowControl/>
              <w:spacing w:line="360" w:lineRule="auto"/>
              <w:jc w:val="center"/>
              <w:rPr>
                <w:color w:val="auto"/>
                <w:szCs w:val="21"/>
              </w:rPr>
            </w:pPr>
            <w:r>
              <w:rPr>
                <w:rFonts w:hint="eastAsia"/>
                <w:color w:val="auto"/>
                <w:szCs w:val="21"/>
              </w:rPr>
              <w:t>招标文件澄清发出的形式</w:t>
            </w:r>
          </w:p>
        </w:tc>
        <w:tc>
          <w:tcPr>
            <w:tcW w:w="5670" w:type="dxa"/>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1.11.</w:t>
            </w:r>
            <w:r>
              <w:rPr>
                <w:rFonts w:hint="eastAsia"/>
                <w:color w:val="auto"/>
                <w:szCs w:val="21"/>
              </w:rPr>
              <w:t>1</w:t>
            </w:r>
          </w:p>
        </w:tc>
        <w:tc>
          <w:tcPr>
            <w:tcW w:w="2041" w:type="dxa"/>
            <w:vAlign w:val="center"/>
          </w:tcPr>
          <w:p>
            <w:pPr>
              <w:widowControl/>
              <w:spacing w:line="360" w:lineRule="auto"/>
              <w:jc w:val="center"/>
              <w:rPr>
                <w:color w:val="auto"/>
                <w:szCs w:val="21"/>
              </w:rPr>
            </w:pPr>
            <w:r>
              <w:rPr>
                <w:rFonts w:hint="eastAsia"/>
                <w:color w:val="auto"/>
                <w:szCs w:val="21"/>
              </w:rPr>
              <w:t>分包</w:t>
            </w:r>
          </w:p>
        </w:tc>
        <w:tc>
          <w:tcPr>
            <w:tcW w:w="5670" w:type="dxa"/>
            <w:vAlign w:val="bottom"/>
          </w:tcPr>
          <w:p>
            <w:pPr>
              <w:widowControl/>
              <w:spacing w:line="360" w:lineRule="auto"/>
              <w:rPr>
                <w:color w:val="auto"/>
                <w:szCs w:val="21"/>
              </w:rPr>
            </w:pPr>
            <w:r>
              <w:rPr>
                <w:rFonts w:hint="eastAsia"/>
                <w:color w:val="auto"/>
                <w:szCs w:val="21"/>
              </w:rPr>
              <w:t>□不允许</w:t>
            </w:r>
          </w:p>
          <w:p>
            <w:pPr>
              <w:widowControl/>
              <w:spacing w:line="360" w:lineRule="auto"/>
              <w:rPr>
                <w:color w:val="auto"/>
                <w:szCs w:val="21"/>
              </w:rPr>
            </w:pPr>
            <w:r>
              <w:rPr>
                <w:rFonts w:hint="eastAsia"/>
                <w:color w:val="auto"/>
                <w:szCs w:val="21"/>
              </w:rPr>
              <w:t>□允许，分包内容要求：</w:t>
            </w:r>
          </w:p>
          <w:p>
            <w:pPr>
              <w:widowControl/>
              <w:spacing w:line="360" w:lineRule="auto"/>
              <w:ind w:firstLine="840" w:firstLineChars="400"/>
              <w:rPr>
                <w:color w:val="auto"/>
                <w:szCs w:val="21"/>
              </w:rPr>
            </w:pPr>
            <w:r>
              <w:rPr>
                <w:rFonts w:hint="eastAsia"/>
                <w:color w:val="auto"/>
                <w:szCs w:val="21"/>
              </w:rPr>
              <w:t>分包金额要求：</w:t>
            </w:r>
          </w:p>
          <w:p>
            <w:pPr>
              <w:widowControl/>
              <w:spacing w:line="360" w:lineRule="auto"/>
              <w:ind w:firstLine="840" w:firstLineChars="400"/>
              <w:rPr>
                <w:color w:val="auto"/>
                <w:szCs w:val="21"/>
              </w:rPr>
            </w:pPr>
            <w:r>
              <w:rPr>
                <w:rFonts w:hint="eastAsia"/>
                <w:color w:val="auto"/>
                <w:szCs w:val="21"/>
              </w:rPr>
              <w:t>对分包人的资质要求：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w:t>
            </w:r>
            <w:r>
              <w:rPr>
                <w:rFonts w:hint="eastAsia"/>
                <w:color w:val="auto"/>
                <w:szCs w:val="21"/>
              </w:rPr>
              <w:t>2</w:t>
            </w:r>
            <w:r>
              <w:rPr>
                <w:color w:val="auto"/>
                <w:szCs w:val="21"/>
              </w:rPr>
              <w:t>.1</w:t>
            </w:r>
          </w:p>
        </w:tc>
        <w:tc>
          <w:tcPr>
            <w:tcW w:w="2041" w:type="dxa"/>
            <w:vAlign w:val="center"/>
          </w:tcPr>
          <w:p>
            <w:pPr>
              <w:widowControl/>
              <w:spacing w:line="360" w:lineRule="auto"/>
              <w:jc w:val="center"/>
              <w:rPr>
                <w:color w:val="auto"/>
                <w:szCs w:val="21"/>
              </w:rPr>
            </w:pPr>
            <w:r>
              <w:rPr>
                <w:rFonts w:hint="eastAsia"/>
                <w:color w:val="auto"/>
                <w:szCs w:val="21"/>
              </w:rPr>
              <w:t>实质性要求和条件</w:t>
            </w:r>
          </w:p>
        </w:tc>
        <w:tc>
          <w:tcPr>
            <w:tcW w:w="5670" w:type="dxa"/>
            <w:vAlign w:val="bottom"/>
          </w:tcPr>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（1）投标内容符合“投标人须知”第1.3.1项规定；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（2）</w:t>
            </w:r>
            <w:r>
              <w:rPr>
                <w:rFonts w:hint="eastAsia"/>
                <w:b/>
                <w:color w:val="auto"/>
                <w:szCs w:val="21"/>
              </w:rPr>
              <w:t>工期期限</w:t>
            </w:r>
            <w:r>
              <w:rPr>
                <w:rFonts w:hint="eastAsia" w:asciiTheme="minorEastAsia" w:hAnsiTheme="minorEastAsia"/>
                <w:b/>
                <w:color w:val="auto"/>
                <w:szCs w:val="21"/>
              </w:rPr>
              <w:t>符合“投标人须知”第1.3.2项规定；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（3）质量要求符合“投标人须知”第1.3.3项规定；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（4）资格条件符合“投标人须知”第1.4.1项规定；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（5）是否接受联合体投标符合“投标人须知”第1.4.2项规定；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（6）</w:t>
            </w:r>
            <w:r>
              <w:rPr>
                <w:rFonts w:hint="eastAsia"/>
                <w:b/>
                <w:color w:val="auto"/>
                <w:szCs w:val="21"/>
              </w:rPr>
              <w:t>投标文件对招标文件的偏差符合</w:t>
            </w:r>
            <w:r>
              <w:rPr>
                <w:rFonts w:hint="eastAsia" w:asciiTheme="minorEastAsia" w:hAnsiTheme="minorEastAsia"/>
                <w:b/>
                <w:color w:val="auto"/>
                <w:szCs w:val="21"/>
              </w:rPr>
              <w:t>“投标人须知”第1.12.3项规定；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（7）“工程量清单”项目与数量按招标文件提供的“工程量清单”逐项列项、增减或修改；</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（8）投标总报价不高于“投标人须知”第3.2.4项最高控制价A；</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（9）施工组织设计（如有）编制符合</w:t>
            </w:r>
            <w:r>
              <w:rPr>
                <w:rFonts w:hint="eastAsia"/>
                <w:b/>
                <w:color w:val="auto"/>
                <w:szCs w:val="21"/>
              </w:rPr>
              <w:t>第三章“评标方法（综合评估法）”第</w:t>
            </w:r>
            <w:r>
              <w:rPr>
                <w:rFonts w:asciiTheme="minorEastAsia" w:hAnsiTheme="minorEastAsia"/>
                <w:b/>
                <w:color w:val="auto"/>
                <w:szCs w:val="21"/>
              </w:rPr>
              <w:t>2.2.4</w:t>
            </w:r>
            <w:r>
              <w:rPr>
                <w:rFonts w:hint="eastAsia" w:asciiTheme="minorEastAsia" w:hAnsiTheme="minorEastAsia"/>
                <w:b/>
                <w:color w:val="auto"/>
                <w:szCs w:val="21"/>
              </w:rPr>
              <w:t>（2）</w:t>
            </w:r>
            <w:r>
              <w:rPr>
                <w:rFonts w:hint="eastAsia"/>
                <w:b/>
                <w:color w:val="auto"/>
                <w:szCs w:val="21"/>
              </w:rPr>
              <w:t>目的章节和</w:t>
            </w:r>
            <w:r>
              <w:rPr>
                <w:rFonts w:hint="eastAsia" w:asciiTheme="minorEastAsia" w:hAnsiTheme="minorEastAsia"/>
                <w:b/>
                <w:color w:val="auto"/>
                <w:szCs w:val="21"/>
              </w:rPr>
              <w:t>暗标评审规定；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（10）投标有效期符合“投标人须知”第3.3.1项规定；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（11）投标保证金提交符合“投标人须知”第3.4.1项规定；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（12）资格审查资料符合“投标人须知”第3.5款规定；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（13）递交备选投标方案符合“投标人须知”第3.6.1项规定；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（14）投标文件编制符合“投标人须知”第3.7.1、3.7.3项规定；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（15）投标文件加密符合“投标人须知”第4.1.1项规定；</w:t>
            </w:r>
          </w:p>
          <w:p>
            <w:pPr>
              <w:widowControl/>
              <w:spacing w:line="360" w:lineRule="auto"/>
              <w:rPr>
                <w:rFonts w:asciiTheme="minorEastAsia" w:hAnsiTheme="minorEastAsia"/>
                <w:b/>
                <w:color w:val="auto"/>
                <w:kern w:val="0"/>
                <w:szCs w:val="21"/>
              </w:rPr>
            </w:pPr>
            <w:r>
              <w:rPr>
                <w:rFonts w:hint="eastAsia" w:asciiTheme="minorEastAsia" w:hAnsiTheme="minorEastAsia"/>
                <w:b/>
                <w:color w:val="auto"/>
                <w:kern w:val="0"/>
                <w:szCs w:val="21"/>
              </w:rPr>
              <w:t>（16）投标文件的解密时间符合“投标人须知”第9款规定；</w:t>
            </w:r>
          </w:p>
          <w:p>
            <w:pPr>
              <w:widowControl/>
              <w:spacing w:line="360" w:lineRule="auto"/>
              <w:rPr>
                <w:color w:val="auto"/>
                <w:szCs w:val="21"/>
              </w:rPr>
            </w:pPr>
            <w:r>
              <w:rPr>
                <w:rFonts w:hint="eastAsia" w:asciiTheme="minorEastAsia" w:hAnsiTheme="minorEastAsia"/>
                <w:b/>
                <w:color w:val="auto"/>
                <w:kern w:val="0"/>
                <w:szCs w:val="21"/>
              </w:rPr>
              <w:t>（17）其他实质性要求和条件：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1.12.</w:t>
            </w:r>
            <w:r>
              <w:rPr>
                <w:rFonts w:hint="eastAsia"/>
                <w:color w:val="auto"/>
                <w:szCs w:val="21"/>
              </w:rPr>
              <w:t>3</w:t>
            </w:r>
          </w:p>
        </w:tc>
        <w:tc>
          <w:tcPr>
            <w:tcW w:w="2041" w:type="dxa"/>
            <w:vAlign w:val="center"/>
          </w:tcPr>
          <w:p>
            <w:pPr>
              <w:widowControl/>
              <w:spacing w:line="360" w:lineRule="auto"/>
              <w:jc w:val="center"/>
              <w:rPr>
                <w:color w:val="auto"/>
                <w:szCs w:val="21"/>
              </w:rPr>
            </w:pPr>
            <w:r>
              <w:rPr>
                <w:rFonts w:hint="eastAsia"/>
                <w:color w:val="auto"/>
                <w:szCs w:val="21"/>
              </w:rPr>
              <w:t>偏差</w:t>
            </w:r>
          </w:p>
        </w:tc>
        <w:tc>
          <w:tcPr>
            <w:tcW w:w="5670" w:type="dxa"/>
            <w:vAlign w:val="bottom"/>
          </w:tcPr>
          <w:p>
            <w:pPr>
              <w:widowControl/>
              <w:spacing w:line="360" w:lineRule="auto"/>
              <w:rPr>
                <w:rFonts w:asciiTheme="minorEastAsia" w:hAnsiTheme="minorEastAsia"/>
                <w:color w:val="auto"/>
                <w:szCs w:val="21"/>
              </w:rPr>
            </w:pPr>
            <w:r>
              <w:rPr>
                <w:rFonts w:hint="eastAsia" w:asciiTheme="minorEastAsia" w:hAnsiTheme="minorEastAsia"/>
                <w:color w:val="auto"/>
                <w:szCs w:val="21"/>
              </w:rPr>
              <w:t>□不允许</w:t>
            </w:r>
          </w:p>
          <w:p>
            <w:pPr>
              <w:widowControl/>
              <w:spacing w:line="360" w:lineRule="auto"/>
              <w:rPr>
                <w:color w:val="auto"/>
                <w:szCs w:val="21"/>
              </w:rPr>
            </w:pPr>
            <w:r>
              <w:rPr>
                <w:rFonts w:hint="eastAsia" w:asciiTheme="minorEastAsia" w:hAnsiTheme="minorEastAsia"/>
                <w:color w:val="auto"/>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2.1</w:t>
            </w:r>
          </w:p>
        </w:tc>
        <w:tc>
          <w:tcPr>
            <w:tcW w:w="2041" w:type="dxa"/>
            <w:vAlign w:val="center"/>
          </w:tcPr>
          <w:p>
            <w:pPr>
              <w:widowControl/>
              <w:spacing w:line="360" w:lineRule="auto"/>
              <w:jc w:val="center"/>
              <w:rPr>
                <w:color w:val="auto"/>
                <w:szCs w:val="21"/>
              </w:rPr>
            </w:pPr>
            <w:r>
              <w:rPr>
                <w:rFonts w:hint="eastAsia"/>
                <w:color w:val="auto"/>
                <w:szCs w:val="21"/>
              </w:rPr>
              <w:t>构成招标文件的其他资料</w:t>
            </w:r>
          </w:p>
        </w:tc>
        <w:tc>
          <w:tcPr>
            <w:tcW w:w="567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 w:hRule="atLeast"/>
        </w:trPr>
        <w:tc>
          <w:tcPr>
            <w:tcW w:w="1078" w:type="dxa"/>
            <w:vMerge w:val="restart"/>
            <w:vAlign w:val="center"/>
          </w:tcPr>
          <w:p>
            <w:pPr>
              <w:widowControl/>
              <w:spacing w:line="360" w:lineRule="auto"/>
              <w:jc w:val="center"/>
              <w:rPr>
                <w:color w:val="auto"/>
                <w:szCs w:val="21"/>
              </w:rPr>
            </w:pPr>
            <w:r>
              <w:rPr>
                <w:color w:val="auto"/>
                <w:szCs w:val="21"/>
              </w:rPr>
              <w:t>2.2.1</w:t>
            </w:r>
          </w:p>
        </w:tc>
        <w:tc>
          <w:tcPr>
            <w:tcW w:w="2041" w:type="dxa"/>
            <w:vMerge w:val="restart"/>
            <w:vAlign w:val="center"/>
          </w:tcPr>
          <w:p>
            <w:pPr>
              <w:widowControl/>
              <w:spacing w:line="360" w:lineRule="auto"/>
              <w:jc w:val="center"/>
              <w:rPr>
                <w:color w:val="auto"/>
                <w:szCs w:val="21"/>
              </w:rPr>
            </w:pPr>
            <w:r>
              <w:rPr>
                <w:rFonts w:hint="eastAsia"/>
                <w:color w:val="auto"/>
                <w:szCs w:val="21"/>
              </w:rPr>
              <w:t>投标人要求澄清招标文件</w:t>
            </w:r>
          </w:p>
        </w:tc>
        <w:tc>
          <w:tcPr>
            <w:tcW w:w="5670" w:type="dxa"/>
            <w:tcBorders>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Merge w:val="continue"/>
            <w:vAlign w:val="center"/>
          </w:tcPr>
          <w:p>
            <w:pPr>
              <w:widowControl/>
              <w:spacing w:line="360" w:lineRule="auto"/>
              <w:jc w:val="center"/>
              <w:rPr>
                <w:color w:val="auto"/>
                <w:szCs w:val="21"/>
              </w:rPr>
            </w:pPr>
          </w:p>
        </w:tc>
        <w:tc>
          <w:tcPr>
            <w:tcW w:w="2041" w:type="dxa"/>
            <w:vMerge w:val="continue"/>
            <w:vAlign w:val="center"/>
          </w:tcPr>
          <w:p>
            <w:pPr>
              <w:widowControl/>
              <w:spacing w:line="360" w:lineRule="auto"/>
              <w:jc w:val="center"/>
              <w:rPr>
                <w:color w:val="auto"/>
                <w:szCs w:val="21"/>
              </w:rPr>
            </w:pPr>
          </w:p>
        </w:tc>
        <w:tc>
          <w:tcPr>
            <w:tcW w:w="567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2.2.2</w:t>
            </w:r>
          </w:p>
        </w:tc>
        <w:tc>
          <w:tcPr>
            <w:tcW w:w="2041" w:type="dxa"/>
            <w:vAlign w:val="center"/>
          </w:tcPr>
          <w:p>
            <w:pPr>
              <w:widowControl/>
              <w:spacing w:line="360" w:lineRule="auto"/>
              <w:jc w:val="center"/>
              <w:rPr>
                <w:color w:val="auto"/>
                <w:szCs w:val="21"/>
              </w:rPr>
            </w:pPr>
            <w:r>
              <w:rPr>
                <w:rFonts w:hint="eastAsia"/>
                <w:color w:val="auto"/>
                <w:szCs w:val="21"/>
              </w:rPr>
              <w:t>招标文件澄清发出的形式</w:t>
            </w:r>
          </w:p>
        </w:tc>
        <w:tc>
          <w:tcPr>
            <w:tcW w:w="5670" w:type="dxa"/>
            <w:tcBorders>
              <w:top w:val="single" w:color="auto" w:sz="4" w:space="0"/>
              <w:bottom w:val="single" w:color="auto" w:sz="4" w:space="0"/>
            </w:tcBorders>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1078" w:type="dxa"/>
            <w:vMerge w:val="restart"/>
            <w:vAlign w:val="center"/>
          </w:tcPr>
          <w:p>
            <w:pPr>
              <w:widowControl/>
              <w:spacing w:line="360" w:lineRule="auto"/>
              <w:jc w:val="center"/>
              <w:rPr>
                <w:color w:val="auto"/>
                <w:szCs w:val="21"/>
              </w:rPr>
            </w:pPr>
            <w:r>
              <w:rPr>
                <w:color w:val="auto"/>
                <w:szCs w:val="21"/>
              </w:rPr>
              <w:t>2.2.3</w:t>
            </w:r>
          </w:p>
        </w:tc>
        <w:tc>
          <w:tcPr>
            <w:tcW w:w="2041" w:type="dxa"/>
            <w:vMerge w:val="restart"/>
            <w:vAlign w:val="center"/>
          </w:tcPr>
          <w:p>
            <w:pPr>
              <w:widowControl/>
              <w:spacing w:line="360" w:lineRule="auto"/>
              <w:jc w:val="center"/>
              <w:rPr>
                <w:color w:val="auto"/>
                <w:szCs w:val="21"/>
              </w:rPr>
            </w:pPr>
            <w:r>
              <w:rPr>
                <w:rFonts w:hint="eastAsia"/>
                <w:color w:val="auto"/>
                <w:szCs w:val="21"/>
              </w:rPr>
              <w:t>投标人确认收到招标文件澄清</w:t>
            </w:r>
          </w:p>
        </w:tc>
        <w:tc>
          <w:tcPr>
            <w:tcW w:w="567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1078" w:type="dxa"/>
            <w:vMerge w:val="continue"/>
            <w:vAlign w:val="center"/>
          </w:tcPr>
          <w:p>
            <w:pPr>
              <w:widowControl/>
              <w:spacing w:line="360" w:lineRule="auto"/>
              <w:jc w:val="center"/>
              <w:rPr>
                <w:color w:val="auto"/>
                <w:szCs w:val="21"/>
              </w:rPr>
            </w:pPr>
          </w:p>
        </w:tc>
        <w:tc>
          <w:tcPr>
            <w:tcW w:w="2041" w:type="dxa"/>
            <w:vMerge w:val="continue"/>
            <w:vAlign w:val="center"/>
          </w:tcPr>
          <w:p>
            <w:pPr>
              <w:widowControl/>
              <w:spacing w:line="360" w:lineRule="auto"/>
              <w:jc w:val="center"/>
              <w:rPr>
                <w:color w:val="auto"/>
                <w:szCs w:val="21"/>
              </w:rPr>
            </w:pPr>
          </w:p>
        </w:tc>
        <w:tc>
          <w:tcPr>
            <w:tcW w:w="567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2.3.1</w:t>
            </w:r>
          </w:p>
        </w:tc>
        <w:tc>
          <w:tcPr>
            <w:tcW w:w="2041" w:type="dxa"/>
            <w:vAlign w:val="center"/>
          </w:tcPr>
          <w:p>
            <w:pPr>
              <w:widowControl/>
              <w:spacing w:line="360" w:lineRule="auto"/>
              <w:jc w:val="center"/>
              <w:rPr>
                <w:color w:val="auto"/>
                <w:szCs w:val="21"/>
              </w:rPr>
            </w:pPr>
            <w:r>
              <w:rPr>
                <w:rFonts w:hint="eastAsia"/>
                <w:color w:val="auto"/>
                <w:szCs w:val="21"/>
              </w:rPr>
              <w:t>招标文件修改发出的形式</w:t>
            </w:r>
          </w:p>
        </w:tc>
        <w:tc>
          <w:tcPr>
            <w:tcW w:w="5670" w:type="dxa"/>
            <w:tcBorders>
              <w:top w:val="single" w:color="auto" w:sz="4" w:space="0"/>
            </w:tcBorders>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078" w:type="dxa"/>
            <w:vMerge w:val="restart"/>
            <w:vAlign w:val="center"/>
          </w:tcPr>
          <w:p>
            <w:pPr>
              <w:widowControl/>
              <w:spacing w:line="360" w:lineRule="auto"/>
              <w:jc w:val="center"/>
              <w:rPr>
                <w:color w:val="auto"/>
                <w:szCs w:val="21"/>
              </w:rPr>
            </w:pPr>
            <w:r>
              <w:rPr>
                <w:color w:val="auto"/>
                <w:szCs w:val="21"/>
              </w:rPr>
              <w:t>2.3.2</w:t>
            </w:r>
          </w:p>
        </w:tc>
        <w:tc>
          <w:tcPr>
            <w:tcW w:w="2041" w:type="dxa"/>
            <w:vMerge w:val="restart"/>
            <w:vAlign w:val="center"/>
          </w:tcPr>
          <w:p>
            <w:pPr>
              <w:widowControl/>
              <w:spacing w:line="360" w:lineRule="auto"/>
              <w:jc w:val="center"/>
              <w:rPr>
                <w:color w:val="auto"/>
                <w:szCs w:val="21"/>
              </w:rPr>
            </w:pPr>
            <w:r>
              <w:rPr>
                <w:rFonts w:hint="eastAsia"/>
                <w:color w:val="auto"/>
                <w:szCs w:val="21"/>
              </w:rPr>
              <w:t>投标人确认收到招标文件修改</w:t>
            </w:r>
          </w:p>
        </w:tc>
        <w:tc>
          <w:tcPr>
            <w:tcW w:w="5670" w:type="dxa"/>
            <w:tcBorders>
              <w:bottom w:val="single" w:color="auto" w:sz="4" w:space="0"/>
            </w:tcBorders>
          </w:tcPr>
          <w:p>
            <w:pPr>
              <w:widowControl/>
              <w:spacing w:line="360" w:lineRule="auto"/>
              <w:jc w:val="left"/>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078" w:type="dxa"/>
            <w:vMerge w:val="continue"/>
            <w:vAlign w:val="center"/>
          </w:tcPr>
          <w:p>
            <w:pPr>
              <w:widowControl/>
              <w:spacing w:line="360" w:lineRule="auto"/>
              <w:jc w:val="center"/>
              <w:rPr>
                <w:color w:val="auto"/>
                <w:szCs w:val="21"/>
              </w:rPr>
            </w:pPr>
          </w:p>
        </w:tc>
        <w:tc>
          <w:tcPr>
            <w:tcW w:w="2041" w:type="dxa"/>
            <w:vMerge w:val="continue"/>
            <w:vAlign w:val="center"/>
          </w:tcPr>
          <w:p>
            <w:pPr>
              <w:widowControl/>
              <w:spacing w:line="360" w:lineRule="auto"/>
              <w:jc w:val="center"/>
              <w:rPr>
                <w:color w:val="auto"/>
                <w:szCs w:val="21"/>
              </w:rPr>
            </w:pPr>
          </w:p>
        </w:tc>
        <w:tc>
          <w:tcPr>
            <w:tcW w:w="5670" w:type="dxa"/>
            <w:tcBorders>
              <w:top w:val="single" w:color="auto" w:sz="4" w:space="0"/>
            </w:tcBorders>
          </w:tcPr>
          <w:p>
            <w:pPr>
              <w:widowControl/>
              <w:spacing w:line="360" w:lineRule="auto"/>
              <w:jc w:val="left"/>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3.1</w:t>
            </w:r>
          </w:p>
        </w:tc>
        <w:tc>
          <w:tcPr>
            <w:tcW w:w="2041" w:type="dxa"/>
            <w:vAlign w:val="center"/>
          </w:tcPr>
          <w:p>
            <w:pPr>
              <w:widowControl/>
              <w:spacing w:line="360" w:lineRule="auto"/>
              <w:jc w:val="center"/>
              <w:rPr>
                <w:color w:val="auto"/>
                <w:szCs w:val="21"/>
              </w:rPr>
            </w:pPr>
            <w:r>
              <w:rPr>
                <w:rFonts w:hint="eastAsia"/>
                <w:color w:val="auto"/>
                <w:szCs w:val="21"/>
              </w:rPr>
              <w:t>构成投标文件的其他资料</w:t>
            </w:r>
          </w:p>
        </w:tc>
        <w:tc>
          <w:tcPr>
            <w:tcW w:w="567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3.2.1</w:t>
            </w:r>
          </w:p>
        </w:tc>
        <w:tc>
          <w:tcPr>
            <w:tcW w:w="2041" w:type="dxa"/>
            <w:vAlign w:val="center"/>
          </w:tcPr>
          <w:p>
            <w:pPr>
              <w:widowControl/>
              <w:spacing w:line="360" w:lineRule="auto"/>
              <w:jc w:val="center"/>
              <w:rPr>
                <w:color w:val="auto"/>
                <w:szCs w:val="21"/>
              </w:rPr>
            </w:pPr>
            <w:r>
              <w:rPr>
                <w:rFonts w:hint="eastAsia"/>
                <w:color w:val="auto"/>
                <w:szCs w:val="21"/>
              </w:rPr>
              <w:t>增值税税金的计算方法</w:t>
            </w:r>
          </w:p>
        </w:tc>
        <w:tc>
          <w:tcPr>
            <w:tcW w:w="567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3.2.</w:t>
            </w:r>
            <w:r>
              <w:rPr>
                <w:rFonts w:hint="eastAsia"/>
                <w:color w:val="auto"/>
                <w:szCs w:val="21"/>
              </w:rPr>
              <w:t>4</w:t>
            </w:r>
          </w:p>
        </w:tc>
        <w:tc>
          <w:tcPr>
            <w:tcW w:w="2041" w:type="dxa"/>
            <w:vAlign w:val="center"/>
          </w:tcPr>
          <w:p>
            <w:pPr>
              <w:widowControl/>
              <w:spacing w:line="360" w:lineRule="auto"/>
              <w:jc w:val="center"/>
              <w:rPr>
                <w:color w:val="auto"/>
                <w:szCs w:val="21"/>
              </w:rPr>
            </w:pPr>
            <w:r>
              <w:rPr>
                <w:rFonts w:hint="eastAsia"/>
                <w:color w:val="auto"/>
                <w:szCs w:val="21"/>
              </w:rPr>
              <w:t>最高投标限价</w:t>
            </w:r>
          </w:p>
        </w:tc>
        <w:tc>
          <w:tcPr>
            <w:tcW w:w="5670" w:type="dxa"/>
          </w:tcPr>
          <w:p>
            <w:pPr>
              <w:widowControl/>
              <w:spacing w:line="360" w:lineRule="auto"/>
              <w:rPr>
                <w:color w:val="auto"/>
                <w:szCs w:val="21"/>
              </w:rPr>
            </w:pPr>
            <w:r>
              <w:rPr>
                <w:rFonts w:hint="eastAsia"/>
                <w:color w:val="auto"/>
              </w:rPr>
              <w:t>最高控制价A=</w:t>
            </w:r>
            <w:r>
              <w:rPr>
                <w:rFonts w:hint="eastAsia"/>
                <w:color w:val="auto"/>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1078" w:type="dxa"/>
            <w:vAlign w:val="center"/>
          </w:tcPr>
          <w:p>
            <w:pPr>
              <w:widowControl/>
              <w:spacing w:line="360" w:lineRule="auto"/>
              <w:jc w:val="center"/>
              <w:rPr>
                <w:color w:val="auto"/>
                <w:szCs w:val="21"/>
              </w:rPr>
            </w:pPr>
            <w:r>
              <w:rPr>
                <w:color w:val="auto"/>
                <w:szCs w:val="21"/>
              </w:rPr>
              <w:t>3.2.</w:t>
            </w:r>
            <w:r>
              <w:rPr>
                <w:rFonts w:hint="eastAsia"/>
                <w:color w:val="auto"/>
                <w:szCs w:val="21"/>
              </w:rPr>
              <w:t>5</w:t>
            </w:r>
          </w:p>
        </w:tc>
        <w:tc>
          <w:tcPr>
            <w:tcW w:w="2041" w:type="dxa"/>
            <w:vAlign w:val="center"/>
          </w:tcPr>
          <w:p>
            <w:pPr>
              <w:widowControl/>
              <w:spacing w:line="360" w:lineRule="auto"/>
              <w:jc w:val="center"/>
              <w:rPr>
                <w:color w:val="auto"/>
                <w:szCs w:val="21"/>
              </w:rPr>
            </w:pPr>
            <w:r>
              <w:rPr>
                <w:rFonts w:hint="eastAsia"/>
                <w:color w:val="auto"/>
                <w:szCs w:val="21"/>
              </w:rPr>
              <w:t>投标报价的其他要求</w:t>
            </w:r>
          </w:p>
        </w:tc>
        <w:tc>
          <w:tcPr>
            <w:tcW w:w="5670" w:type="dxa"/>
          </w:tcPr>
          <w:p>
            <w:pPr>
              <w:widowControl/>
              <w:spacing w:line="500" w:lineRule="exact"/>
              <w:jc w:val="left"/>
              <w:rPr>
                <w:color w:val="auto"/>
                <w:szCs w:val="21"/>
              </w:rPr>
            </w:pPr>
            <w:r>
              <w:rPr>
                <w:rFonts w:hint="eastAsia"/>
                <w:color w:val="auto"/>
                <w:szCs w:val="21"/>
              </w:rPr>
              <w:t>□采用“综合评估法”，“报价合理性评分”按第三章“评标方法（综合评估法）”第</w:t>
            </w:r>
            <w:r>
              <w:rPr>
                <w:color w:val="auto"/>
                <w:szCs w:val="21"/>
              </w:rPr>
              <w:t>2.2.4</w:t>
            </w:r>
            <w:r>
              <w:rPr>
                <w:rFonts w:hint="eastAsia"/>
                <w:color w:val="auto"/>
                <w:szCs w:val="21"/>
              </w:rPr>
              <w:t>（3）目进行。</w:t>
            </w:r>
          </w:p>
          <w:p>
            <w:pPr>
              <w:widowControl/>
              <w:spacing w:line="500" w:lineRule="exact"/>
              <w:jc w:val="left"/>
              <w:rPr>
                <w:color w:val="auto"/>
                <w:szCs w:val="21"/>
              </w:rPr>
            </w:pPr>
            <w:r>
              <w:rPr>
                <w:rFonts w:hint="eastAsia"/>
                <w:color w:val="auto"/>
                <w:szCs w:val="21"/>
              </w:rPr>
              <w:t>□采用“经评审的最低投标价法”，“</w:t>
            </w:r>
            <w:r>
              <w:rPr>
                <w:rFonts w:hint="eastAsia"/>
                <w:color w:val="auto"/>
              </w:rPr>
              <w:t>投标价（评标价）评审方法</w:t>
            </w:r>
            <w:r>
              <w:rPr>
                <w:rFonts w:hint="eastAsia"/>
                <w:color w:val="auto"/>
                <w:szCs w:val="21"/>
              </w:rPr>
              <w:t>”按第三章“评标方法（经评审的最低投标价法）”第</w:t>
            </w:r>
            <w:r>
              <w:rPr>
                <w:color w:val="auto"/>
                <w:szCs w:val="21"/>
              </w:rPr>
              <w:t>2.2项进行</w:t>
            </w:r>
            <w:r>
              <w:rPr>
                <w:rFonts w:hint="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3.3.1</w:t>
            </w:r>
          </w:p>
        </w:tc>
        <w:tc>
          <w:tcPr>
            <w:tcW w:w="2041" w:type="dxa"/>
            <w:vAlign w:val="center"/>
          </w:tcPr>
          <w:p>
            <w:pPr>
              <w:widowControl/>
              <w:spacing w:line="360" w:lineRule="auto"/>
              <w:jc w:val="center"/>
              <w:rPr>
                <w:color w:val="auto"/>
                <w:szCs w:val="21"/>
              </w:rPr>
            </w:pPr>
            <w:r>
              <w:rPr>
                <w:rFonts w:hint="eastAsia"/>
                <w:color w:val="auto"/>
                <w:szCs w:val="21"/>
              </w:rPr>
              <w:t>投标有效期</w:t>
            </w:r>
          </w:p>
        </w:tc>
        <w:tc>
          <w:tcPr>
            <w:tcW w:w="567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3.4.1</w:t>
            </w:r>
          </w:p>
        </w:tc>
        <w:tc>
          <w:tcPr>
            <w:tcW w:w="2041" w:type="dxa"/>
            <w:vAlign w:val="center"/>
          </w:tcPr>
          <w:p>
            <w:pPr>
              <w:widowControl/>
              <w:spacing w:line="360" w:lineRule="auto"/>
              <w:jc w:val="center"/>
              <w:rPr>
                <w:color w:val="auto"/>
                <w:szCs w:val="21"/>
              </w:rPr>
            </w:pPr>
            <w:r>
              <w:rPr>
                <w:rFonts w:hint="eastAsia"/>
                <w:color w:val="auto"/>
                <w:szCs w:val="21"/>
              </w:rPr>
              <w:t>投标保证金</w:t>
            </w:r>
          </w:p>
        </w:tc>
        <w:tc>
          <w:tcPr>
            <w:tcW w:w="5670" w:type="dxa"/>
          </w:tcPr>
          <w:p>
            <w:pPr>
              <w:widowControl/>
              <w:spacing w:line="360" w:lineRule="auto"/>
              <w:rPr>
                <w:color w:val="auto"/>
                <w:szCs w:val="21"/>
              </w:rPr>
            </w:pPr>
            <w:r>
              <w:rPr>
                <w:rFonts w:hint="eastAsia"/>
                <w:color w:val="auto"/>
                <w:szCs w:val="21"/>
              </w:rPr>
              <w:t>是否要求投标人递交投标保证金：</w:t>
            </w:r>
          </w:p>
          <w:p>
            <w:pPr>
              <w:pStyle w:val="11"/>
              <w:tabs>
                <w:tab w:val="left" w:pos="1000"/>
              </w:tabs>
              <w:snapToGrid w:val="0"/>
              <w:spacing w:line="460" w:lineRule="exact"/>
              <w:ind w:left="30" w:firstLine="0" w:firstLineChars="0"/>
              <w:rPr>
                <w:rFonts w:ascii="宋体" w:hAnsi="宋体"/>
                <w:color w:val="auto"/>
                <w:szCs w:val="21"/>
              </w:rPr>
            </w:pPr>
            <w:r>
              <w:rPr>
                <w:rFonts w:hint="eastAsia"/>
                <w:color w:val="auto"/>
                <w:szCs w:val="21"/>
              </w:rPr>
              <w:t>□要求，投标保证金的形式：</w:t>
            </w:r>
            <w:r>
              <w:rPr>
                <w:rFonts w:hint="eastAsia" w:ascii="宋体" w:hAnsi="宋体"/>
                <w:color w:val="auto"/>
                <w:szCs w:val="21"/>
              </w:rPr>
              <w:t>现金或支票或银行保函。</w:t>
            </w:r>
          </w:p>
          <w:p>
            <w:pPr>
              <w:widowControl/>
              <w:spacing w:line="360" w:lineRule="auto"/>
              <w:rPr>
                <w:color w:val="auto"/>
                <w:szCs w:val="21"/>
              </w:rPr>
            </w:pPr>
            <w:r>
              <w:rPr>
                <w:rFonts w:hint="eastAsia" w:ascii="宋体" w:hAnsi="宋体"/>
                <w:color w:val="auto"/>
                <w:szCs w:val="21"/>
              </w:rPr>
              <w:t>（1）采用现金或支票的，投标人应在投标时间截止</w:t>
            </w:r>
            <w:r>
              <w:rPr>
                <w:rFonts w:hint="eastAsia"/>
                <w:color w:val="auto"/>
                <w:szCs w:val="21"/>
              </w:rPr>
              <w:t>前，由其基本账户开户行汇达（以收款银行实时对账单为准）指定账户（保证金户名：______________________；账号：___________________________；开户银行：____________），凭证用途栏应注明本招标工程项目名称或招标编号（如：XXXX项目投标保证金）；</w:t>
            </w:r>
          </w:p>
          <w:p>
            <w:pPr>
              <w:widowControl/>
              <w:spacing w:line="360" w:lineRule="auto"/>
              <w:rPr>
                <w:color w:val="auto"/>
                <w:szCs w:val="21"/>
              </w:rPr>
            </w:pPr>
            <w:r>
              <w:rPr>
                <w:rFonts w:hint="eastAsia"/>
                <w:color w:val="auto"/>
                <w:szCs w:val="21"/>
              </w:rPr>
              <w:t>（2）采用银行保函的，应由投标人开立基本帐户的银行开具，并保证其有效。银行保函原件的扫描件加盖单位章上传至下载招标文件的电子招标投标交易平台，且应在投标截止时间前向招标人递交银行保函原件。</w:t>
            </w:r>
          </w:p>
          <w:p>
            <w:pPr>
              <w:widowControl/>
              <w:spacing w:line="360" w:lineRule="auto"/>
              <w:ind w:firstLine="420" w:firstLineChars="200"/>
              <w:rPr>
                <w:color w:val="auto"/>
                <w:szCs w:val="21"/>
              </w:rPr>
            </w:pPr>
            <w:r>
              <w:rPr>
                <w:rFonts w:hint="eastAsia"/>
                <w:color w:val="auto"/>
                <w:szCs w:val="21"/>
              </w:rPr>
              <w:t>投标保证金的金额：</w:t>
            </w:r>
          </w:p>
          <w:p>
            <w:pPr>
              <w:widowControl/>
              <w:spacing w:line="360" w:lineRule="auto"/>
              <w:rPr>
                <w:color w:val="auto"/>
                <w:szCs w:val="21"/>
              </w:rPr>
            </w:pPr>
            <w:r>
              <w:rPr>
                <w:rFonts w:hint="eastAsia"/>
                <w:color w:val="auto"/>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3.4.4</w:t>
            </w:r>
          </w:p>
        </w:tc>
        <w:tc>
          <w:tcPr>
            <w:tcW w:w="2041" w:type="dxa"/>
            <w:vAlign w:val="center"/>
          </w:tcPr>
          <w:p>
            <w:pPr>
              <w:widowControl/>
              <w:spacing w:line="360" w:lineRule="auto"/>
              <w:jc w:val="center"/>
              <w:rPr>
                <w:color w:val="auto"/>
                <w:szCs w:val="21"/>
              </w:rPr>
            </w:pPr>
            <w:r>
              <w:rPr>
                <w:rFonts w:hint="eastAsia"/>
                <w:color w:val="auto"/>
                <w:szCs w:val="21"/>
              </w:rPr>
              <w:t>其他可以不予退还投标保证金的情形</w:t>
            </w:r>
          </w:p>
        </w:tc>
        <w:tc>
          <w:tcPr>
            <w:tcW w:w="5670" w:type="dxa"/>
          </w:tcPr>
          <w:p>
            <w:pPr>
              <w:widowControl/>
              <w:spacing w:line="360" w:lineRule="auto"/>
              <w:rPr>
                <w:color w:val="auto"/>
                <w:szCs w:val="21"/>
              </w:rPr>
            </w:pPr>
            <w:r>
              <w:rPr>
                <w:rFonts w:hint="eastAsia"/>
                <w:color w:val="auto"/>
                <w:szCs w:val="21"/>
              </w:rPr>
              <w:t>（1）弄虚作假；</w:t>
            </w:r>
          </w:p>
          <w:p>
            <w:pPr>
              <w:widowControl/>
              <w:spacing w:line="360" w:lineRule="auto"/>
              <w:rPr>
                <w:color w:val="auto"/>
                <w:szCs w:val="21"/>
              </w:rPr>
            </w:pPr>
            <w:r>
              <w:rPr>
                <w:rFonts w:hint="eastAsia"/>
                <w:color w:val="auto"/>
                <w:szCs w:val="21"/>
              </w:rPr>
              <w:t>（2）其他：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3.5</w:t>
            </w:r>
          </w:p>
        </w:tc>
        <w:tc>
          <w:tcPr>
            <w:tcW w:w="2041" w:type="dxa"/>
            <w:vAlign w:val="center"/>
          </w:tcPr>
          <w:p>
            <w:pPr>
              <w:widowControl/>
              <w:spacing w:line="360" w:lineRule="auto"/>
              <w:jc w:val="center"/>
              <w:rPr>
                <w:color w:val="auto"/>
                <w:szCs w:val="21"/>
              </w:rPr>
            </w:pPr>
            <w:r>
              <w:rPr>
                <w:rFonts w:hint="eastAsia"/>
                <w:color w:val="auto"/>
                <w:szCs w:val="21"/>
              </w:rPr>
              <w:t>资格审查资料的特殊要求</w:t>
            </w:r>
          </w:p>
        </w:tc>
        <w:tc>
          <w:tcPr>
            <w:tcW w:w="5670" w:type="dxa"/>
          </w:tcPr>
          <w:p>
            <w:pPr>
              <w:widowControl/>
              <w:spacing w:line="360" w:lineRule="auto"/>
              <w:rPr>
                <w:color w:val="auto"/>
                <w:szCs w:val="21"/>
              </w:rPr>
            </w:pPr>
            <w:r>
              <w:rPr>
                <w:rFonts w:hint="eastAsia"/>
                <w:color w:val="auto"/>
                <w:szCs w:val="21"/>
              </w:rPr>
              <w:t>有关证明材料按第八章“投标文件格式”要求在相应处附扫描件，扫描件盖单位章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78" w:type="dxa"/>
            <w:vAlign w:val="center"/>
          </w:tcPr>
          <w:p>
            <w:pPr>
              <w:widowControl/>
              <w:spacing w:line="360" w:lineRule="auto"/>
              <w:jc w:val="center"/>
              <w:rPr>
                <w:color w:val="auto"/>
                <w:szCs w:val="21"/>
              </w:rPr>
            </w:pPr>
            <w:r>
              <w:rPr>
                <w:color w:val="auto"/>
                <w:szCs w:val="21"/>
              </w:rPr>
              <w:t>3.5.2</w:t>
            </w:r>
          </w:p>
        </w:tc>
        <w:tc>
          <w:tcPr>
            <w:tcW w:w="2041" w:type="dxa"/>
            <w:vAlign w:val="center"/>
          </w:tcPr>
          <w:p>
            <w:pPr>
              <w:widowControl/>
              <w:spacing w:line="360" w:lineRule="auto"/>
              <w:jc w:val="center"/>
              <w:rPr>
                <w:color w:val="auto"/>
                <w:szCs w:val="21"/>
              </w:rPr>
            </w:pPr>
            <w:r>
              <w:rPr>
                <w:rFonts w:hint="eastAsia"/>
                <w:color w:val="auto"/>
                <w:szCs w:val="21"/>
              </w:rPr>
              <w:t>近年财务状况的年份要求</w:t>
            </w:r>
          </w:p>
        </w:tc>
        <w:tc>
          <w:tcPr>
            <w:tcW w:w="5670" w:type="dxa"/>
          </w:tcPr>
          <w:p>
            <w:pPr>
              <w:widowControl/>
              <w:spacing w:line="360" w:lineRule="auto"/>
              <w:rPr>
                <w:color w:val="auto"/>
                <w:szCs w:val="21"/>
              </w:rPr>
            </w:pPr>
            <w:r>
              <w:rPr>
                <w:rFonts w:hint="eastAsia"/>
                <w:color w:val="auto"/>
                <w:szCs w:val="21"/>
              </w:rPr>
              <w:t>______年至______年</w:t>
            </w:r>
          </w:p>
          <w:p>
            <w:pPr>
              <w:widowControl/>
              <w:spacing w:line="360" w:lineRule="auto"/>
              <w:rPr>
                <w:b/>
                <w:color w:val="auto"/>
                <w:szCs w:val="21"/>
              </w:rPr>
            </w:pPr>
            <w:r>
              <w:rPr>
                <w:rFonts w:hint="eastAsia" w:asciiTheme="minorEastAsia" w:hAnsiTheme="minorEastAsia"/>
                <w:b/>
                <w:color w:val="auto"/>
                <w:szCs w:val="21"/>
              </w:rPr>
              <w:t>【注：指近3年</w:t>
            </w:r>
            <w:r>
              <w:rPr>
                <w:rFonts w:hint="eastAsia"/>
                <w:b/>
                <w:color w:val="auto"/>
                <w:szCs w:val="21"/>
              </w:rPr>
              <w:t>财务状况表。</w:t>
            </w:r>
            <w:r>
              <w:rPr>
                <w:rFonts w:hint="eastAsia" w:asciiTheme="minorEastAsia" w:hAnsiTheme="minor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078" w:type="dxa"/>
            <w:tcBorders>
              <w:bottom w:val="single" w:color="auto" w:sz="4" w:space="0"/>
            </w:tcBorders>
            <w:vAlign w:val="center"/>
          </w:tcPr>
          <w:p>
            <w:pPr>
              <w:widowControl/>
              <w:spacing w:line="360" w:lineRule="auto"/>
              <w:jc w:val="center"/>
              <w:rPr>
                <w:color w:val="auto"/>
                <w:szCs w:val="21"/>
              </w:rPr>
            </w:pPr>
            <w:r>
              <w:rPr>
                <w:color w:val="auto"/>
                <w:szCs w:val="21"/>
              </w:rPr>
              <w:t>3.5.3</w:t>
            </w:r>
          </w:p>
        </w:tc>
        <w:tc>
          <w:tcPr>
            <w:tcW w:w="2041" w:type="dxa"/>
            <w:tcBorders>
              <w:bottom w:val="single" w:color="auto" w:sz="4" w:space="0"/>
            </w:tcBorders>
            <w:vAlign w:val="center"/>
          </w:tcPr>
          <w:p>
            <w:pPr>
              <w:widowControl/>
              <w:spacing w:line="360" w:lineRule="auto"/>
              <w:jc w:val="center"/>
              <w:rPr>
                <w:color w:val="auto"/>
                <w:szCs w:val="21"/>
              </w:rPr>
            </w:pPr>
            <w:r>
              <w:rPr>
                <w:rFonts w:hint="eastAsia"/>
                <w:color w:val="auto"/>
                <w:szCs w:val="21"/>
              </w:rPr>
              <w:t>近年完成的类似项目情况的时间要求</w:t>
            </w:r>
          </w:p>
        </w:tc>
        <w:tc>
          <w:tcPr>
            <w:tcW w:w="5670" w:type="dxa"/>
            <w:tcBorders>
              <w:bottom w:val="single" w:color="auto" w:sz="4" w:space="0"/>
            </w:tcBorders>
          </w:tcPr>
          <w:p>
            <w:pPr>
              <w:widowControl/>
              <w:spacing w:line="360" w:lineRule="auto"/>
              <w:rPr>
                <w:color w:val="auto"/>
                <w:szCs w:val="21"/>
              </w:rPr>
            </w:pPr>
            <w:r>
              <w:rPr>
                <w:rFonts w:hint="eastAsia"/>
                <w:color w:val="auto"/>
                <w:szCs w:val="21"/>
              </w:rPr>
              <w:t>_______年___月___日至_______年___月___日</w:t>
            </w:r>
          </w:p>
          <w:p>
            <w:pPr>
              <w:widowControl/>
              <w:spacing w:line="360" w:lineRule="auto"/>
              <w:rPr>
                <w:color w:val="auto"/>
                <w:szCs w:val="21"/>
              </w:rPr>
            </w:pPr>
            <w:r>
              <w:rPr>
                <w:rFonts w:hint="eastAsia" w:asciiTheme="minorEastAsia" w:hAnsiTheme="minorEastAsia"/>
                <w:b/>
                <w:color w:val="auto"/>
                <w:szCs w:val="21"/>
              </w:rPr>
              <w:t>【注：指近10年内承担过类似的工程业绩具体时间要求。】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078" w:type="dxa"/>
            <w:vAlign w:val="center"/>
          </w:tcPr>
          <w:p>
            <w:pPr>
              <w:widowControl/>
              <w:spacing w:line="360" w:lineRule="auto"/>
              <w:jc w:val="center"/>
              <w:rPr>
                <w:color w:val="auto"/>
                <w:szCs w:val="21"/>
              </w:rPr>
            </w:pPr>
            <w:r>
              <w:rPr>
                <w:color w:val="auto"/>
                <w:szCs w:val="21"/>
              </w:rPr>
              <w:t>3.5.5</w:t>
            </w:r>
          </w:p>
        </w:tc>
        <w:tc>
          <w:tcPr>
            <w:tcW w:w="2041" w:type="dxa"/>
            <w:vAlign w:val="center"/>
          </w:tcPr>
          <w:p>
            <w:pPr>
              <w:widowControl/>
              <w:spacing w:line="360" w:lineRule="auto"/>
              <w:jc w:val="center"/>
              <w:rPr>
                <w:color w:val="auto"/>
                <w:szCs w:val="21"/>
              </w:rPr>
            </w:pPr>
            <w:r>
              <w:rPr>
                <w:rFonts w:hint="eastAsia"/>
                <w:color w:val="auto"/>
                <w:szCs w:val="21"/>
              </w:rPr>
              <w:t>近年发生的诉讼及仲裁情况的时间要求</w:t>
            </w:r>
          </w:p>
        </w:tc>
        <w:tc>
          <w:tcPr>
            <w:tcW w:w="5670" w:type="dxa"/>
          </w:tcPr>
          <w:p>
            <w:pPr>
              <w:widowControl/>
              <w:spacing w:line="360" w:lineRule="auto"/>
              <w:rPr>
                <w:color w:val="auto"/>
                <w:szCs w:val="21"/>
              </w:rPr>
            </w:pPr>
            <w:r>
              <w:rPr>
                <w:rFonts w:hint="eastAsia"/>
                <w:color w:val="auto"/>
                <w:szCs w:val="21"/>
              </w:rPr>
              <w:t>_______年___月___日至_______年___月___日</w:t>
            </w:r>
          </w:p>
          <w:p>
            <w:pPr>
              <w:widowControl/>
              <w:spacing w:line="360" w:lineRule="auto"/>
              <w:rPr>
                <w:b/>
                <w:color w:val="auto"/>
                <w:szCs w:val="21"/>
              </w:rPr>
            </w:pPr>
            <w:r>
              <w:rPr>
                <w:rFonts w:hint="eastAsia" w:asciiTheme="minorEastAsia" w:hAnsiTheme="minorEastAsia"/>
                <w:b/>
                <w:color w:val="auto"/>
                <w:szCs w:val="21"/>
              </w:rPr>
              <w:t>【注：指近3年</w:t>
            </w:r>
            <w:r>
              <w:rPr>
                <w:rFonts w:hint="eastAsia"/>
                <w:b/>
                <w:color w:val="auto"/>
                <w:szCs w:val="21"/>
              </w:rPr>
              <w:t>发生的诉讼及仲裁情况</w:t>
            </w:r>
            <w:r>
              <w:rPr>
                <w:rFonts w:hint="eastAsia" w:asciiTheme="minorEastAsia" w:hAnsiTheme="minor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3.6.1</w:t>
            </w:r>
          </w:p>
        </w:tc>
        <w:tc>
          <w:tcPr>
            <w:tcW w:w="2041" w:type="dxa"/>
            <w:vAlign w:val="center"/>
          </w:tcPr>
          <w:p>
            <w:pPr>
              <w:widowControl/>
              <w:spacing w:line="360" w:lineRule="auto"/>
              <w:jc w:val="center"/>
              <w:rPr>
                <w:color w:val="auto"/>
                <w:szCs w:val="21"/>
              </w:rPr>
            </w:pPr>
            <w:r>
              <w:rPr>
                <w:rFonts w:hint="eastAsia"/>
                <w:color w:val="auto"/>
                <w:szCs w:val="21"/>
              </w:rPr>
              <w:t>是否允许递交备选投标方案</w:t>
            </w:r>
          </w:p>
        </w:tc>
        <w:tc>
          <w:tcPr>
            <w:tcW w:w="5670" w:type="dxa"/>
          </w:tcPr>
          <w:p>
            <w:pPr>
              <w:widowControl/>
              <w:spacing w:line="360" w:lineRule="auto"/>
              <w:rPr>
                <w:color w:val="auto"/>
                <w:szCs w:val="21"/>
              </w:rPr>
            </w:pPr>
            <w:r>
              <w:rPr>
                <w:rFonts w:hint="eastAsia"/>
                <w:color w:val="auto"/>
                <w:szCs w:val="21"/>
              </w:rPr>
              <w:t>□不允许</w:t>
            </w:r>
          </w:p>
          <w:p>
            <w:pPr>
              <w:widowControl/>
              <w:spacing w:line="360" w:lineRule="auto"/>
              <w:rPr>
                <w:color w:val="auto"/>
                <w:szCs w:val="21"/>
              </w:rPr>
            </w:pPr>
            <w:r>
              <w:rPr>
                <w:rFonts w:hint="eastAsia"/>
                <w:color w:val="auto"/>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trPr>
        <w:tc>
          <w:tcPr>
            <w:tcW w:w="1078" w:type="dxa"/>
            <w:vAlign w:val="center"/>
          </w:tcPr>
          <w:p>
            <w:pPr>
              <w:widowControl/>
              <w:spacing w:line="360" w:lineRule="auto"/>
              <w:jc w:val="center"/>
              <w:rPr>
                <w:color w:val="auto"/>
                <w:szCs w:val="21"/>
              </w:rPr>
            </w:pPr>
            <w:r>
              <w:rPr>
                <w:rFonts w:hint="eastAsia"/>
                <w:color w:val="auto"/>
                <w:szCs w:val="21"/>
              </w:rPr>
              <w:t>3.7.3</w:t>
            </w:r>
          </w:p>
        </w:tc>
        <w:tc>
          <w:tcPr>
            <w:tcW w:w="2041" w:type="dxa"/>
            <w:vAlign w:val="center"/>
          </w:tcPr>
          <w:p>
            <w:pPr>
              <w:widowControl/>
              <w:spacing w:line="360" w:lineRule="auto"/>
              <w:jc w:val="center"/>
              <w:rPr>
                <w:color w:val="auto"/>
                <w:szCs w:val="21"/>
              </w:rPr>
            </w:pPr>
            <w:r>
              <w:rPr>
                <w:rFonts w:hint="eastAsia"/>
                <w:color w:val="auto"/>
                <w:szCs w:val="21"/>
              </w:rPr>
              <w:t>投标文件所附证书证件要求</w:t>
            </w:r>
          </w:p>
        </w:tc>
        <w:tc>
          <w:tcPr>
            <w:tcW w:w="5670" w:type="dxa"/>
          </w:tcPr>
          <w:p>
            <w:pPr>
              <w:widowControl/>
              <w:spacing w:line="360" w:lineRule="auto"/>
              <w:rPr>
                <w:color w:val="auto"/>
                <w:szCs w:val="21"/>
              </w:rPr>
            </w:pPr>
            <w:r>
              <w:rPr>
                <w:rFonts w:hint="eastAsia"/>
                <w:color w:val="auto"/>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rFonts w:hint="eastAsia"/>
                <w:color w:val="auto"/>
                <w:szCs w:val="21"/>
              </w:rPr>
              <w:t>3.7.3</w:t>
            </w:r>
          </w:p>
        </w:tc>
        <w:tc>
          <w:tcPr>
            <w:tcW w:w="2041" w:type="dxa"/>
            <w:vAlign w:val="center"/>
          </w:tcPr>
          <w:p>
            <w:pPr>
              <w:widowControl/>
              <w:spacing w:line="360" w:lineRule="auto"/>
              <w:jc w:val="center"/>
              <w:rPr>
                <w:color w:val="auto"/>
                <w:szCs w:val="21"/>
              </w:rPr>
            </w:pPr>
            <w:r>
              <w:rPr>
                <w:rFonts w:hint="eastAsia"/>
                <w:color w:val="auto"/>
                <w:szCs w:val="21"/>
              </w:rPr>
              <w:t>投标文件签字或盖章要求</w:t>
            </w:r>
          </w:p>
        </w:tc>
        <w:tc>
          <w:tcPr>
            <w:tcW w:w="5670" w:type="dxa"/>
          </w:tcPr>
          <w:p>
            <w:pPr>
              <w:widowControl/>
              <w:spacing w:line="360" w:lineRule="auto"/>
              <w:rPr>
                <w:color w:val="auto"/>
                <w:szCs w:val="21"/>
              </w:rPr>
            </w:pPr>
            <w:r>
              <w:rPr>
                <w:rFonts w:hint="eastAsia"/>
                <w:color w:val="auto"/>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rFonts w:hint="eastAsia"/>
                <w:color w:val="auto"/>
                <w:szCs w:val="21"/>
              </w:rPr>
              <w:t>4.1.1</w:t>
            </w:r>
          </w:p>
        </w:tc>
        <w:tc>
          <w:tcPr>
            <w:tcW w:w="2041" w:type="dxa"/>
            <w:vAlign w:val="center"/>
          </w:tcPr>
          <w:p>
            <w:pPr>
              <w:widowControl/>
              <w:spacing w:line="360" w:lineRule="auto"/>
              <w:jc w:val="center"/>
              <w:rPr>
                <w:color w:val="auto"/>
                <w:szCs w:val="21"/>
              </w:rPr>
            </w:pPr>
            <w:r>
              <w:rPr>
                <w:rFonts w:hint="eastAsia"/>
                <w:color w:val="auto"/>
                <w:szCs w:val="21"/>
              </w:rPr>
              <w:t>投标文件加密要求</w:t>
            </w:r>
          </w:p>
        </w:tc>
        <w:tc>
          <w:tcPr>
            <w:tcW w:w="5670" w:type="dxa"/>
          </w:tcPr>
          <w:p>
            <w:pPr>
              <w:widowControl/>
              <w:spacing w:line="360" w:lineRule="auto"/>
              <w:rPr>
                <w:rFonts w:asciiTheme="minorEastAsia" w:hAnsiTheme="minorEastAsia"/>
                <w:color w:val="auto"/>
                <w:szCs w:val="21"/>
              </w:rPr>
            </w:pPr>
            <w:r>
              <w:rPr>
                <w:rFonts w:hint="eastAsia" w:asciiTheme="minorEastAsia" w:hAnsiTheme="minorEastAsia"/>
                <w:color w:val="auto"/>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color w:val="auto"/>
                <w:szCs w:val="21"/>
              </w:rPr>
              <w:t>签字、盖章、文件</w:t>
            </w:r>
            <w:r>
              <w:rPr>
                <w:rFonts w:hint="eastAsia" w:asciiTheme="minorEastAsia" w:hAnsiTheme="minorEastAsia"/>
                <w:color w:val="auto"/>
                <w:szCs w:val="21"/>
              </w:rPr>
              <w:t>加密。</w:t>
            </w:r>
          </w:p>
          <w:p>
            <w:pPr>
              <w:widowControl/>
              <w:spacing w:line="360" w:lineRule="auto"/>
              <w:rPr>
                <w:color w:val="auto"/>
                <w:szCs w:val="21"/>
              </w:rPr>
            </w:pPr>
            <w:r>
              <w:rPr>
                <w:rFonts w:hint="eastAsia" w:asciiTheme="minorEastAsia" w:hAnsiTheme="minorEastAsia"/>
                <w:color w:val="auto"/>
                <w:szCs w:val="21"/>
              </w:rPr>
              <w:t>有关电子投标文件编制等软件的使用详见电子招标投标交易平台的相关使用说明或电话咨询（联系电话：__________，下同）。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4.1.2</w:t>
            </w:r>
          </w:p>
        </w:tc>
        <w:tc>
          <w:tcPr>
            <w:tcW w:w="2041" w:type="dxa"/>
            <w:vAlign w:val="center"/>
          </w:tcPr>
          <w:p>
            <w:pPr>
              <w:widowControl/>
              <w:spacing w:line="360" w:lineRule="auto"/>
              <w:jc w:val="center"/>
              <w:rPr>
                <w:color w:val="auto"/>
                <w:szCs w:val="21"/>
              </w:rPr>
            </w:pPr>
            <w:r>
              <w:rPr>
                <w:rFonts w:hint="eastAsia"/>
                <w:color w:val="auto"/>
                <w:szCs w:val="21"/>
              </w:rPr>
              <w:t>封套上应载明的信息</w:t>
            </w:r>
          </w:p>
        </w:tc>
        <w:tc>
          <w:tcPr>
            <w:tcW w:w="5670" w:type="dxa"/>
          </w:tcPr>
          <w:p>
            <w:pPr>
              <w:widowControl/>
              <w:spacing w:line="360" w:lineRule="auto"/>
              <w:rPr>
                <w:color w:val="auto"/>
                <w:szCs w:val="21"/>
              </w:rPr>
            </w:pPr>
            <w:r>
              <w:rPr>
                <w:rFonts w:hint="eastAsia"/>
                <w:color w:val="auto"/>
                <w:szCs w:val="21"/>
              </w:rPr>
              <w:t>招标人名称：</w:t>
            </w:r>
          </w:p>
          <w:p>
            <w:pPr>
              <w:widowControl/>
              <w:spacing w:line="360" w:lineRule="auto"/>
              <w:rPr>
                <w:color w:val="auto"/>
                <w:szCs w:val="21"/>
              </w:rPr>
            </w:pPr>
            <w:r>
              <w:rPr>
                <w:rFonts w:hint="eastAsia"/>
                <w:color w:val="auto"/>
                <w:szCs w:val="21"/>
              </w:rPr>
              <w:t>招标人地址：</w:t>
            </w:r>
          </w:p>
          <w:p>
            <w:pPr>
              <w:widowControl/>
              <w:spacing w:line="360" w:lineRule="auto"/>
              <w:rPr>
                <w:color w:val="auto"/>
                <w:szCs w:val="21"/>
              </w:rPr>
            </w:pPr>
            <w:r>
              <w:rPr>
                <w:rFonts w:hint="eastAsia"/>
                <w:color w:val="auto"/>
                <w:szCs w:val="21"/>
              </w:rPr>
              <w:t>_______（项目名称）设备采购招标项目投标文件</w:t>
            </w:r>
          </w:p>
          <w:p>
            <w:pPr>
              <w:widowControl/>
              <w:spacing w:line="360" w:lineRule="auto"/>
              <w:rPr>
                <w:color w:val="auto"/>
                <w:szCs w:val="21"/>
              </w:rPr>
            </w:pPr>
            <w:r>
              <w:rPr>
                <w:rFonts w:hint="eastAsia"/>
                <w:color w:val="auto"/>
                <w:szCs w:val="21"/>
              </w:rPr>
              <w:t>招标项目编号：</w:t>
            </w:r>
          </w:p>
          <w:p>
            <w:pPr>
              <w:widowControl/>
              <w:spacing w:line="360" w:lineRule="auto"/>
              <w:rPr>
                <w:color w:val="auto"/>
                <w:szCs w:val="21"/>
              </w:rPr>
            </w:pPr>
            <w:r>
              <w:rPr>
                <w:rFonts w:hint="eastAsia"/>
                <w:color w:val="auto"/>
                <w:szCs w:val="21"/>
              </w:rPr>
              <w:t>在_____年_____月____日___时前不得开启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4.2.1</w:t>
            </w:r>
          </w:p>
        </w:tc>
        <w:tc>
          <w:tcPr>
            <w:tcW w:w="2041" w:type="dxa"/>
            <w:vAlign w:val="center"/>
          </w:tcPr>
          <w:p>
            <w:pPr>
              <w:widowControl/>
              <w:spacing w:line="360" w:lineRule="auto"/>
              <w:jc w:val="center"/>
              <w:rPr>
                <w:color w:val="auto"/>
                <w:szCs w:val="21"/>
              </w:rPr>
            </w:pPr>
            <w:r>
              <w:rPr>
                <w:rFonts w:hint="eastAsia"/>
                <w:color w:val="auto"/>
                <w:szCs w:val="21"/>
              </w:rPr>
              <w:t>投标截止时间</w:t>
            </w:r>
          </w:p>
        </w:tc>
        <w:tc>
          <w:tcPr>
            <w:tcW w:w="567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4.2.3</w:t>
            </w:r>
          </w:p>
        </w:tc>
        <w:tc>
          <w:tcPr>
            <w:tcW w:w="2041" w:type="dxa"/>
            <w:vAlign w:val="center"/>
          </w:tcPr>
          <w:p>
            <w:pPr>
              <w:widowControl/>
              <w:spacing w:line="360" w:lineRule="auto"/>
              <w:jc w:val="center"/>
              <w:rPr>
                <w:color w:val="auto"/>
                <w:szCs w:val="21"/>
              </w:rPr>
            </w:pPr>
            <w:r>
              <w:rPr>
                <w:rFonts w:hint="eastAsia"/>
                <w:color w:val="auto"/>
                <w:szCs w:val="21"/>
              </w:rPr>
              <w:t>投标文件是否退还</w:t>
            </w:r>
          </w:p>
        </w:tc>
        <w:tc>
          <w:tcPr>
            <w:tcW w:w="5670" w:type="dxa"/>
          </w:tcPr>
          <w:p>
            <w:pPr>
              <w:widowControl/>
              <w:spacing w:line="360" w:lineRule="auto"/>
              <w:rPr>
                <w:color w:val="auto"/>
                <w:szCs w:val="21"/>
              </w:rPr>
            </w:pPr>
            <w:r>
              <w:rPr>
                <w:rFonts w:hint="eastAsia"/>
                <w:color w:val="auto"/>
                <w:szCs w:val="21"/>
              </w:rPr>
              <w:t>□否</w:t>
            </w:r>
          </w:p>
          <w:p>
            <w:pPr>
              <w:widowControl/>
              <w:spacing w:line="360" w:lineRule="auto"/>
              <w:rPr>
                <w:color w:val="auto"/>
                <w:szCs w:val="21"/>
              </w:rPr>
            </w:pPr>
            <w:r>
              <w:rPr>
                <w:rFonts w:hint="eastAsia"/>
                <w:color w:val="auto"/>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6.1.1</w:t>
            </w:r>
          </w:p>
        </w:tc>
        <w:tc>
          <w:tcPr>
            <w:tcW w:w="2041" w:type="dxa"/>
            <w:vAlign w:val="center"/>
          </w:tcPr>
          <w:p>
            <w:pPr>
              <w:widowControl/>
              <w:spacing w:line="360" w:lineRule="auto"/>
              <w:jc w:val="center"/>
              <w:rPr>
                <w:color w:val="auto"/>
                <w:szCs w:val="21"/>
              </w:rPr>
            </w:pPr>
            <w:r>
              <w:rPr>
                <w:rFonts w:hint="eastAsia"/>
                <w:color w:val="auto"/>
                <w:szCs w:val="21"/>
              </w:rPr>
              <w:t>评标委员会的组建</w:t>
            </w:r>
          </w:p>
        </w:tc>
        <w:tc>
          <w:tcPr>
            <w:tcW w:w="5670" w:type="dxa"/>
          </w:tcPr>
          <w:p>
            <w:pPr>
              <w:widowControl/>
              <w:spacing w:line="360" w:lineRule="auto"/>
              <w:rPr>
                <w:color w:val="auto"/>
                <w:szCs w:val="21"/>
              </w:rPr>
            </w:pPr>
            <w:r>
              <w:rPr>
                <w:rFonts w:hint="eastAsia"/>
                <w:color w:val="auto"/>
                <w:szCs w:val="21"/>
              </w:rPr>
              <w:t>评标委员会构成：_______人</w:t>
            </w:r>
          </w:p>
          <w:p>
            <w:pPr>
              <w:widowControl/>
              <w:spacing w:line="360" w:lineRule="auto"/>
              <w:rPr>
                <w:color w:val="auto"/>
                <w:szCs w:val="21"/>
              </w:rPr>
            </w:pPr>
            <w:r>
              <w:rPr>
                <w:rFonts w:hint="eastAsia"/>
                <w:color w:val="auto"/>
                <w:szCs w:val="21"/>
              </w:rPr>
              <w:t>其中招标人代表_____人，专家_____人；</w:t>
            </w:r>
          </w:p>
          <w:p>
            <w:pPr>
              <w:widowControl/>
              <w:spacing w:line="360" w:lineRule="auto"/>
              <w:rPr>
                <w:color w:val="auto"/>
                <w:szCs w:val="21"/>
              </w:rPr>
            </w:pPr>
            <w:r>
              <w:rPr>
                <w:rFonts w:hint="eastAsia"/>
                <w:color w:val="auto"/>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6.3.2</w:t>
            </w:r>
          </w:p>
        </w:tc>
        <w:tc>
          <w:tcPr>
            <w:tcW w:w="2041" w:type="dxa"/>
            <w:vAlign w:val="center"/>
          </w:tcPr>
          <w:p>
            <w:pPr>
              <w:widowControl/>
              <w:spacing w:line="360" w:lineRule="auto"/>
              <w:jc w:val="center"/>
              <w:rPr>
                <w:color w:val="auto"/>
                <w:szCs w:val="21"/>
              </w:rPr>
            </w:pPr>
            <w:r>
              <w:rPr>
                <w:rFonts w:hint="eastAsia"/>
                <w:color w:val="auto"/>
                <w:szCs w:val="21"/>
              </w:rPr>
              <w:t>评标委员会推荐中标候选人的人数</w:t>
            </w:r>
          </w:p>
        </w:tc>
        <w:tc>
          <w:tcPr>
            <w:tcW w:w="567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7.1</w:t>
            </w:r>
          </w:p>
        </w:tc>
        <w:tc>
          <w:tcPr>
            <w:tcW w:w="2041" w:type="dxa"/>
            <w:vAlign w:val="center"/>
          </w:tcPr>
          <w:p>
            <w:pPr>
              <w:widowControl/>
              <w:spacing w:line="360" w:lineRule="auto"/>
              <w:jc w:val="center"/>
              <w:rPr>
                <w:color w:val="auto"/>
                <w:szCs w:val="21"/>
              </w:rPr>
            </w:pPr>
            <w:r>
              <w:rPr>
                <w:rFonts w:hint="eastAsia"/>
                <w:color w:val="auto"/>
                <w:szCs w:val="21"/>
              </w:rPr>
              <w:t>中标候选人公示媒介及期限</w:t>
            </w:r>
          </w:p>
        </w:tc>
        <w:tc>
          <w:tcPr>
            <w:tcW w:w="5670" w:type="dxa"/>
          </w:tcPr>
          <w:p>
            <w:pPr>
              <w:widowControl/>
              <w:spacing w:line="360" w:lineRule="auto"/>
              <w:rPr>
                <w:color w:val="auto"/>
                <w:szCs w:val="21"/>
              </w:rPr>
            </w:pPr>
            <w:r>
              <w:rPr>
                <w:rFonts w:hint="eastAsia"/>
                <w:color w:val="auto"/>
                <w:szCs w:val="21"/>
              </w:rPr>
              <w:t>公示媒介：</w:t>
            </w:r>
          </w:p>
          <w:p>
            <w:pPr>
              <w:widowControl/>
              <w:spacing w:line="360" w:lineRule="auto"/>
              <w:rPr>
                <w:color w:val="auto"/>
                <w:szCs w:val="21"/>
              </w:rPr>
            </w:pPr>
            <w:r>
              <w:rPr>
                <w:rFonts w:hint="eastAsia"/>
                <w:color w:val="auto"/>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7.4</w:t>
            </w:r>
          </w:p>
        </w:tc>
        <w:tc>
          <w:tcPr>
            <w:tcW w:w="2041" w:type="dxa"/>
            <w:vAlign w:val="center"/>
          </w:tcPr>
          <w:p>
            <w:pPr>
              <w:widowControl/>
              <w:spacing w:line="360" w:lineRule="auto"/>
              <w:jc w:val="center"/>
              <w:rPr>
                <w:color w:val="auto"/>
                <w:szCs w:val="21"/>
              </w:rPr>
            </w:pPr>
            <w:r>
              <w:rPr>
                <w:rFonts w:hint="eastAsia"/>
                <w:color w:val="auto"/>
                <w:szCs w:val="21"/>
              </w:rPr>
              <w:t>是否授权评标委员会确定中标人</w:t>
            </w:r>
          </w:p>
        </w:tc>
        <w:tc>
          <w:tcPr>
            <w:tcW w:w="5670" w:type="dxa"/>
          </w:tcPr>
          <w:p>
            <w:pPr>
              <w:widowControl/>
              <w:spacing w:line="360" w:lineRule="auto"/>
              <w:rPr>
                <w:color w:val="auto"/>
                <w:szCs w:val="21"/>
              </w:rPr>
            </w:pPr>
            <w:r>
              <w:rPr>
                <w:rFonts w:hint="eastAsia"/>
                <w:color w:val="auto"/>
                <w:szCs w:val="21"/>
              </w:rPr>
              <w:t>□是</w:t>
            </w:r>
          </w:p>
          <w:p>
            <w:pPr>
              <w:widowControl/>
              <w:spacing w:line="360" w:lineRule="auto"/>
              <w:rPr>
                <w:color w:val="auto"/>
                <w:szCs w:val="21"/>
              </w:rPr>
            </w:pPr>
            <w:r>
              <w:rPr>
                <w:rFonts w:hint="eastAsia"/>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color w:val="auto"/>
                <w:szCs w:val="21"/>
              </w:rPr>
              <w:t>7.6.1</w:t>
            </w:r>
          </w:p>
        </w:tc>
        <w:tc>
          <w:tcPr>
            <w:tcW w:w="2041" w:type="dxa"/>
            <w:vAlign w:val="center"/>
          </w:tcPr>
          <w:p>
            <w:pPr>
              <w:widowControl/>
              <w:spacing w:line="360" w:lineRule="auto"/>
              <w:jc w:val="center"/>
              <w:rPr>
                <w:color w:val="auto"/>
                <w:szCs w:val="21"/>
              </w:rPr>
            </w:pPr>
            <w:r>
              <w:rPr>
                <w:rFonts w:hint="eastAsia"/>
                <w:color w:val="auto"/>
                <w:szCs w:val="21"/>
              </w:rPr>
              <w:t>履约保证金</w:t>
            </w:r>
          </w:p>
        </w:tc>
        <w:tc>
          <w:tcPr>
            <w:tcW w:w="5670" w:type="dxa"/>
          </w:tcPr>
          <w:p>
            <w:pPr>
              <w:widowControl/>
              <w:spacing w:line="360" w:lineRule="auto"/>
              <w:rPr>
                <w:color w:val="auto"/>
                <w:szCs w:val="21"/>
              </w:rPr>
            </w:pPr>
            <w:r>
              <w:rPr>
                <w:rFonts w:hint="eastAsia"/>
                <w:color w:val="auto"/>
                <w:szCs w:val="21"/>
              </w:rPr>
              <w:t>是否要求中标人提交履约保证金：</w:t>
            </w:r>
          </w:p>
          <w:p>
            <w:pPr>
              <w:widowControl/>
              <w:spacing w:line="360" w:lineRule="auto"/>
              <w:rPr>
                <w:color w:val="auto"/>
                <w:szCs w:val="21"/>
              </w:rPr>
            </w:pPr>
            <w:r>
              <w:rPr>
                <w:rFonts w:hint="eastAsia"/>
                <w:color w:val="auto"/>
                <w:szCs w:val="21"/>
              </w:rPr>
              <w:t>□要求，履约保证金的形式：</w:t>
            </w:r>
          </w:p>
          <w:p>
            <w:pPr>
              <w:widowControl/>
              <w:spacing w:line="360" w:lineRule="auto"/>
              <w:ind w:firstLine="840" w:firstLineChars="400"/>
              <w:rPr>
                <w:color w:val="auto"/>
                <w:szCs w:val="21"/>
              </w:rPr>
            </w:pPr>
            <w:r>
              <w:rPr>
                <w:rFonts w:hint="eastAsia"/>
                <w:color w:val="auto"/>
                <w:szCs w:val="21"/>
              </w:rPr>
              <w:t>履约保证金的金额：</w:t>
            </w:r>
          </w:p>
          <w:p>
            <w:pPr>
              <w:widowControl/>
              <w:spacing w:line="360" w:lineRule="auto"/>
              <w:rPr>
                <w:color w:val="auto"/>
                <w:szCs w:val="21"/>
              </w:rPr>
            </w:pPr>
            <w:r>
              <w:rPr>
                <w:rFonts w:hint="eastAsia"/>
                <w:color w:val="auto"/>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078" w:type="dxa"/>
            <w:vAlign w:val="center"/>
          </w:tcPr>
          <w:p>
            <w:pPr>
              <w:widowControl/>
              <w:spacing w:line="360" w:lineRule="auto"/>
              <w:jc w:val="center"/>
              <w:rPr>
                <w:color w:val="auto"/>
                <w:szCs w:val="21"/>
              </w:rPr>
            </w:pPr>
            <w:r>
              <w:rPr>
                <w:rFonts w:hint="eastAsia"/>
                <w:color w:val="auto"/>
                <w:szCs w:val="21"/>
              </w:rPr>
              <w:t>9</w:t>
            </w:r>
          </w:p>
        </w:tc>
        <w:tc>
          <w:tcPr>
            <w:tcW w:w="2041" w:type="dxa"/>
            <w:vAlign w:val="center"/>
          </w:tcPr>
          <w:p>
            <w:pPr>
              <w:widowControl/>
              <w:spacing w:line="360" w:lineRule="auto"/>
              <w:jc w:val="center"/>
              <w:rPr>
                <w:color w:val="auto"/>
                <w:szCs w:val="21"/>
              </w:rPr>
            </w:pPr>
            <w:r>
              <w:rPr>
                <w:rFonts w:hint="eastAsia"/>
                <w:color w:val="auto"/>
                <w:szCs w:val="21"/>
              </w:rPr>
              <w:t>需要补充的其他内容</w:t>
            </w:r>
          </w:p>
        </w:tc>
        <w:tc>
          <w:tcPr>
            <w:tcW w:w="5670" w:type="dxa"/>
          </w:tcPr>
          <w:p>
            <w:pPr>
              <w:widowControl/>
              <w:spacing w:line="360" w:lineRule="auto"/>
              <w:rPr>
                <w:b/>
                <w:color w:val="auto"/>
                <w:szCs w:val="21"/>
              </w:rPr>
            </w:pPr>
            <w:r>
              <w:rPr>
                <w:rFonts w:hint="eastAsia"/>
                <w:b/>
                <w:color w:val="auto"/>
                <w:szCs w:val="21"/>
              </w:rPr>
              <w:t>（</w:t>
            </w:r>
            <w:r>
              <w:rPr>
                <w:b/>
                <w:color w:val="auto"/>
                <w:szCs w:val="21"/>
              </w:rPr>
              <w:t>1</w:t>
            </w:r>
            <w:r>
              <w:rPr>
                <w:rFonts w:hint="eastAsia"/>
                <w:b/>
                <w:color w:val="auto"/>
                <w:szCs w:val="21"/>
              </w:rPr>
              <w:t>）本招标项目开评标程序：</w:t>
            </w:r>
            <w:r>
              <w:rPr>
                <w:rFonts w:hint="eastAsia" w:asciiTheme="minorEastAsia" w:hAnsiTheme="minorEastAsia"/>
                <w:b/>
                <w:color w:val="auto"/>
                <w:szCs w:val="21"/>
              </w:rPr>
              <w:t>①</w:t>
            </w:r>
            <w:r>
              <w:rPr>
                <w:rFonts w:hint="eastAsia"/>
                <w:b/>
                <w:color w:val="auto"/>
                <w:szCs w:val="21"/>
              </w:rPr>
              <w:t>截标、</w:t>
            </w:r>
            <w:r>
              <w:rPr>
                <w:rFonts w:hint="eastAsia" w:asciiTheme="minorEastAsia" w:hAnsiTheme="minorEastAsia"/>
                <w:b/>
                <w:color w:val="auto"/>
                <w:szCs w:val="21"/>
              </w:rPr>
              <w:t>②开标</w:t>
            </w:r>
            <w:r>
              <w:rPr>
                <w:rFonts w:hint="eastAsia"/>
                <w:b/>
                <w:color w:val="auto"/>
                <w:szCs w:val="21"/>
              </w:rPr>
              <w:t>、</w:t>
            </w:r>
            <w:r>
              <w:rPr>
                <w:rFonts w:hint="eastAsia" w:asciiTheme="minorEastAsia" w:hAnsiTheme="minorEastAsia"/>
                <w:b/>
                <w:color w:val="auto"/>
                <w:szCs w:val="21"/>
              </w:rPr>
              <w:t>③</w:t>
            </w:r>
            <w:r>
              <w:rPr>
                <w:rFonts w:hint="eastAsia"/>
                <w:b/>
                <w:color w:val="auto"/>
                <w:szCs w:val="21"/>
              </w:rPr>
              <w:t>确定评标基准价、</w:t>
            </w:r>
            <w:r>
              <w:rPr>
                <w:rFonts w:hint="eastAsia" w:asciiTheme="minorEastAsia" w:hAnsiTheme="minorEastAsia"/>
                <w:b/>
                <w:color w:val="auto"/>
                <w:szCs w:val="21"/>
              </w:rPr>
              <w:t>④</w:t>
            </w:r>
            <w:r>
              <w:rPr>
                <w:rFonts w:hint="eastAsia"/>
                <w:b/>
                <w:color w:val="auto"/>
                <w:szCs w:val="21"/>
              </w:rPr>
              <w:t>初步评审、</w:t>
            </w:r>
            <w:r>
              <w:rPr>
                <w:rFonts w:hint="eastAsia" w:asciiTheme="minorEastAsia" w:hAnsiTheme="minorEastAsia"/>
                <w:b/>
                <w:color w:val="auto"/>
                <w:szCs w:val="21"/>
              </w:rPr>
              <w:t>⑤</w:t>
            </w:r>
            <w:r>
              <w:rPr>
                <w:rFonts w:hint="eastAsia"/>
                <w:b/>
                <w:color w:val="auto"/>
                <w:szCs w:val="21"/>
              </w:rPr>
              <w:t>详细评审、</w:t>
            </w:r>
            <w:r>
              <w:rPr>
                <w:rFonts w:hint="eastAsia" w:asciiTheme="minorEastAsia" w:hAnsiTheme="minorEastAsia"/>
                <w:b/>
                <w:color w:val="auto"/>
                <w:szCs w:val="21"/>
              </w:rPr>
              <w:t>⑥</w:t>
            </w:r>
            <w:r>
              <w:rPr>
                <w:rFonts w:hint="eastAsia"/>
                <w:b/>
                <w:color w:val="auto"/>
                <w:szCs w:val="21"/>
              </w:rPr>
              <w:t>投标文件的澄清、</w:t>
            </w:r>
            <w:r>
              <w:rPr>
                <w:rFonts w:hint="eastAsia" w:asciiTheme="minorEastAsia" w:hAnsiTheme="minorEastAsia"/>
                <w:b/>
                <w:color w:val="auto"/>
                <w:szCs w:val="21"/>
              </w:rPr>
              <w:t>⑦</w:t>
            </w:r>
            <w:r>
              <w:rPr>
                <w:rFonts w:hint="eastAsia"/>
                <w:b/>
                <w:color w:val="auto"/>
                <w:szCs w:val="21"/>
              </w:rPr>
              <w:t>评标结果。</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2）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其投标视为无效的除外），且完成解密的投标人达到3家及以上的，方可公布除投标人名称以外的其他有关投标人的具体投标信息。</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（3）投标人应在开始解密时间起半个小时内在线进行电子投标文件的解密操作，因投标人原因未在规定时间内解密，其投标视为无效。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4）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水利交易平台”做好招投标资料的封存和保密工作，待故障解除后再重新进行开标或重新组建评标委员会进行评标。</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（5）投标文件解密失败的补救方案：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①若为投标人设备故障或网络故障，则投标人自行更换设备或解决网络问题，投标文件解密失败经补救，仍不成功的，视为撤销其投标文件，开标继续进行；</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②）若为招标人原因导致无法正常解密，则由招标人及时提出解决方案；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（6）通过评审合格的投标人少于3家（不含3家），评标委员会认为投标明显缺乏竞争的，可以否决全部投标。</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（7）中标候选人公示应严格按有关规定执行。涉及业绩的，应公示类似的工程业绩及其评审情况。</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7）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color w:val="auto"/>
                <w:szCs w:val="21"/>
              </w:rPr>
            </w:pPr>
            <w:r>
              <w:rPr>
                <w:rFonts w:hint="eastAsia"/>
                <w:color w:val="auto"/>
                <w:kern w:val="0"/>
                <w:szCs w:val="21"/>
              </w:rPr>
              <w:t>（</w:t>
            </w:r>
            <w:r>
              <w:rPr>
                <w:rFonts w:hint="eastAsia" w:asciiTheme="minorEastAsia" w:hAnsiTheme="minorEastAsia"/>
                <w:color w:val="auto"/>
                <w:kern w:val="0"/>
                <w:szCs w:val="21"/>
              </w:rPr>
              <w:t>9）</w:t>
            </w:r>
            <w:r>
              <w:rPr>
                <w:rFonts w:hint="eastAsia"/>
                <w:color w:val="auto"/>
                <w:kern w:val="0"/>
                <w:szCs w:val="21"/>
              </w:rPr>
              <w:t>其他：</w:t>
            </w:r>
          </w:p>
        </w:tc>
      </w:tr>
    </w:tbl>
    <w:p>
      <w:pPr>
        <w:rPr>
          <w:color w:val="auto"/>
        </w:rPr>
      </w:pPr>
      <w:bookmarkStart w:id="84" w:name="_Toc511635725"/>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85" w:name="_Toc516816056"/>
      <w:bookmarkStart w:id="86" w:name="_Toc516816245"/>
      <w:bookmarkStart w:id="87" w:name="_Toc515441052"/>
      <w:r>
        <w:rPr>
          <w:rFonts w:hint="eastAsia" w:asciiTheme="majorEastAsia" w:hAnsiTheme="majorEastAsia" w:eastAsiaTheme="majorEastAsia" w:cstheme="minorBidi"/>
          <w:bCs w:val="0"/>
          <w:color w:val="auto"/>
          <w:sz w:val="28"/>
          <w:szCs w:val="28"/>
        </w:rPr>
        <w:t>1. 总则</w:t>
      </w:r>
      <w:bookmarkEnd w:id="84"/>
      <w:bookmarkEnd w:id="85"/>
      <w:bookmarkEnd w:id="86"/>
      <w:bookmarkEnd w:id="87"/>
    </w:p>
    <w:p>
      <w:pPr>
        <w:pStyle w:val="4"/>
        <w:rPr>
          <w:color w:val="auto"/>
        </w:rPr>
      </w:pPr>
      <w:bookmarkStart w:id="88" w:name="_Toc516816057"/>
      <w:bookmarkStart w:id="89" w:name="_Toc515441053"/>
      <w:bookmarkStart w:id="90" w:name="_Toc516816246"/>
      <w:bookmarkStart w:id="91" w:name="_Toc511635726"/>
      <w:r>
        <w:rPr>
          <w:rFonts w:hint="eastAsia"/>
          <w:color w:val="auto"/>
        </w:rPr>
        <w:t>1.1 招标项目概况</w:t>
      </w:r>
      <w:bookmarkEnd w:id="88"/>
      <w:bookmarkEnd w:id="89"/>
      <w:bookmarkEnd w:id="90"/>
      <w:bookmarkEnd w:id="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 根据《中华人民共和国招标投标法》、《中华人民共和国招标投标法实施条例》等有关法律、法规和规章的规定，本招标项目已具备招标条件，现对标段施工进行招标。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1.1.2 </w:t>
      </w:r>
      <w:r>
        <w:rPr>
          <w:rFonts w:hint="eastAsia" w:ascii="宋体" w:hAnsi="宋体" w:eastAsia="宋体" w:cs="Times New Roman"/>
          <w:color w:val="auto"/>
          <w:szCs w:val="21"/>
        </w:rPr>
        <w:t>本招标项目</w:t>
      </w:r>
      <w:r>
        <w:rPr>
          <w:rFonts w:hint="eastAsia" w:asciiTheme="minorEastAsia" w:hAnsiTheme="minorEastAsia"/>
          <w:color w:val="auto"/>
          <w:szCs w:val="21"/>
        </w:rPr>
        <w:t>招标人：见投标人须知前附表。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1.1.3 </w:t>
      </w:r>
      <w:r>
        <w:rPr>
          <w:rFonts w:hint="eastAsia" w:ascii="宋体" w:hAnsi="宋体" w:eastAsia="宋体" w:cs="Times New Roman"/>
          <w:color w:val="auto"/>
          <w:szCs w:val="21"/>
        </w:rPr>
        <w:t>本标段</w:t>
      </w:r>
      <w:r>
        <w:rPr>
          <w:rFonts w:hint="eastAsia" w:asciiTheme="minorEastAsia" w:hAnsiTheme="minorEastAsia"/>
          <w:color w:val="auto"/>
          <w:szCs w:val="21"/>
        </w:rPr>
        <w:t>招标代理机构：见投标人须知前附表。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1.1.4 </w:t>
      </w:r>
      <w:r>
        <w:rPr>
          <w:rFonts w:hint="eastAsia" w:ascii="宋体" w:hAnsi="宋体" w:eastAsia="宋体" w:cs="Times New Roman"/>
          <w:color w:val="auto"/>
          <w:szCs w:val="21"/>
        </w:rPr>
        <w:t>本招标项目</w:t>
      </w:r>
      <w:r>
        <w:rPr>
          <w:rFonts w:hint="eastAsia" w:asciiTheme="minorEastAsia" w:hAnsiTheme="minorEastAsia"/>
          <w:color w:val="auto"/>
          <w:szCs w:val="21"/>
        </w:rPr>
        <w:t>名称：见投标人须知前附表。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 本标段建设地点：见投标人须知前附表。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宋体" w:hAnsi="宋体" w:eastAsia="宋体" w:cs="Times New Roman"/>
          <w:color w:val="auto"/>
          <w:szCs w:val="21"/>
        </w:rPr>
        <w:t xml:space="preserve">1.1.6 </w:t>
      </w:r>
      <w:r>
        <w:rPr>
          <w:rFonts w:hint="eastAsia" w:asciiTheme="minorEastAsia" w:hAnsiTheme="minorEastAsia"/>
          <w:color w:val="auto"/>
          <w:szCs w:val="21"/>
        </w:rPr>
        <w:t>工程项目名称：即本招标项目所属的工程建设项目，见投标人须知前附表。</w:t>
      </w:r>
    </w:p>
    <w:p>
      <w:pPr>
        <w:pStyle w:val="4"/>
        <w:rPr>
          <w:color w:val="auto"/>
        </w:rPr>
      </w:pPr>
      <w:bookmarkStart w:id="92" w:name="_Toc516816247"/>
      <w:bookmarkStart w:id="93" w:name="_Toc515441054"/>
      <w:bookmarkStart w:id="94" w:name="_Toc516816058"/>
      <w:bookmarkStart w:id="95" w:name="_Toc511635727"/>
      <w:r>
        <w:rPr>
          <w:rFonts w:hint="eastAsia"/>
          <w:color w:val="auto"/>
        </w:rPr>
        <w:t>1.2 招标项目的资金来源和落实情况</w:t>
      </w:r>
      <w:bookmarkEnd w:id="92"/>
      <w:bookmarkEnd w:id="93"/>
      <w:bookmarkEnd w:id="94"/>
      <w:bookmarkEnd w:id="9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 资金来源及比例：见投标人须知前附表。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 资金落实情况：见投标人须知前附表。</w:t>
      </w:r>
    </w:p>
    <w:p>
      <w:pPr>
        <w:pStyle w:val="4"/>
        <w:rPr>
          <w:color w:val="auto"/>
        </w:rPr>
      </w:pPr>
      <w:bookmarkStart w:id="96" w:name="_Toc515441055"/>
      <w:bookmarkStart w:id="97" w:name="_Toc511635728"/>
      <w:bookmarkStart w:id="98" w:name="_Toc516816248"/>
      <w:bookmarkStart w:id="99" w:name="_Toc516816059"/>
      <w:r>
        <w:rPr>
          <w:rFonts w:hint="eastAsia"/>
          <w:color w:val="auto"/>
        </w:rPr>
        <w:t>1.3 招标范围、计划工期和质量要求</w:t>
      </w:r>
      <w:bookmarkEnd w:id="96"/>
      <w:bookmarkEnd w:id="97"/>
      <w:bookmarkEnd w:id="98"/>
      <w:bookmarkEnd w:id="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 本次招标范围：见投标人须知前附表。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 本标段的计划工期：见投标人须知前附表。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1.3.3本标段的质量要求：见投标人须知前附表。</w:t>
      </w:r>
    </w:p>
    <w:p>
      <w:pPr>
        <w:pStyle w:val="4"/>
        <w:rPr>
          <w:color w:val="auto"/>
        </w:rPr>
      </w:pPr>
      <w:bookmarkStart w:id="100" w:name="_Toc511635729"/>
      <w:bookmarkStart w:id="101" w:name="_Toc515441056"/>
      <w:bookmarkStart w:id="102" w:name="_Toc516816060"/>
      <w:bookmarkStart w:id="103" w:name="_Toc516816249"/>
      <w:r>
        <w:rPr>
          <w:rFonts w:hint="eastAsia"/>
          <w:color w:val="auto"/>
        </w:rPr>
        <w:t>1.4 投标人资格要求</w:t>
      </w:r>
      <w:bookmarkEnd w:id="100"/>
      <w:bookmarkEnd w:id="101"/>
      <w:bookmarkEnd w:id="102"/>
      <w:bookmarkEnd w:id="10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 投标人应具备承担本标段施工的资质条件、能力和信誉：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（1）资质条件：见投标人须知前附表；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（2）财务要求：见投标人须知前附表；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（3）业绩要求：见投标人须知前附表；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（4）信誉要求：见投标人须知前附表；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（5）项目经理资格：见投标人须知前附表；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（6）其他要求：见投标人须知前附表。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（3）联合体各方不得再以自己名义单独或参加其他联合体在同一标段中投标，否则各相关投标均无效。</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1.4.3 投标人不得存在下列情形之一：</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（1）为招标人不具有独立法人资格的附属机构（单位）；</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（2）与招标人存在利害关系且可能影响招标公正性；</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（3）为本招标项目（标段）的前期准备提供设计或咨询服务，但设计施工总承包的除外；</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（4）与本招标项目（标段）的其他投标人为同一个单位负责人；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（5）与本招标项目（标段）的其他投标人存在控股、管理关系；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（6）为本招标项目（标段）的监理人；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（7）为本招标项目（标段）的代建人；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（8）为本招标项目（标段）的招标代理机构；</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（9）与本招标项目（标段）的监理人或代建人或招标代理机构同为一个法定代表人；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（10）与本招标项目（标段）的监理人或代建人或招标代理机构存在相互控股或参股关系；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（11）被依法暂停或者取消投标资格；</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（12）被责令停产停业、暂扣或者吊销许可证、暂扣或者吊销执照；</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（13）进入清算程序，或被宣告破产，或其他丧失履约能力的情形；</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（14）在最近三年内发生重大施工质量问题的（以相关行业主管部门的行政处罚决定或司法机关出具的有关法律文书为准）；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（15）被工商行政管理机关在全国企业信用信息公示系统中列入严重违法失信企业名单；</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（17）在近三年内投标人或其法定代表人、拟委任的项目负责人有行贿犯罪行为的（以检察机关职务犯罪预防部门出具的查询结果为准）；</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（18）法律法规或投标人须知前附表规定的其他情形。</w:t>
      </w:r>
    </w:p>
    <w:p>
      <w:pPr>
        <w:pStyle w:val="4"/>
        <w:rPr>
          <w:color w:val="auto"/>
        </w:rPr>
      </w:pPr>
      <w:bookmarkStart w:id="104" w:name="_Toc516816061"/>
      <w:bookmarkStart w:id="105" w:name="_Toc511635730"/>
      <w:bookmarkStart w:id="106" w:name="_Toc515441057"/>
      <w:bookmarkStart w:id="107" w:name="_Toc516816250"/>
      <w:r>
        <w:rPr>
          <w:rFonts w:hint="eastAsia"/>
          <w:color w:val="auto"/>
        </w:rPr>
        <w:t>1.5 费用承担</w:t>
      </w:r>
      <w:bookmarkEnd w:id="104"/>
      <w:bookmarkEnd w:id="105"/>
      <w:bookmarkEnd w:id="106"/>
      <w:bookmarkEnd w:id="10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投标人准备和参加投标活动发生的费用自理。</w:t>
      </w:r>
    </w:p>
    <w:p>
      <w:pPr>
        <w:pStyle w:val="4"/>
        <w:rPr>
          <w:color w:val="auto"/>
        </w:rPr>
      </w:pPr>
      <w:bookmarkStart w:id="108" w:name="_Toc516816251"/>
      <w:bookmarkStart w:id="109" w:name="_Toc511635731"/>
      <w:bookmarkStart w:id="110" w:name="_Toc515441058"/>
      <w:bookmarkStart w:id="111" w:name="_Toc516816062"/>
      <w:r>
        <w:rPr>
          <w:rFonts w:hint="eastAsia"/>
          <w:color w:val="auto"/>
        </w:rPr>
        <w:t>1.6 保密</w:t>
      </w:r>
      <w:bookmarkEnd w:id="108"/>
      <w:bookmarkEnd w:id="109"/>
      <w:bookmarkEnd w:id="110"/>
      <w:bookmarkEnd w:id="11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参与招标投标活动的各方应对招标文件和投标文件中的商业和技术等秘密保密，否则应承担相应的法律责任。</w:t>
      </w:r>
    </w:p>
    <w:p>
      <w:pPr>
        <w:pStyle w:val="4"/>
        <w:rPr>
          <w:color w:val="auto"/>
        </w:rPr>
      </w:pPr>
      <w:bookmarkStart w:id="112" w:name="_Toc516816063"/>
      <w:bookmarkStart w:id="113" w:name="_Toc511635732"/>
      <w:bookmarkStart w:id="114" w:name="_Toc516816252"/>
      <w:bookmarkStart w:id="115" w:name="_Toc515441059"/>
      <w:r>
        <w:rPr>
          <w:rFonts w:hint="eastAsia"/>
          <w:color w:val="auto"/>
        </w:rPr>
        <w:t>1.7 语言文字</w:t>
      </w:r>
      <w:bookmarkEnd w:id="112"/>
      <w:bookmarkEnd w:id="113"/>
      <w:bookmarkEnd w:id="114"/>
      <w:bookmarkEnd w:id="11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招标投标文件使用的语言文字为中文。专用术语使用外文的，应附有中文注释。</w:t>
      </w:r>
    </w:p>
    <w:p>
      <w:pPr>
        <w:pStyle w:val="4"/>
        <w:rPr>
          <w:color w:val="auto"/>
        </w:rPr>
      </w:pPr>
      <w:bookmarkStart w:id="116" w:name="_Toc515441060"/>
      <w:bookmarkStart w:id="117" w:name="_Toc516816064"/>
      <w:bookmarkStart w:id="118" w:name="_Toc516816253"/>
      <w:bookmarkStart w:id="119" w:name="_Toc511635733"/>
      <w:r>
        <w:rPr>
          <w:rFonts w:hint="eastAsia"/>
          <w:color w:val="auto"/>
        </w:rPr>
        <w:t>1.8 计量单位</w:t>
      </w:r>
      <w:bookmarkEnd w:id="116"/>
      <w:bookmarkEnd w:id="117"/>
      <w:bookmarkEnd w:id="118"/>
      <w:bookmarkEnd w:id="119"/>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所有计量均采用中华人民共和国法定计量单位。</w:t>
      </w:r>
    </w:p>
    <w:p>
      <w:pPr>
        <w:pStyle w:val="4"/>
        <w:rPr>
          <w:color w:val="auto"/>
        </w:rPr>
      </w:pPr>
      <w:bookmarkStart w:id="120" w:name="_Toc511635734"/>
      <w:bookmarkStart w:id="121" w:name="_Toc515441061"/>
      <w:bookmarkStart w:id="122" w:name="_Toc516816065"/>
      <w:bookmarkStart w:id="123" w:name="_Toc516816254"/>
      <w:r>
        <w:rPr>
          <w:rFonts w:hint="eastAsia"/>
          <w:color w:val="auto"/>
        </w:rPr>
        <w:t>1.9 踏勘现场</w:t>
      </w:r>
      <w:bookmarkEnd w:id="120"/>
      <w:bookmarkEnd w:id="121"/>
      <w:bookmarkEnd w:id="122"/>
      <w:bookmarkEnd w:id="1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1.9.1 投标人须知前附表规定组织踏勘现场的，招标人按投标人须知前附表规定的时间、地点组织投标人踏勘项目现场。部分投标人未按时参加踏勘现场的，不影响踏勘现场的正常进行。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 投标人踏勘现场发生的费用自理。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1.9.3 除招标人的原因外，投标人自行负责在踏勘现场中所发生的人员伤亡和财产损失。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1.9.4 招标人在踏勘现场中介绍的工程场地和相关的周边环境情况，供投标人在编制投标文件时参考，招标人不对投标人据此作出的判断和决策负责。</w:t>
      </w:r>
    </w:p>
    <w:p>
      <w:pPr>
        <w:pStyle w:val="4"/>
        <w:rPr>
          <w:color w:val="auto"/>
        </w:rPr>
      </w:pPr>
      <w:bookmarkStart w:id="124" w:name="_Toc515441062"/>
      <w:bookmarkStart w:id="125" w:name="_Toc511635735"/>
      <w:bookmarkStart w:id="126" w:name="_Toc516816255"/>
      <w:bookmarkStart w:id="127" w:name="_Toc516816066"/>
      <w:r>
        <w:rPr>
          <w:rFonts w:hint="eastAsia"/>
          <w:color w:val="auto"/>
        </w:rPr>
        <w:t>1.10 投标预备会</w:t>
      </w:r>
      <w:bookmarkEnd w:id="124"/>
      <w:bookmarkEnd w:id="125"/>
      <w:bookmarkEnd w:id="126"/>
      <w:bookmarkEnd w:id="1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1.10.3 投标预备会后，招标人将对投标人所提问题的澄清，以投标人须知前附表规定的形式通知所有购买招标文件的投标人。该澄清内容为招标文件的组成部分。</w:t>
      </w:r>
    </w:p>
    <w:p>
      <w:pPr>
        <w:pStyle w:val="4"/>
        <w:rPr>
          <w:color w:val="auto"/>
        </w:rPr>
      </w:pPr>
      <w:bookmarkStart w:id="128" w:name="_Toc516816067"/>
      <w:bookmarkStart w:id="129" w:name="_Toc511635736"/>
      <w:bookmarkStart w:id="130" w:name="_Toc515441063"/>
      <w:bookmarkStart w:id="131" w:name="_Toc516816256"/>
      <w:r>
        <w:rPr>
          <w:rFonts w:hint="eastAsia"/>
          <w:color w:val="auto"/>
        </w:rPr>
        <w:t>1.11 分包</w:t>
      </w:r>
      <w:bookmarkEnd w:id="128"/>
      <w:bookmarkEnd w:id="129"/>
      <w:bookmarkEnd w:id="130"/>
      <w:bookmarkEnd w:id="1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投标人拟在中标后将中标项目的非主体、非关键性施工工作进行分包的，应符合投标人须知前附表规定的分包内容、分包金额和资质要求等限制性条件，除投标人须知前附表规定的非主体、非关键性施工工作外，其他工作不得分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中标人不得向他人转让中标项目，接受分包的人不得再次分包。中标人应当就分包项目向招标人负责，接受分包的人就分包项目承担连带责任。</w:t>
      </w:r>
    </w:p>
    <w:p>
      <w:pPr>
        <w:pStyle w:val="4"/>
        <w:rPr>
          <w:color w:val="auto"/>
        </w:rPr>
      </w:pPr>
      <w:bookmarkStart w:id="132" w:name="_Toc516816257"/>
      <w:bookmarkStart w:id="133" w:name="_Toc511635737"/>
      <w:bookmarkStart w:id="134" w:name="_Toc515441064"/>
      <w:bookmarkStart w:id="135" w:name="_Toc516816068"/>
      <w:r>
        <w:rPr>
          <w:rFonts w:hint="eastAsia"/>
          <w:color w:val="auto"/>
        </w:rPr>
        <w:t>1.12 响应和偏差</w:t>
      </w:r>
      <w:bookmarkEnd w:id="132"/>
      <w:bookmarkEnd w:id="133"/>
      <w:bookmarkEnd w:id="134"/>
      <w:bookmarkEnd w:id="13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投标人应根据招标文件的要求提供工期期限等内容以对招标文件作出响应。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1.12.3 投标人须知前附表允许投标文件偏离招标文件某些要求的，偏差应当符合招标文件规定的偏差范围和幅度。</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36" w:name="_Toc511635738"/>
      <w:bookmarkStart w:id="137" w:name="_Toc516816069"/>
      <w:bookmarkStart w:id="138" w:name="_Toc516816258"/>
      <w:bookmarkStart w:id="139" w:name="_Toc515441065"/>
      <w:r>
        <w:rPr>
          <w:rFonts w:hint="eastAsia" w:asciiTheme="majorEastAsia" w:hAnsiTheme="majorEastAsia" w:eastAsiaTheme="majorEastAsia" w:cstheme="minorBidi"/>
          <w:bCs w:val="0"/>
          <w:color w:val="auto"/>
          <w:sz w:val="28"/>
          <w:szCs w:val="28"/>
        </w:rPr>
        <w:t>2. 招标文件</w:t>
      </w:r>
      <w:bookmarkEnd w:id="136"/>
      <w:bookmarkEnd w:id="137"/>
      <w:bookmarkEnd w:id="138"/>
      <w:bookmarkEnd w:id="139"/>
    </w:p>
    <w:p>
      <w:pPr>
        <w:pStyle w:val="4"/>
        <w:rPr>
          <w:color w:val="auto"/>
        </w:rPr>
      </w:pPr>
      <w:bookmarkStart w:id="140" w:name="_Toc516816259"/>
      <w:bookmarkStart w:id="141" w:name="_Toc515441066"/>
      <w:bookmarkStart w:id="142" w:name="_Toc511635739"/>
      <w:bookmarkStart w:id="143" w:name="_Toc516816070"/>
      <w:r>
        <w:rPr>
          <w:rFonts w:hint="eastAsia"/>
          <w:color w:val="auto"/>
        </w:rPr>
        <w:t>2.1 招标文件的组成</w:t>
      </w:r>
      <w:bookmarkEnd w:id="140"/>
      <w:bookmarkEnd w:id="141"/>
      <w:bookmarkEnd w:id="142"/>
      <w:bookmarkEnd w:id="14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本招标文件包括：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（1）招标公告（或投标邀请书）；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（2）投标人须知；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（3）评标办法；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（4）合同条款及格式；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（6）招标图纸；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（7）技术标准和要求；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（8）投标文件格式；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（9）投标人须知前附表规定的其他资料。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根据本章第1.10款、第2.2款和第2.3款对招标文件所作的澄清、修改，构成招标文件的组成部分。</w:t>
      </w:r>
    </w:p>
    <w:p>
      <w:pPr>
        <w:pStyle w:val="4"/>
        <w:rPr>
          <w:color w:val="auto"/>
        </w:rPr>
      </w:pPr>
      <w:bookmarkStart w:id="144" w:name="_Toc515441067"/>
      <w:bookmarkStart w:id="145" w:name="_Toc516816071"/>
      <w:bookmarkStart w:id="146" w:name="_Toc511635740"/>
      <w:bookmarkStart w:id="147" w:name="_Toc516816260"/>
      <w:r>
        <w:rPr>
          <w:rFonts w:hint="eastAsia"/>
          <w:color w:val="auto"/>
        </w:rPr>
        <w:t>2.2 招标文件的澄清</w:t>
      </w:r>
      <w:bookmarkEnd w:id="144"/>
      <w:bookmarkEnd w:id="145"/>
      <w:bookmarkEnd w:id="146"/>
      <w:bookmarkEnd w:id="1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2.2.3 投标人在收到澄清后，应按投标人须知前附表规定的时间和形式通知招标人，确认已收到该澄清。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2.2.4 除非招标人认为确有必要答复，否则，招标人有权拒绝回复投标人在本章第2.2.1项规定的时间后的任何澄清要求。</w:t>
      </w:r>
    </w:p>
    <w:p>
      <w:pPr>
        <w:pStyle w:val="4"/>
        <w:rPr>
          <w:color w:val="auto"/>
        </w:rPr>
      </w:pPr>
      <w:bookmarkStart w:id="148" w:name="_Toc511635741"/>
      <w:bookmarkStart w:id="149" w:name="_Toc516816072"/>
      <w:bookmarkStart w:id="150" w:name="_Toc515441068"/>
      <w:bookmarkStart w:id="151" w:name="_Toc516816261"/>
      <w:r>
        <w:rPr>
          <w:rFonts w:hint="eastAsia"/>
          <w:color w:val="auto"/>
        </w:rPr>
        <w:t>2.3 招标文件的修改</w:t>
      </w:r>
      <w:bookmarkEnd w:id="148"/>
      <w:bookmarkEnd w:id="149"/>
      <w:bookmarkEnd w:id="150"/>
      <w:bookmarkEnd w:id="15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2.3.2 投标人收到修改内容后，应按投标人须知前附表规定的时间和形式通知招标人，确认已收到该修改。</w:t>
      </w:r>
    </w:p>
    <w:p>
      <w:pPr>
        <w:pStyle w:val="4"/>
        <w:rPr>
          <w:color w:val="auto"/>
        </w:rPr>
      </w:pPr>
      <w:bookmarkStart w:id="152" w:name="_Toc511635742"/>
      <w:bookmarkStart w:id="153" w:name="_Toc515441069"/>
      <w:bookmarkStart w:id="154" w:name="_Toc516816262"/>
      <w:bookmarkStart w:id="155" w:name="_Toc516816073"/>
      <w:r>
        <w:rPr>
          <w:rFonts w:hint="eastAsia"/>
          <w:color w:val="auto"/>
        </w:rPr>
        <w:t>2.4 招标文件的异议</w:t>
      </w:r>
      <w:bookmarkEnd w:id="152"/>
      <w:bookmarkEnd w:id="153"/>
      <w:bookmarkEnd w:id="154"/>
      <w:bookmarkEnd w:id="1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投标人或者其他利害关系人对招标文件有异议的，应当在投标截止时间10日前以书面形式提出。招标人将在收到异议之日起3日内作出答复；作出答复前，将暂停招标投标活动。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56" w:name="_Toc515441070"/>
      <w:bookmarkStart w:id="157" w:name="_Toc516816074"/>
      <w:bookmarkStart w:id="158" w:name="_Toc516816263"/>
      <w:bookmarkStart w:id="159" w:name="_Toc511635743"/>
      <w:r>
        <w:rPr>
          <w:rFonts w:hint="eastAsia" w:asciiTheme="majorEastAsia" w:hAnsiTheme="majorEastAsia" w:eastAsiaTheme="majorEastAsia" w:cstheme="minorBidi"/>
          <w:bCs w:val="0"/>
          <w:color w:val="auto"/>
          <w:sz w:val="28"/>
          <w:szCs w:val="28"/>
        </w:rPr>
        <w:t>3. 投标文件</w:t>
      </w:r>
      <w:bookmarkEnd w:id="156"/>
      <w:bookmarkEnd w:id="157"/>
      <w:bookmarkEnd w:id="158"/>
      <w:bookmarkEnd w:id="159"/>
    </w:p>
    <w:p>
      <w:pPr>
        <w:pStyle w:val="4"/>
        <w:rPr>
          <w:color w:val="auto"/>
        </w:rPr>
      </w:pPr>
      <w:bookmarkStart w:id="160" w:name="_Toc511635744"/>
      <w:bookmarkStart w:id="161" w:name="_Toc515441071"/>
      <w:bookmarkStart w:id="162" w:name="_Toc516816075"/>
      <w:bookmarkStart w:id="163" w:name="_Toc516816264"/>
      <w:r>
        <w:rPr>
          <w:rFonts w:hint="eastAsia"/>
          <w:color w:val="auto"/>
        </w:rPr>
        <w:t>3.1 投标文件的组成</w:t>
      </w:r>
      <w:bookmarkEnd w:id="160"/>
      <w:bookmarkEnd w:id="161"/>
      <w:bookmarkEnd w:id="162"/>
      <w:bookmarkEnd w:id="1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投标文件应包括下列内容：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（2）法定代表人（单位负责人）身份证明或授权委托书；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（3）联合体协议书；</w:t>
      </w:r>
    </w:p>
    <w:p>
      <w:pPr>
        <w:widowControl/>
        <w:shd w:val="clear" w:color="auto" w:fill="FFFFFF"/>
        <w:tabs>
          <w:tab w:val="center" w:pos="4632"/>
        </w:tabs>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（4）投标保证金；</w:t>
      </w:r>
    </w:p>
    <w:p>
      <w:pPr>
        <w:widowControl/>
        <w:shd w:val="clear" w:color="auto" w:fill="FFFFFF"/>
        <w:tabs>
          <w:tab w:val="center" w:pos="4632"/>
        </w:tabs>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（5）已标价工程量清单；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（6）资格审查资料；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（7）施工组织设计；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（8）投标人须知前附表规定的其他资料。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投标人须知前附表未要求提交投标保证金的，投标文件不包括本章第3.1.1（4）目所指的投标保证金。</w:t>
      </w:r>
    </w:p>
    <w:p>
      <w:pPr>
        <w:pStyle w:val="4"/>
        <w:rPr>
          <w:color w:val="auto"/>
        </w:rPr>
      </w:pPr>
      <w:bookmarkStart w:id="164" w:name="_Toc511635745"/>
      <w:bookmarkStart w:id="165" w:name="_Toc516816265"/>
      <w:bookmarkStart w:id="166" w:name="_Toc515441072"/>
      <w:bookmarkStart w:id="167" w:name="_Toc516816076"/>
      <w:r>
        <w:rPr>
          <w:rFonts w:hint="eastAsia"/>
          <w:color w:val="auto"/>
        </w:rPr>
        <w:t>3.2 投标报价</w:t>
      </w:r>
      <w:bookmarkEnd w:id="164"/>
      <w:bookmarkEnd w:id="165"/>
      <w:bookmarkEnd w:id="166"/>
      <w:bookmarkEnd w:id="16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投标报价应包括国家规定的增值税税金，除投标人须知前附表另有规定外，增值税税金按一般计税方法计算。投标人应按第五章“工程量清单”和第八章“投标文件格式”有关规定进行编制。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3.2.3 投标人在投标截止时间前修改投标函中的投标报价总额，应同时修改第五章“工程量清单”中的相应报价。此修改须符合本章第4.3款的有关要求。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3.2.5 投标报价的其他要求见投标人须知前附表。</w:t>
      </w:r>
    </w:p>
    <w:p>
      <w:pPr>
        <w:pStyle w:val="4"/>
        <w:rPr>
          <w:color w:val="auto"/>
        </w:rPr>
      </w:pPr>
      <w:bookmarkStart w:id="168" w:name="_Toc515441073"/>
      <w:bookmarkStart w:id="169" w:name="_Toc516816266"/>
      <w:bookmarkStart w:id="170" w:name="_Toc516816077"/>
      <w:bookmarkStart w:id="171" w:name="_Toc511635746"/>
      <w:r>
        <w:rPr>
          <w:rFonts w:hint="eastAsia"/>
          <w:color w:val="auto"/>
        </w:rPr>
        <w:t>3.3 投标有效期</w:t>
      </w:r>
      <w:bookmarkEnd w:id="168"/>
      <w:bookmarkEnd w:id="169"/>
      <w:bookmarkEnd w:id="170"/>
      <w:bookmarkEnd w:id="1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rPr>
          <w:color w:val="auto"/>
        </w:rPr>
      </w:pPr>
      <w:bookmarkStart w:id="172" w:name="_Toc515441074"/>
      <w:bookmarkStart w:id="173" w:name="_Toc516816078"/>
      <w:bookmarkStart w:id="174" w:name="_Toc511635747"/>
      <w:bookmarkStart w:id="175" w:name="_Toc516816267"/>
      <w:r>
        <w:rPr>
          <w:rFonts w:hint="eastAsia"/>
          <w:color w:val="auto"/>
        </w:rPr>
        <w:t>3.4 投标保证金</w:t>
      </w:r>
      <w:bookmarkEnd w:id="172"/>
      <w:bookmarkEnd w:id="173"/>
      <w:bookmarkEnd w:id="174"/>
      <w:bookmarkEnd w:id="17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投标人在递交投标文件的同时，应按投标人须知前附表规定的金额、形式和第八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（1）投标人在投标有效期内撤销投标文件；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（3）发生投标人须知前附表规定的其他可以不予退还投标保证金的情形。</w:t>
      </w:r>
    </w:p>
    <w:p>
      <w:pPr>
        <w:pStyle w:val="4"/>
        <w:rPr>
          <w:color w:val="auto"/>
        </w:rPr>
      </w:pPr>
      <w:bookmarkStart w:id="176" w:name="_Toc511635749"/>
      <w:bookmarkStart w:id="177" w:name="_Toc515441076"/>
      <w:bookmarkStart w:id="178" w:name="_Toc516816079"/>
      <w:bookmarkStart w:id="179" w:name="_Toc516816268"/>
      <w:r>
        <w:rPr>
          <w:rFonts w:hint="eastAsia"/>
          <w:color w:val="auto"/>
        </w:rPr>
        <w:t>3.5 资格审查资料</w:t>
      </w:r>
      <w:bookmarkEnd w:id="176"/>
      <w:bookmarkEnd w:id="177"/>
      <w:bookmarkEnd w:id="178"/>
      <w:bookmarkEnd w:id="17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3.5.1 “投标人基本情况表”应附投标人营业执照和组织机构代码证的复印件（按照“三证合一”或“五证合一”登记制度进行登记的，可仅提供营业执照复印件）、投标人资质证书副本和安全生产许可证等材料的复印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3.5.3 “近年完成的类似项目情况表”应附中标通知书和（或）合同协议书、发包人出具的证明文件；具体时间要求见投标人须知前附表，每张表格只填写一个项目，并标明序号。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3.5.4 “正在施工和新承接的项目情况表”应附中标通知书和（或）合同协议书复印件。每张表格只填写一个项目，并标明序号。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3.5.5 “近年发生的诉讼及仲裁情况”应说明投标人败诉的施工合同的相关情况，并附法院或仲裁机构作出的判决、裁决等有关法律文书复印件，具体时间要求见投标人须知前附表。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3.5.6 “拟委任的主要人员汇总表”应填报满足本章第1.4.1项规定的项目经理和其他主要人员的相关信息。“主要人员简历表”中项目经理应附身份证、学历证、职称证、注册建造师执业证书和社保缴费证明复印件，管理过的项目业绩须附合同协议书复印件；其他主要人员应附身份证、学历证、职称证、有关证书和社保缴费证明复印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3.5.7 投标人须知前附表规定接受联合体投标的，本章第3.5.1项至第3.5.5项规定的表格和资料应包括联合体各方相关情况。</w:t>
      </w:r>
    </w:p>
    <w:p>
      <w:pPr>
        <w:pStyle w:val="4"/>
        <w:rPr>
          <w:color w:val="auto"/>
        </w:rPr>
      </w:pPr>
      <w:bookmarkStart w:id="180" w:name="_Toc515441077"/>
      <w:bookmarkStart w:id="181" w:name="_Toc516816269"/>
      <w:bookmarkStart w:id="182" w:name="_Toc516816080"/>
      <w:bookmarkStart w:id="183" w:name="_Toc511635750"/>
      <w:r>
        <w:rPr>
          <w:rFonts w:hint="eastAsia"/>
          <w:color w:val="auto"/>
        </w:rPr>
        <w:t>3.6 备选投标方案</w:t>
      </w:r>
      <w:bookmarkEnd w:id="180"/>
      <w:bookmarkEnd w:id="181"/>
      <w:bookmarkEnd w:id="182"/>
      <w:bookmarkEnd w:id="18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3.6.3 投标人提供两个或两个以上投标报价，或者在投标文件中提供一个报价，但同时提供两个或两个以上施工组织设计的，视为提供备选方案。</w:t>
      </w:r>
    </w:p>
    <w:p>
      <w:pPr>
        <w:pStyle w:val="4"/>
        <w:rPr>
          <w:color w:val="auto"/>
        </w:rPr>
      </w:pPr>
      <w:bookmarkStart w:id="184" w:name="_Toc511635751"/>
      <w:bookmarkStart w:id="185" w:name="_Toc516816270"/>
      <w:bookmarkStart w:id="186" w:name="_Toc515441078"/>
      <w:bookmarkStart w:id="187" w:name="_Toc516816081"/>
      <w:r>
        <w:rPr>
          <w:rFonts w:hint="eastAsia"/>
          <w:color w:val="auto"/>
        </w:rPr>
        <w:t>3.7 投标文件的编制</w:t>
      </w:r>
      <w:bookmarkEnd w:id="184"/>
      <w:bookmarkEnd w:id="185"/>
      <w:bookmarkEnd w:id="186"/>
      <w:bookmarkEnd w:id="1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3.7.2 投标文件应当对招标文件有关工期期限、投标有效期、发包人要求、招标范围等实质性内容作出响应。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3.7.3 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88" w:name="_Toc516816271"/>
      <w:bookmarkStart w:id="189" w:name="_Toc515441079"/>
      <w:bookmarkStart w:id="190" w:name="_Toc516816082"/>
      <w:bookmarkStart w:id="191" w:name="_Toc511635752"/>
      <w:r>
        <w:rPr>
          <w:rFonts w:hint="eastAsia" w:asciiTheme="majorEastAsia" w:hAnsiTheme="majorEastAsia" w:eastAsiaTheme="majorEastAsia" w:cstheme="minorBidi"/>
          <w:bCs w:val="0"/>
          <w:color w:val="auto"/>
          <w:sz w:val="28"/>
          <w:szCs w:val="28"/>
        </w:rPr>
        <w:t>4. 投标</w:t>
      </w:r>
      <w:bookmarkEnd w:id="188"/>
      <w:bookmarkEnd w:id="189"/>
      <w:bookmarkEnd w:id="190"/>
      <w:bookmarkEnd w:id="191"/>
    </w:p>
    <w:p>
      <w:pPr>
        <w:pStyle w:val="4"/>
        <w:rPr>
          <w:color w:val="auto"/>
        </w:rPr>
      </w:pPr>
      <w:bookmarkStart w:id="192" w:name="_Toc516816272"/>
      <w:bookmarkStart w:id="193" w:name="_Toc516816083"/>
      <w:bookmarkStart w:id="194" w:name="_Toc515441080"/>
      <w:bookmarkStart w:id="195" w:name="_Toc511635753"/>
      <w:r>
        <w:rPr>
          <w:rFonts w:hint="eastAsia"/>
          <w:color w:val="auto"/>
        </w:rPr>
        <w:t>4.1 投标文件的密封和标记</w:t>
      </w:r>
      <w:bookmarkEnd w:id="192"/>
      <w:bookmarkEnd w:id="193"/>
      <w:bookmarkEnd w:id="194"/>
      <w:bookmarkEnd w:id="19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4.1.2 投标文件封套上应写明的内容见投标人须知前附表。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4.1.3 未按本章第4.1.1项要求密封的投标文件，招标人将予以拒收。</w:t>
      </w:r>
    </w:p>
    <w:p>
      <w:pPr>
        <w:pStyle w:val="4"/>
        <w:rPr>
          <w:color w:val="auto"/>
        </w:rPr>
      </w:pPr>
      <w:bookmarkStart w:id="196" w:name="_Toc511635754"/>
      <w:bookmarkStart w:id="197" w:name="_Toc516816084"/>
      <w:bookmarkStart w:id="198" w:name="_Toc516816273"/>
      <w:bookmarkStart w:id="199" w:name="_Toc515441081"/>
      <w:r>
        <w:rPr>
          <w:rFonts w:hint="eastAsia"/>
          <w:color w:val="auto"/>
        </w:rPr>
        <w:t>4.2 投标文件的递交</w:t>
      </w:r>
      <w:bookmarkEnd w:id="196"/>
      <w:bookmarkEnd w:id="197"/>
      <w:bookmarkEnd w:id="198"/>
      <w:bookmarkEnd w:id="1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4.2.5 逾期送达的投标文件，电子招标投标交易平台将予以拒收。</w:t>
      </w:r>
    </w:p>
    <w:p>
      <w:pPr>
        <w:pStyle w:val="4"/>
        <w:rPr>
          <w:color w:val="auto"/>
        </w:rPr>
      </w:pPr>
      <w:bookmarkStart w:id="200" w:name="_Toc515441082"/>
      <w:bookmarkStart w:id="201" w:name="_Toc511635755"/>
      <w:bookmarkStart w:id="202" w:name="_Toc516816274"/>
      <w:bookmarkStart w:id="203" w:name="_Toc516816085"/>
      <w:r>
        <w:rPr>
          <w:rFonts w:hint="eastAsia"/>
          <w:color w:val="auto"/>
        </w:rPr>
        <w:t>4.3 投标文件的修改与撤回</w:t>
      </w:r>
      <w:bookmarkEnd w:id="200"/>
      <w:bookmarkEnd w:id="201"/>
      <w:bookmarkEnd w:id="202"/>
      <w:bookmarkEnd w:id="20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在本章第4.2.1项规定的投标截止时间前，投标人可以修改或撤回已递交的投标文件，但应以书面形式通知招标人。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投标人修改或撤回已递交投标文件的通知，应按照本章第3.7.3项的要求加盖电子印章。电子招标投标交易平台收到通知后，即时向投标人发出确认回执通知。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投标人撤回投标文件的，招标人自收到投标人书面撤回通知之日起5日内退还已收取的投标保证金。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4.3.4 修改的内容为投标文件的组成部分。修改的投标文件应按照本章第3条、第4条的规定进行编制、密封、标记和递交，并标明“修改”字样。</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04" w:name="_Toc511635756"/>
      <w:bookmarkStart w:id="205" w:name="_Toc516816086"/>
      <w:bookmarkStart w:id="206" w:name="_Toc516816275"/>
      <w:bookmarkStart w:id="207" w:name="_Toc515441083"/>
      <w:r>
        <w:rPr>
          <w:rFonts w:hint="eastAsia" w:asciiTheme="majorEastAsia" w:hAnsiTheme="majorEastAsia" w:eastAsiaTheme="majorEastAsia" w:cstheme="minorBidi"/>
          <w:bCs w:val="0"/>
          <w:color w:val="auto"/>
          <w:sz w:val="28"/>
          <w:szCs w:val="28"/>
        </w:rPr>
        <w:t>5. 开标</w:t>
      </w:r>
      <w:bookmarkEnd w:id="204"/>
      <w:bookmarkEnd w:id="205"/>
      <w:bookmarkEnd w:id="206"/>
      <w:bookmarkEnd w:id="207"/>
    </w:p>
    <w:p>
      <w:pPr>
        <w:pStyle w:val="4"/>
        <w:rPr>
          <w:color w:val="auto"/>
        </w:rPr>
      </w:pPr>
      <w:bookmarkStart w:id="208" w:name="_Toc511635757"/>
      <w:bookmarkStart w:id="209" w:name="_Toc516816087"/>
      <w:bookmarkStart w:id="210" w:name="_Toc516816276"/>
      <w:bookmarkStart w:id="211" w:name="_Toc515441084"/>
      <w:r>
        <w:rPr>
          <w:rFonts w:hint="eastAsia"/>
          <w:color w:val="auto"/>
        </w:rPr>
        <w:t>5.1 开标时间和地点</w:t>
      </w:r>
      <w:bookmarkEnd w:id="208"/>
      <w:bookmarkEnd w:id="209"/>
      <w:bookmarkEnd w:id="210"/>
      <w:bookmarkEnd w:id="21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招标人在本章第4.2.1项规定的投标截止时间（开标时间）,通过电子招标投标交易平台公开开标，所有投标人的法定代表人或其委托代理人应当准时参加。</w:t>
      </w:r>
    </w:p>
    <w:p>
      <w:pPr>
        <w:pStyle w:val="4"/>
        <w:rPr>
          <w:color w:val="auto"/>
        </w:rPr>
      </w:pPr>
      <w:bookmarkStart w:id="212" w:name="_Toc515441085"/>
      <w:bookmarkStart w:id="213" w:name="_Toc516816088"/>
      <w:bookmarkStart w:id="214" w:name="_Toc516816277"/>
      <w:bookmarkStart w:id="215" w:name="_Toc511635758"/>
      <w:r>
        <w:rPr>
          <w:rFonts w:hint="eastAsia"/>
          <w:color w:val="auto"/>
        </w:rPr>
        <w:t>5.2 开标程序</w:t>
      </w:r>
      <w:bookmarkEnd w:id="212"/>
      <w:bookmarkEnd w:id="213"/>
      <w:bookmarkEnd w:id="214"/>
      <w:bookmarkEnd w:id="21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主持人按下列程序进行开标：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主持人按下列程序进行开标：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（1）宣布开标纪律；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（4）投标人通过电子招标投标交易平台对已递交的电子投标文件进行解密，公布招标项目名称、投标人名称、投标保证金的递交情况、投标报价、工期期限及其他内容，并记录在案；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（5）投标人代表、招标人代表、监标人、记录人等有关人员使用本人的电子印章在开标记录上签字确认；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（6）开标结束。</w:t>
      </w:r>
    </w:p>
    <w:p>
      <w:pPr>
        <w:pStyle w:val="4"/>
        <w:rPr>
          <w:color w:val="auto"/>
        </w:rPr>
      </w:pPr>
      <w:bookmarkStart w:id="216" w:name="_Toc516816089"/>
      <w:bookmarkStart w:id="217" w:name="_Toc516816278"/>
      <w:bookmarkStart w:id="218" w:name="_Toc515441086"/>
      <w:bookmarkStart w:id="219" w:name="_Toc511635759"/>
      <w:r>
        <w:rPr>
          <w:rFonts w:hint="eastAsia"/>
          <w:color w:val="auto"/>
        </w:rPr>
        <w:t>5.3 开标异议</w:t>
      </w:r>
      <w:bookmarkEnd w:id="216"/>
      <w:bookmarkEnd w:id="217"/>
      <w:bookmarkEnd w:id="218"/>
      <w:bookmarkEnd w:id="21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投标人对开标有异议的，应当在开标现场提出，招标人当场作出答复，并制作记录。</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20" w:name="_Toc516816090"/>
      <w:bookmarkStart w:id="221" w:name="_Toc511635760"/>
      <w:bookmarkStart w:id="222" w:name="_Toc516816279"/>
      <w:bookmarkStart w:id="223" w:name="_Toc515441087"/>
      <w:r>
        <w:rPr>
          <w:rFonts w:hint="eastAsia" w:asciiTheme="majorEastAsia" w:hAnsiTheme="majorEastAsia" w:eastAsiaTheme="majorEastAsia" w:cstheme="minorBidi"/>
          <w:bCs w:val="0"/>
          <w:color w:val="auto"/>
          <w:sz w:val="28"/>
          <w:szCs w:val="28"/>
        </w:rPr>
        <w:t>6. 评标</w:t>
      </w:r>
      <w:bookmarkEnd w:id="220"/>
      <w:bookmarkEnd w:id="221"/>
      <w:bookmarkEnd w:id="222"/>
      <w:bookmarkEnd w:id="223"/>
    </w:p>
    <w:p>
      <w:pPr>
        <w:pStyle w:val="4"/>
        <w:rPr>
          <w:color w:val="auto"/>
        </w:rPr>
      </w:pPr>
      <w:bookmarkStart w:id="224" w:name="_Toc515441088"/>
      <w:bookmarkStart w:id="225" w:name="_Toc511635761"/>
      <w:bookmarkStart w:id="226" w:name="_Toc516816091"/>
      <w:bookmarkStart w:id="227" w:name="_Toc516816280"/>
      <w:r>
        <w:rPr>
          <w:rFonts w:hint="eastAsia"/>
          <w:color w:val="auto"/>
        </w:rPr>
        <w:t>6.1 评标委员会</w:t>
      </w:r>
      <w:bookmarkEnd w:id="224"/>
      <w:bookmarkEnd w:id="225"/>
      <w:bookmarkEnd w:id="226"/>
      <w:bookmarkEnd w:id="2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（1）投标人或投标人主要负责人的近亲属；</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（2）项目主管部门或者行政监督部门的人员；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（5）与投标人有其他利害关系。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rPr>
          <w:color w:val="auto"/>
        </w:rPr>
      </w:pPr>
      <w:bookmarkStart w:id="228" w:name="_Toc511635762"/>
      <w:bookmarkStart w:id="229" w:name="_Toc516816092"/>
      <w:bookmarkStart w:id="230" w:name="_Toc516816281"/>
      <w:bookmarkStart w:id="231" w:name="_Toc515441089"/>
      <w:r>
        <w:rPr>
          <w:rFonts w:hint="eastAsia"/>
          <w:color w:val="auto"/>
        </w:rPr>
        <w:t>6.2 评标原则</w:t>
      </w:r>
      <w:bookmarkEnd w:id="228"/>
      <w:bookmarkEnd w:id="229"/>
      <w:bookmarkEnd w:id="230"/>
      <w:bookmarkEnd w:id="2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评标活动遵循公平、公正、科学和择优的原则。</w:t>
      </w:r>
    </w:p>
    <w:p>
      <w:pPr>
        <w:pStyle w:val="4"/>
        <w:rPr>
          <w:color w:val="auto"/>
        </w:rPr>
      </w:pPr>
      <w:bookmarkStart w:id="232" w:name="_Toc515441090"/>
      <w:bookmarkStart w:id="233" w:name="_Toc516816282"/>
      <w:bookmarkStart w:id="234" w:name="_Toc516816093"/>
      <w:bookmarkStart w:id="235" w:name="_Toc511635763"/>
      <w:r>
        <w:rPr>
          <w:rFonts w:hint="eastAsia"/>
          <w:color w:val="auto"/>
        </w:rPr>
        <w:t>6.3 评标</w:t>
      </w:r>
      <w:bookmarkEnd w:id="232"/>
      <w:bookmarkEnd w:id="233"/>
      <w:bookmarkEnd w:id="234"/>
      <w:bookmarkEnd w:id="235"/>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6.3.2 评标完成后，评标委员会应当向招标人提交书面评标报告和中标候选人名单。评标委员会推荐中标候选人的人数见投标人须知前附表。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36" w:name="_Toc516816094"/>
      <w:bookmarkStart w:id="237" w:name="_Toc516816283"/>
      <w:bookmarkStart w:id="238" w:name="_Toc515441091"/>
      <w:bookmarkStart w:id="239" w:name="_Toc511635764"/>
      <w:r>
        <w:rPr>
          <w:rFonts w:hint="eastAsia" w:asciiTheme="majorEastAsia" w:hAnsiTheme="majorEastAsia" w:eastAsiaTheme="majorEastAsia" w:cstheme="minorBidi"/>
          <w:bCs w:val="0"/>
          <w:color w:val="auto"/>
          <w:sz w:val="28"/>
          <w:szCs w:val="28"/>
        </w:rPr>
        <w:t>7. 合同授予</w:t>
      </w:r>
      <w:bookmarkEnd w:id="236"/>
      <w:bookmarkEnd w:id="237"/>
      <w:bookmarkEnd w:id="238"/>
      <w:bookmarkEnd w:id="239"/>
    </w:p>
    <w:p>
      <w:pPr>
        <w:pStyle w:val="4"/>
        <w:rPr>
          <w:color w:val="auto"/>
        </w:rPr>
      </w:pPr>
      <w:bookmarkStart w:id="240" w:name="_Toc516816284"/>
      <w:bookmarkStart w:id="241" w:name="_Toc511635765"/>
      <w:bookmarkStart w:id="242" w:name="_Toc515441092"/>
      <w:bookmarkStart w:id="243" w:name="_Toc516816095"/>
      <w:r>
        <w:rPr>
          <w:rFonts w:hint="eastAsia"/>
          <w:color w:val="auto"/>
        </w:rPr>
        <w:t>7.1 中标候选人公示</w:t>
      </w:r>
      <w:bookmarkEnd w:id="240"/>
      <w:bookmarkEnd w:id="241"/>
      <w:bookmarkEnd w:id="242"/>
      <w:bookmarkEnd w:id="24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招标人在收到评标报告之日起3日内，按照投标人须知前附表规定的公示媒介和期限公示中标候选人，公示期不得少于3天。</w:t>
      </w:r>
    </w:p>
    <w:p>
      <w:pPr>
        <w:pStyle w:val="4"/>
        <w:rPr>
          <w:color w:val="auto"/>
        </w:rPr>
      </w:pPr>
      <w:bookmarkStart w:id="244" w:name="_Toc516816285"/>
      <w:bookmarkStart w:id="245" w:name="_Toc516816096"/>
      <w:bookmarkStart w:id="246" w:name="_Toc515441093"/>
      <w:bookmarkStart w:id="247" w:name="_Toc511635766"/>
      <w:r>
        <w:rPr>
          <w:rFonts w:hint="eastAsia"/>
          <w:color w:val="auto"/>
        </w:rPr>
        <w:t>7.2 评标结果异议</w:t>
      </w:r>
      <w:bookmarkEnd w:id="244"/>
      <w:bookmarkEnd w:id="245"/>
      <w:bookmarkEnd w:id="246"/>
      <w:bookmarkEnd w:id="2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投标人或者其他利害关系人对评标结果有异议的，应当在中标候选人公示期间提出。招标人将在收到异议之日起3日内作出答复；作出答复前，将暂停招标投标活动。</w:t>
      </w:r>
    </w:p>
    <w:p>
      <w:pPr>
        <w:pStyle w:val="4"/>
        <w:rPr>
          <w:color w:val="auto"/>
        </w:rPr>
      </w:pPr>
      <w:bookmarkStart w:id="248" w:name="_Toc516816097"/>
      <w:bookmarkStart w:id="249" w:name="_Toc516816286"/>
      <w:bookmarkStart w:id="250" w:name="_Toc511635767"/>
      <w:bookmarkStart w:id="251" w:name="_Toc515441094"/>
      <w:r>
        <w:rPr>
          <w:rFonts w:hint="eastAsia"/>
          <w:color w:val="auto"/>
        </w:rPr>
        <w:t>7.3 中标候选人履约能力审查</w:t>
      </w:r>
      <w:bookmarkEnd w:id="248"/>
      <w:bookmarkEnd w:id="249"/>
      <w:bookmarkEnd w:id="250"/>
      <w:bookmarkEnd w:id="25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4"/>
        <w:rPr>
          <w:color w:val="auto"/>
        </w:rPr>
      </w:pPr>
      <w:bookmarkStart w:id="252" w:name="_Toc511635768"/>
      <w:bookmarkStart w:id="253" w:name="_Toc516816098"/>
      <w:bookmarkStart w:id="254" w:name="_Toc516816287"/>
      <w:bookmarkStart w:id="255" w:name="_Toc515441095"/>
      <w:r>
        <w:rPr>
          <w:rFonts w:hint="eastAsia"/>
          <w:color w:val="auto"/>
        </w:rPr>
        <w:t>7.4 定标</w:t>
      </w:r>
      <w:bookmarkEnd w:id="252"/>
      <w:bookmarkEnd w:id="253"/>
      <w:bookmarkEnd w:id="254"/>
      <w:bookmarkEnd w:id="2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按照投标人须知前附表的规定，招标人或招标人授权的评标委员会依法确定中标人。</w:t>
      </w:r>
    </w:p>
    <w:p>
      <w:pPr>
        <w:pStyle w:val="4"/>
        <w:rPr>
          <w:color w:val="auto"/>
        </w:rPr>
      </w:pPr>
      <w:bookmarkStart w:id="256" w:name="_Toc516816099"/>
      <w:bookmarkStart w:id="257" w:name="_Toc511635769"/>
      <w:bookmarkStart w:id="258" w:name="_Toc515441096"/>
      <w:bookmarkStart w:id="259" w:name="_Toc516816288"/>
      <w:r>
        <w:rPr>
          <w:rFonts w:hint="eastAsia"/>
          <w:color w:val="auto"/>
        </w:rPr>
        <w:t>7.5 中标通知</w:t>
      </w:r>
      <w:bookmarkEnd w:id="256"/>
      <w:bookmarkEnd w:id="257"/>
      <w:bookmarkEnd w:id="258"/>
      <w:bookmarkEnd w:id="25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在本章第3.3款规定的投标有效期内，招标人以书面形式向中标人发出中标通知书，同时将中标结果通知未中标的投标人。</w:t>
      </w:r>
    </w:p>
    <w:p>
      <w:pPr>
        <w:pStyle w:val="4"/>
        <w:rPr>
          <w:color w:val="auto"/>
        </w:rPr>
      </w:pPr>
      <w:bookmarkStart w:id="260" w:name="_Toc516816100"/>
      <w:bookmarkStart w:id="261" w:name="_Toc511635770"/>
      <w:bookmarkStart w:id="262" w:name="_Toc515441097"/>
      <w:bookmarkStart w:id="263" w:name="_Toc516816289"/>
      <w:r>
        <w:rPr>
          <w:rFonts w:hint="eastAsia"/>
          <w:color w:val="auto"/>
        </w:rPr>
        <w:t>7.6 履约保证金</w:t>
      </w:r>
      <w:bookmarkEnd w:id="260"/>
      <w:bookmarkEnd w:id="261"/>
      <w:bookmarkEnd w:id="262"/>
      <w:bookmarkEnd w:id="2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7.6.2 中标人不能按本章第7.6.1项要求提交履约保证金的，视为放弃中标，其投标保证金不予退还，给招标人造成的损失超过投标保证金数额的，中标人还应当对超过部分予以赔偿。</w:t>
      </w:r>
    </w:p>
    <w:p>
      <w:pPr>
        <w:pStyle w:val="4"/>
        <w:rPr>
          <w:color w:val="auto"/>
        </w:rPr>
      </w:pPr>
      <w:bookmarkStart w:id="264" w:name="_Toc511635771"/>
      <w:bookmarkStart w:id="265" w:name="_Toc515441098"/>
      <w:bookmarkStart w:id="266" w:name="_Toc516816101"/>
      <w:bookmarkStart w:id="267" w:name="_Toc516816290"/>
      <w:r>
        <w:rPr>
          <w:rFonts w:hint="eastAsia"/>
          <w:color w:val="auto"/>
        </w:rPr>
        <w:t>7.7 签订合同</w:t>
      </w:r>
      <w:bookmarkEnd w:id="264"/>
      <w:bookmarkEnd w:id="265"/>
      <w:bookmarkEnd w:id="266"/>
      <w:bookmarkEnd w:id="26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7.7.3 联合体中标的，联合体各方应当共同与招标人签订合同，就中标项目向招标人承担连带责任。</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68" w:name="_Toc511635772"/>
      <w:bookmarkStart w:id="269" w:name="_Toc515441099"/>
      <w:bookmarkStart w:id="270" w:name="_Toc516816102"/>
      <w:bookmarkStart w:id="271" w:name="_Toc516816291"/>
      <w:r>
        <w:rPr>
          <w:rFonts w:hint="eastAsia" w:asciiTheme="majorEastAsia" w:hAnsiTheme="majorEastAsia" w:eastAsiaTheme="majorEastAsia" w:cstheme="minorBidi"/>
          <w:bCs w:val="0"/>
          <w:color w:val="auto"/>
          <w:sz w:val="28"/>
          <w:szCs w:val="28"/>
        </w:rPr>
        <w:t>8. 纪律和监督</w:t>
      </w:r>
      <w:bookmarkEnd w:id="268"/>
      <w:bookmarkEnd w:id="269"/>
      <w:bookmarkEnd w:id="270"/>
      <w:bookmarkEnd w:id="271"/>
    </w:p>
    <w:p>
      <w:pPr>
        <w:pStyle w:val="4"/>
        <w:rPr>
          <w:color w:val="auto"/>
        </w:rPr>
      </w:pPr>
      <w:bookmarkStart w:id="272" w:name="_Toc511635773"/>
      <w:bookmarkStart w:id="273" w:name="_Toc515441100"/>
      <w:bookmarkStart w:id="274" w:name="_Toc516816103"/>
      <w:bookmarkStart w:id="275" w:name="_Toc516816292"/>
      <w:r>
        <w:rPr>
          <w:rFonts w:hint="eastAsia"/>
          <w:color w:val="auto"/>
        </w:rPr>
        <w:t>8.1 对招标人的纪律要求</w:t>
      </w:r>
      <w:bookmarkEnd w:id="272"/>
      <w:bookmarkEnd w:id="273"/>
      <w:bookmarkEnd w:id="274"/>
      <w:bookmarkEnd w:id="27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招标人不得泄露招标投标活动中应当保密的情况和资料，不得与投标人串通损害国家利益、社会公共利益或者他人合法权益。</w:t>
      </w:r>
    </w:p>
    <w:p>
      <w:pPr>
        <w:pStyle w:val="4"/>
        <w:rPr>
          <w:color w:val="auto"/>
        </w:rPr>
      </w:pPr>
      <w:bookmarkStart w:id="276" w:name="_Toc516816293"/>
      <w:bookmarkStart w:id="277" w:name="_Toc516816104"/>
      <w:bookmarkStart w:id="278" w:name="_Toc511635774"/>
      <w:bookmarkStart w:id="279" w:name="_Toc515441101"/>
      <w:r>
        <w:rPr>
          <w:rFonts w:hint="eastAsia"/>
          <w:color w:val="auto"/>
        </w:rPr>
        <w:t>8.2 对投标人的纪律要求</w:t>
      </w:r>
      <w:bookmarkEnd w:id="276"/>
      <w:bookmarkEnd w:id="277"/>
      <w:bookmarkEnd w:id="278"/>
      <w:bookmarkEnd w:id="27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rPr>
          <w:color w:val="auto"/>
        </w:rPr>
      </w:pPr>
      <w:bookmarkStart w:id="280" w:name="_Toc516816105"/>
      <w:bookmarkStart w:id="281" w:name="_Toc511635775"/>
      <w:bookmarkStart w:id="282" w:name="_Toc516816294"/>
      <w:bookmarkStart w:id="283" w:name="_Toc515441102"/>
      <w:r>
        <w:rPr>
          <w:rFonts w:hint="eastAsia"/>
          <w:color w:val="auto"/>
        </w:rPr>
        <w:t>8.3 对评标委员会成员的纪律要求</w:t>
      </w:r>
      <w:bookmarkEnd w:id="280"/>
      <w:bookmarkEnd w:id="281"/>
      <w:bookmarkEnd w:id="282"/>
      <w:bookmarkEnd w:id="28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rPr>
          <w:color w:val="auto"/>
        </w:rPr>
      </w:pPr>
      <w:bookmarkStart w:id="284" w:name="_Toc516816295"/>
      <w:bookmarkStart w:id="285" w:name="_Toc516816106"/>
      <w:bookmarkStart w:id="286" w:name="_Toc511635776"/>
      <w:bookmarkStart w:id="287" w:name="_Toc515441103"/>
      <w:r>
        <w:rPr>
          <w:rFonts w:hint="eastAsia"/>
          <w:color w:val="auto"/>
        </w:rPr>
        <w:t>8.4 对与评标活动有关的工作人员的纪律要求</w:t>
      </w:r>
      <w:bookmarkEnd w:id="284"/>
      <w:bookmarkEnd w:id="285"/>
      <w:bookmarkEnd w:id="286"/>
      <w:bookmarkEnd w:id="2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rPr>
          <w:color w:val="auto"/>
        </w:rPr>
      </w:pPr>
      <w:bookmarkStart w:id="288" w:name="_Toc516816296"/>
      <w:bookmarkStart w:id="289" w:name="_Toc515441104"/>
      <w:bookmarkStart w:id="290" w:name="_Toc516816107"/>
      <w:bookmarkStart w:id="291" w:name="_Toc511635777"/>
      <w:r>
        <w:rPr>
          <w:rFonts w:hint="eastAsia"/>
          <w:color w:val="auto"/>
        </w:rPr>
        <w:t>8.5 投诉</w:t>
      </w:r>
      <w:bookmarkEnd w:id="288"/>
      <w:bookmarkEnd w:id="289"/>
      <w:bookmarkEnd w:id="290"/>
      <w:bookmarkEnd w:id="2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8.5.1 投标人或者其他利害关系人认为招标投标活动不符合法律、行政法规规定的，可以自知道或者应当知道之日起10日内向有关行政监督部门投诉。投诉应当有明确的请求和必要的证明材料。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92" w:name="_Toc515441105"/>
      <w:bookmarkStart w:id="293" w:name="_Toc516816297"/>
      <w:bookmarkStart w:id="294" w:name="_Toc516816108"/>
      <w:bookmarkStart w:id="295" w:name="_Toc511635778"/>
      <w:r>
        <w:rPr>
          <w:rFonts w:hint="eastAsia" w:asciiTheme="majorEastAsia" w:hAnsiTheme="majorEastAsia" w:eastAsiaTheme="majorEastAsia" w:cstheme="minorBidi"/>
          <w:bCs w:val="0"/>
          <w:color w:val="auto"/>
          <w:sz w:val="28"/>
          <w:szCs w:val="28"/>
        </w:rPr>
        <w:t>9. 需要补充的其他内容</w:t>
      </w:r>
      <w:bookmarkEnd w:id="292"/>
      <w:bookmarkEnd w:id="293"/>
      <w:bookmarkEnd w:id="294"/>
      <w:bookmarkEnd w:id="29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需要补充的其他内容：见投标人须知前附表。</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296" w:name="_Toc516816109"/>
      <w:bookmarkStart w:id="297" w:name="_Toc511635779"/>
      <w:bookmarkStart w:id="298" w:name="_Toc515441106"/>
      <w:bookmarkStart w:id="299" w:name="_Toc516816298"/>
      <w:r>
        <w:rPr>
          <w:rFonts w:hint="eastAsia" w:asciiTheme="majorEastAsia" w:hAnsiTheme="majorEastAsia" w:eastAsiaTheme="majorEastAsia" w:cstheme="minorBidi"/>
          <w:bCs w:val="0"/>
          <w:color w:val="auto"/>
          <w:sz w:val="28"/>
          <w:szCs w:val="28"/>
        </w:rPr>
        <w:t>附件一：开标记录表（格式）</w:t>
      </w:r>
      <w:bookmarkEnd w:id="296"/>
      <w:bookmarkEnd w:id="297"/>
      <w:bookmarkEnd w:id="298"/>
      <w:bookmarkEnd w:id="299"/>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开标记录表</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开标时间：_______年_____月_____日_____时______分</w:t>
      </w:r>
    </w:p>
    <w:tbl>
      <w:tblPr>
        <w:tblStyle w:val="40"/>
        <w:tblW w:w="87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1134"/>
        <w:gridCol w:w="1276"/>
        <w:gridCol w:w="1134"/>
        <w:gridCol w:w="1134"/>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序号</w:t>
            </w:r>
          </w:p>
        </w:tc>
        <w:tc>
          <w:tcPr>
            <w:tcW w:w="992"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密封情况</w:t>
            </w:r>
          </w:p>
        </w:tc>
        <w:tc>
          <w:tcPr>
            <w:tcW w:w="1276"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投标保证金</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投标报价</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（万元）</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交货期</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1276"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投标人代表</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vAlign w:val="center"/>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vAlign w:val="center"/>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276"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35" w:type="dxa"/>
            <w:gridSpan w:val="3"/>
            <w:vAlign w:val="center"/>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最高投标限价：</w:t>
            </w:r>
          </w:p>
        </w:tc>
        <w:tc>
          <w:tcPr>
            <w:tcW w:w="5954" w:type="dxa"/>
            <w:gridSpan w:val="5"/>
            <w:vAlign w:val="center"/>
          </w:tcPr>
          <w:p>
            <w:pPr>
              <w:widowControl/>
              <w:spacing w:line="360" w:lineRule="auto"/>
              <w:jc w:val="left"/>
              <w:rPr>
                <w:rFonts w:asciiTheme="minorEastAsia" w:hAnsiTheme="minorEastAsia"/>
                <w:color w:val="auto"/>
                <w:szCs w:val="21"/>
              </w:rPr>
            </w:pPr>
          </w:p>
        </w:tc>
      </w:tr>
    </w:tbl>
    <w:p>
      <w:pPr>
        <w:widowControl/>
        <w:shd w:val="clear" w:color="auto" w:fill="FFFFFF"/>
        <w:snapToGrid w:val="0"/>
        <w:ind w:firstLine="420" w:firstLineChars="200"/>
        <w:rPr>
          <w:rFonts w:asciiTheme="minorEastAsia" w:hAnsiTheme="minorEastAsia"/>
          <w:color w:val="auto"/>
          <w:szCs w:val="21"/>
        </w:rPr>
      </w:pPr>
    </w:p>
    <w:p>
      <w:pPr>
        <w:widowControl/>
        <w:shd w:val="clear" w:color="auto" w:fill="FFFFFF"/>
        <w:snapToGrid w:val="0"/>
        <w:ind w:firstLine="420" w:firstLineChars="200"/>
        <w:rPr>
          <w:rFonts w:asciiTheme="minorEastAsia" w:hAnsiTheme="minorEastAsia"/>
          <w:color w:val="auto"/>
          <w:szCs w:val="21"/>
        </w:rPr>
      </w:pPr>
      <w:r>
        <w:rPr>
          <w:rFonts w:hint="eastAsia" w:asciiTheme="minorEastAsia" w:hAnsiTheme="minorEastAsia"/>
          <w:color w:val="auto"/>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_____________年_______月_______日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00" w:name="_Toc516816299"/>
      <w:bookmarkStart w:id="301" w:name="_Toc516816110"/>
      <w:bookmarkStart w:id="302" w:name="_Toc515441107"/>
      <w:bookmarkStart w:id="303" w:name="_Toc511635780"/>
      <w:r>
        <w:rPr>
          <w:rFonts w:hint="eastAsia" w:asciiTheme="majorEastAsia" w:hAnsiTheme="majorEastAsia" w:eastAsiaTheme="majorEastAsia" w:cstheme="minorBidi"/>
          <w:bCs w:val="0"/>
          <w:color w:val="auto"/>
          <w:sz w:val="28"/>
          <w:szCs w:val="28"/>
        </w:rPr>
        <w:t>附件二：问题澄清通知（格式）</w:t>
      </w:r>
      <w:bookmarkEnd w:id="300"/>
      <w:bookmarkEnd w:id="301"/>
      <w:bookmarkEnd w:id="302"/>
      <w:bookmarkEnd w:id="303"/>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问题澄清通知</w:t>
      </w:r>
    </w:p>
    <w:p>
      <w:pPr>
        <w:widowControl/>
        <w:shd w:val="clear" w:color="auto" w:fill="FFFFFF"/>
        <w:snapToGrid w:val="0"/>
        <w:ind w:firstLine="420" w:firstLineChars="200"/>
        <w:jc w:val="center"/>
        <w:rPr>
          <w:rFonts w:asciiTheme="minorEastAsia" w:hAnsiTheme="minorEastAsia"/>
          <w:color w:val="auto"/>
          <w:szCs w:val="21"/>
        </w:rPr>
      </w:pPr>
      <w:r>
        <w:rPr>
          <w:rFonts w:hint="eastAsia" w:asciiTheme="minorEastAsia" w:hAnsiTheme="minorEastAsia"/>
          <w:color w:val="auto"/>
          <w:szCs w:val="21"/>
        </w:rPr>
        <w:t>（编号：__________________）</w:t>
      </w:r>
    </w:p>
    <w:p>
      <w:pPr>
        <w:widowControl/>
        <w:shd w:val="clear" w:color="auto" w:fill="FFFFFF"/>
        <w:snapToGrid w:val="0"/>
        <w:ind w:firstLine="420" w:firstLineChars="200"/>
        <w:jc w:val="center"/>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__________________________（投标人名称）：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1.</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2.</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请将上述问题的澄清、说明或补正于_________年__________月________日_____时前递交至_________________________________（详细地址）或传真至_________________（传真号码）或通过下载招标文件的电子招标交易平台上传。采用传真方式的，应在________年_______月____日______时前将原件递交至________________________________（详细地址）。</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04" w:name="_Toc515441108"/>
      <w:bookmarkStart w:id="305" w:name="_Toc511635781"/>
      <w:bookmarkStart w:id="306" w:name="_Toc516816111"/>
      <w:bookmarkStart w:id="307" w:name="_Toc516816300"/>
      <w:r>
        <w:rPr>
          <w:rFonts w:hint="eastAsia" w:asciiTheme="majorEastAsia" w:hAnsiTheme="majorEastAsia" w:eastAsiaTheme="majorEastAsia" w:cstheme="minorBidi"/>
          <w:bCs w:val="0"/>
          <w:color w:val="auto"/>
          <w:sz w:val="28"/>
          <w:szCs w:val="28"/>
        </w:rPr>
        <w:t>附件三：问题的澄清（格式）</w:t>
      </w:r>
      <w:bookmarkEnd w:id="304"/>
      <w:bookmarkEnd w:id="305"/>
      <w:bookmarkEnd w:id="306"/>
      <w:bookmarkEnd w:id="307"/>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问题的澄清</w:t>
      </w:r>
    </w:p>
    <w:p>
      <w:pPr>
        <w:widowControl/>
        <w:shd w:val="clear" w:color="auto" w:fill="FFFFFF"/>
        <w:snapToGrid w:val="0"/>
        <w:ind w:firstLine="420" w:firstLineChars="200"/>
        <w:jc w:val="center"/>
        <w:rPr>
          <w:rFonts w:asciiTheme="minorEastAsia" w:hAnsiTheme="minorEastAsia"/>
          <w:color w:val="auto"/>
          <w:szCs w:val="21"/>
        </w:rPr>
      </w:pPr>
      <w:r>
        <w:rPr>
          <w:rFonts w:hint="eastAsia" w:asciiTheme="minorEastAsia" w:hAnsiTheme="minorEastAsia"/>
          <w:color w:val="auto"/>
          <w:szCs w:val="21"/>
        </w:rPr>
        <w:t>（编号：_________________）</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评标委员会：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1.</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2.</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________年______月_____日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08" w:name="_Toc516816112"/>
      <w:bookmarkStart w:id="309" w:name="_Toc515441109"/>
      <w:bookmarkStart w:id="310" w:name="_Toc511635782"/>
      <w:bookmarkStart w:id="311" w:name="_Toc516816301"/>
      <w:r>
        <w:rPr>
          <w:rFonts w:hint="eastAsia" w:asciiTheme="majorEastAsia" w:hAnsiTheme="majorEastAsia" w:eastAsiaTheme="majorEastAsia" w:cstheme="minorBidi"/>
          <w:bCs w:val="0"/>
          <w:color w:val="auto"/>
          <w:sz w:val="28"/>
          <w:szCs w:val="28"/>
        </w:rPr>
        <w:t>附件四：中标通知书（格式）</w:t>
      </w:r>
      <w:bookmarkEnd w:id="308"/>
      <w:bookmarkEnd w:id="309"/>
      <w:bookmarkEnd w:id="310"/>
      <w:bookmarkEnd w:id="311"/>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中标通知书</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____________________（中标人名称）：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你方于_______________（投标日期）所递交的___________________（项目名称）施工招标的投标文件已被我方接受，被确定为中标人。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中标价：_______________元。</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请你方在接到本通知书后的_______日内到______________________（指定地点）与我方签订设备采购合同，并按招标文件第二章“投标人须知”第7.6款规定向我方提交履约保证金。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特此通知。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招标人：______________________（盖单位章）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___________年______月______日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12" w:name="_Toc516816302"/>
      <w:bookmarkStart w:id="313" w:name="_Toc516816113"/>
      <w:bookmarkStart w:id="314" w:name="_Toc511635783"/>
      <w:bookmarkStart w:id="315" w:name="_Toc515441110"/>
      <w:r>
        <w:rPr>
          <w:rFonts w:hint="eastAsia" w:asciiTheme="majorEastAsia" w:hAnsiTheme="majorEastAsia" w:eastAsiaTheme="majorEastAsia" w:cstheme="minorBidi"/>
          <w:bCs w:val="0"/>
          <w:color w:val="auto"/>
          <w:sz w:val="28"/>
          <w:szCs w:val="28"/>
        </w:rPr>
        <w:t>附件五：中标结果通知书（格式）</w:t>
      </w:r>
      <w:bookmarkEnd w:id="312"/>
      <w:bookmarkEnd w:id="313"/>
      <w:bookmarkEnd w:id="314"/>
      <w:bookmarkEnd w:id="315"/>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中标结果通知书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_________________________（未中标人名称）：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我方已接受__________（中标人名称）于_________（投标日期）所递交的____________（项目名称）施工招标的投标文件，确定_____________（中标人名称）为中标人。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感谢你单位对招标项目的参与！</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招标人：_________________（盖单位章）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___________年_______月_______日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16" w:name="_Toc516816303"/>
      <w:bookmarkStart w:id="317" w:name="_Toc516816114"/>
      <w:bookmarkStart w:id="318" w:name="_Toc511635784"/>
      <w:bookmarkStart w:id="319" w:name="_Toc515441111"/>
      <w:r>
        <w:rPr>
          <w:rFonts w:hint="eastAsia" w:asciiTheme="majorEastAsia" w:hAnsiTheme="majorEastAsia" w:eastAsiaTheme="majorEastAsia" w:cstheme="minorBidi"/>
          <w:bCs w:val="0"/>
          <w:color w:val="auto"/>
          <w:sz w:val="28"/>
          <w:szCs w:val="28"/>
        </w:rPr>
        <w:t>附件六：确认通知（格式）</w:t>
      </w:r>
      <w:bookmarkEnd w:id="316"/>
      <w:bookmarkEnd w:id="317"/>
      <w:bookmarkEnd w:id="318"/>
      <w:bookmarkEnd w:id="319"/>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确认通知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你方于_________年______月_______日发出的___________（项目名称）施工招标关于招标文件的</w:t>
      </w:r>
      <w:r>
        <w:rPr>
          <w:rFonts w:hint="eastAsia" w:asciiTheme="minorEastAsia" w:hAnsiTheme="minorEastAsia"/>
          <w:color w:val="auto"/>
          <w:szCs w:val="21"/>
          <w:u w:val="single"/>
        </w:rPr>
        <w:t>澄清/修改</w:t>
      </w:r>
      <w:r>
        <w:rPr>
          <w:rFonts w:hint="eastAsia" w:asciiTheme="minorEastAsia" w:hAnsiTheme="minorEastAsia"/>
          <w:color w:val="auto"/>
          <w:szCs w:val="21"/>
        </w:rPr>
        <w:t>的通知，我方已于_______年_____月_____日收到。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特此确认。</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法定代表人或委托代理人：__________（签字）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320" w:name="_Toc516816304"/>
      <w:bookmarkStart w:id="321" w:name="_Toc515441112"/>
      <w:bookmarkStart w:id="322" w:name="_Toc511635785"/>
      <w:bookmarkStart w:id="323" w:name="_Toc516816115"/>
      <w:r>
        <w:rPr>
          <w:rFonts w:hint="eastAsia" w:asciiTheme="majorEastAsia" w:hAnsiTheme="majorEastAsia" w:eastAsiaTheme="majorEastAsia"/>
          <w:color w:val="auto"/>
          <w:sz w:val="36"/>
          <w:szCs w:val="36"/>
        </w:rPr>
        <w:t>第三章 评标办法（综合评估法）</w:t>
      </w:r>
      <w:bookmarkEnd w:id="320"/>
      <w:bookmarkEnd w:id="321"/>
      <w:bookmarkEnd w:id="322"/>
      <w:bookmarkEnd w:id="323"/>
    </w:p>
    <w:p>
      <w:pPr>
        <w:widowControl/>
        <w:spacing w:line="360" w:lineRule="auto"/>
        <w:rPr>
          <w:rFonts w:asciiTheme="minorEastAsia" w:hAnsiTheme="minorEastAsia"/>
          <w:b/>
          <w:color w:val="auto"/>
          <w:szCs w:val="21"/>
        </w:rPr>
      </w:pPr>
    </w:p>
    <w:p>
      <w:pPr>
        <w:widowControl/>
        <w:spacing w:line="360" w:lineRule="auto"/>
        <w:ind w:firstLine="422" w:firstLineChars="200"/>
        <w:rPr>
          <w:rFonts w:asciiTheme="minorEastAsia" w:hAnsiTheme="minorEastAsia"/>
          <w:color w:val="auto"/>
          <w:szCs w:val="21"/>
        </w:rPr>
      </w:pPr>
      <w:r>
        <w:rPr>
          <w:rFonts w:hint="eastAsia" w:asciiTheme="minorEastAsia" w:hAnsiTheme="minorEastAsia"/>
          <w:b/>
          <w:color w:val="auto"/>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color w:val="auto"/>
        </w:rPr>
      </w:pPr>
      <w:bookmarkStart w:id="324" w:name="_Toc516816305"/>
      <w:bookmarkStart w:id="325" w:name="_Toc516816116"/>
      <w:bookmarkStart w:id="326" w:name="_Toc515441113"/>
      <w:bookmarkStart w:id="327" w:name="_Toc511635786"/>
      <w:r>
        <w:rPr>
          <w:rFonts w:hint="eastAsia" w:asciiTheme="majorEastAsia" w:hAnsiTheme="majorEastAsia" w:eastAsiaTheme="majorEastAsia" w:cstheme="minorBidi"/>
          <w:bCs w:val="0"/>
          <w:color w:val="auto"/>
          <w:sz w:val="28"/>
          <w:szCs w:val="28"/>
        </w:rPr>
        <w:t>评标办法前附表</w:t>
      </w:r>
      <w:bookmarkEnd w:id="324"/>
      <w:bookmarkEnd w:id="325"/>
      <w:bookmarkEnd w:id="326"/>
      <w:bookmarkEnd w:id="327"/>
    </w:p>
    <w:tbl>
      <w:tblPr>
        <w:tblStyle w:val="40"/>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评审因素</w:t>
            </w:r>
          </w:p>
        </w:tc>
        <w:tc>
          <w:tcPr>
            <w:tcW w:w="5103" w:type="dxa"/>
            <w:vAlign w:val="center"/>
          </w:tcPr>
          <w:p>
            <w:pPr>
              <w:widowControl/>
              <w:spacing w:line="500" w:lineRule="exact"/>
              <w:jc w:val="center"/>
              <w:rPr>
                <w:b/>
                <w:color w:val="auto"/>
                <w:szCs w:val="21"/>
              </w:rPr>
            </w:pPr>
            <w:r>
              <w:rPr>
                <w:rFonts w:hint="eastAsia"/>
                <w:b/>
                <w:color w:val="auto"/>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gridSpan w:val="2"/>
            <w:tcBorders>
              <w:right w:val="single" w:color="auto" w:sz="4" w:space="0"/>
            </w:tcBorders>
            <w:vAlign w:val="center"/>
          </w:tcPr>
          <w:p>
            <w:pPr>
              <w:widowControl/>
              <w:spacing w:line="500" w:lineRule="exact"/>
              <w:jc w:val="center"/>
              <w:rPr>
                <w:color w:val="auto"/>
                <w:szCs w:val="21"/>
              </w:rPr>
            </w:pPr>
            <w:r>
              <w:rPr>
                <w:color w:val="auto"/>
                <w:szCs w:val="21"/>
              </w:rPr>
              <w:t>1</w:t>
            </w:r>
          </w:p>
        </w:tc>
        <w:tc>
          <w:tcPr>
            <w:tcW w:w="992" w:type="dxa"/>
            <w:tcBorders>
              <w:left w:val="single" w:color="auto" w:sz="4" w:space="0"/>
            </w:tcBorders>
            <w:vAlign w:val="center"/>
          </w:tcPr>
          <w:p>
            <w:pPr>
              <w:widowControl/>
              <w:spacing w:line="500" w:lineRule="exact"/>
              <w:jc w:val="center"/>
              <w:rPr>
                <w:color w:val="auto"/>
                <w:szCs w:val="21"/>
              </w:rPr>
            </w:pPr>
            <w:r>
              <w:rPr>
                <w:rFonts w:hint="eastAsia"/>
                <w:color w:val="auto"/>
                <w:szCs w:val="21"/>
              </w:rPr>
              <w:t>评标方法</w:t>
            </w:r>
          </w:p>
        </w:tc>
        <w:tc>
          <w:tcPr>
            <w:tcW w:w="1985" w:type="dxa"/>
            <w:vAlign w:val="center"/>
          </w:tcPr>
          <w:p>
            <w:pPr>
              <w:widowControl/>
              <w:spacing w:line="500" w:lineRule="exact"/>
              <w:jc w:val="center"/>
              <w:rPr>
                <w:color w:val="auto"/>
                <w:szCs w:val="21"/>
              </w:rPr>
            </w:pPr>
            <w:r>
              <w:rPr>
                <w:rFonts w:hint="eastAsia"/>
                <w:color w:val="auto"/>
                <w:szCs w:val="21"/>
              </w:rPr>
              <w:t>中标候选人排序方法</w:t>
            </w:r>
          </w:p>
        </w:tc>
        <w:tc>
          <w:tcPr>
            <w:tcW w:w="5103" w:type="dxa"/>
            <w:vAlign w:val="center"/>
          </w:tcPr>
          <w:p>
            <w:pPr>
              <w:widowControl/>
              <w:shd w:val="clear" w:color="auto" w:fill="FFFFFF"/>
              <w:spacing w:line="500" w:lineRule="exact"/>
              <w:jc w:val="left"/>
              <w:rPr>
                <w:color w:val="auto"/>
                <w:szCs w:val="21"/>
              </w:rPr>
            </w:pPr>
            <w:r>
              <w:rPr>
                <w:rFonts w:hint="eastAsia" w:asciiTheme="minorEastAsia" w:hAnsiTheme="minorEastAsia"/>
                <w:color w:val="auto"/>
                <w:szCs w:val="21"/>
              </w:rPr>
              <w:t>本次评标采用综合评估法。评标委员会对满足招标文件实质性要求的投标文件，按照本章第2.2款规定的评分标准进行打分，并</w:t>
            </w:r>
            <w:r>
              <w:rPr>
                <w:rFonts w:hint="eastAsia"/>
                <w:color w:val="auto"/>
                <w:szCs w:val="21"/>
              </w:rPr>
              <w:t>按得分由高到低顺序推荐中标候选人，或根据招标人授权直接确定中标人，但投标报价低于其成本的除外。综合评分相等时，以投标报价低的优先；投标报价也相等的，以技术得分高的优先；技术得分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2.1.1</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形式评审标准</w:t>
            </w:r>
          </w:p>
        </w:tc>
        <w:tc>
          <w:tcPr>
            <w:tcW w:w="1985" w:type="dxa"/>
            <w:vAlign w:val="center"/>
          </w:tcPr>
          <w:p>
            <w:pPr>
              <w:widowControl/>
              <w:spacing w:line="500" w:lineRule="exact"/>
              <w:jc w:val="center"/>
              <w:rPr>
                <w:color w:val="auto"/>
                <w:szCs w:val="21"/>
              </w:rPr>
            </w:pPr>
            <w:r>
              <w:rPr>
                <w:rFonts w:hint="eastAsia"/>
                <w:color w:val="auto"/>
                <w:szCs w:val="21"/>
              </w:rPr>
              <w:t>投标人名称</w:t>
            </w:r>
          </w:p>
        </w:tc>
        <w:tc>
          <w:tcPr>
            <w:tcW w:w="5103" w:type="dxa"/>
            <w:vAlign w:val="center"/>
          </w:tcPr>
          <w:p>
            <w:pPr>
              <w:widowControl/>
              <w:spacing w:line="500" w:lineRule="exact"/>
              <w:jc w:val="left"/>
              <w:rPr>
                <w:color w:val="auto"/>
                <w:szCs w:val="21"/>
              </w:rPr>
            </w:pPr>
            <w:r>
              <w:rPr>
                <w:rFonts w:hint="eastAsia"/>
                <w:color w:val="auto"/>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投标函签字盖章</w:t>
            </w:r>
          </w:p>
        </w:tc>
        <w:tc>
          <w:tcPr>
            <w:tcW w:w="5103" w:type="dxa"/>
            <w:vAlign w:val="center"/>
          </w:tcPr>
          <w:p>
            <w:pPr>
              <w:widowControl/>
              <w:spacing w:line="500" w:lineRule="exact"/>
              <w:jc w:val="left"/>
              <w:rPr>
                <w:color w:val="auto"/>
                <w:szCs w:val="21"/>
              </w:rPr>
            </w:pPr>
            <w:r>
              <w:rPr>
                <w:rFonts w:hint="eastAsia"/>
                <w:color w:val="auto"/>
                <w:szCs w:val="21"/>
              </w:rPr>
              <w:t>有法定代表人或其委托代理人签字，加盖单位章。由法定代表人签字的，应附法定代表人身份证明，由代理人签字的，应附授权委托书，身份证明或授权委托书应符合第八章“投标文件格式”的规定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投标文件格式</w:t>
            </w:r>
          </w:p>
        </w:tc>
        <w:tc>
          <w:tcPr>
            <w:tcW w:w="5103" w:type="dxa"/>
            <w:vAlign w:val="center"/>
          </w:tcPr>
          <w:p>
            <w:pPr>
              <w:widowControl/>
              <w:spacing w:line="500" w:lineRule="exact"/>
              <w:jc w:val="left"/>
              <w:rPr>
                <w:color w:val="auto"/>
                <w:szCs w:val="21"/>
              </w:rPr>
            </w:pPr>
            <w:r>
              <w:rPr>
                <w:rFonts w:hint="eastAsia"/>
                <w:color w:val="auto"/>
                <w:szCs w:val="21"/>
              </w:rPr>
              <w:t>符合第八章“投标文件格式”的规定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联合体投标人</w:t>
            </w:r>
          </w:p>
        </w:tc>
        <w:tc>
          <w:tcPr>
            <w:tcW w:w="5103" w:type="dxa"/>
            <w:vAlign w:val="center"/>
          </w:tcPr>
          <w:p>
            <w:pPr>
              <w:widowControl/>
              <w:spacing w:line="500" w:lineRule="exact"/>
              <w:jc w:val="left"/>
              <w:rPr>
                <w:color w:val="auto"/>
                <w:szCs w:val="21"/>
              </w:rPr>
            </w:pPr>
            <w:r>
              <w:rPr>
                <w:rFonts w:hint="eastAsia"/>
                <w:color w:val="auto"/>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备选投标方案</w:t>
            </w:r>
          </w:p>
        </w:tc>
        <w:tc>
          <w:tcPr>
            <w:tcW w:w="5103" w:type="dxa"/>
            <w:vAlign w:val="center"/>
          </w:tcPr>
          <w:p>
            <w:pPr>
              <w:widowControl/>
              <w:spacing w:line="500" w:lineRule="exact"/>
              <w:jc w:val="left"/>
              <w:rPr>
                <w:color w:val="auto"/>
                <w:szCs w:val="21"/>
              </w:rPr>
            </w:pPr>
            <w:r>
              <w:rPr>
                <w:rFonts w:hint="eastAsia"/>
                <w:color w:val="auto"/>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2.1.2</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资格评审标准</w:t>
            </w:r>
          </w:p>
        </w:tc>
        <w:tc>
          <w:tcPr>
            <w:tcW w:w="1985" w:type="dxa"/>
            <w:vAlign w:val="center"/>
          </w:tcPr>
          <w:p>
            <w:pPr>
              <w:widowControl/>
              <w:spacing w:line="500" w:lineRule="exact"/>
              <w:jc w:val="center"/>
              <w:rPr>
                <w:color w:val="auto"/>
                <w:szCs w:val="21"/>
              </w:rPr>
            </w:pPr>
            <w:r>
              <w:rPr>
                <w:rFonts w:hint="eastAsia"/>
                <w:color w:val="auto"/>
                <w:szCs w:val="21"/>
              </w:rPr>
              <w:t>营业执照、组织机构代码证和安全生产许可证</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符合第二章“投标人须知”第3.5.1项规定，具备有效的营业执照、组织机构代码证和安全生产许可证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资质要求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财务要求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业绩要求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信誉要求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项目经理</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其他主要人员</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其他要求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联合体投标人</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不存在禁止投标的情形</w:t>
            </w:r>
          </w:p>
        </w:tc>
        <w:tc>
          <w:tcPr>
            <w:tcW w:w="5103" w:type="dxa"/>
            <w:vAlign w:val="center"/>
          </w:tcPr>
          <w:p>
            <w:pPr>
              <w:widowControl/>
              <w:spacing w:line="500" w:lineRule="exact"/>
              <w:jc w:val="left"/>
              <w:rPr>
                <w:color w:val="auto"/>
                <w:szCs w:val="21"/>
              </w:rPr>
            </w:pPr>
            <w:r>
              <w:rPr>
                <w:rFonts w:hint="eastAsia"/>
                <w:color w:val="auto"/>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2.1.3</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响应性评审标准</w:t>
            </w:r>
          </w:p>
        </w:tc>
        <w:tc>
          <w:tcPr>
            <w:tcW w:w="1985" w:type="dxa"/>
            <w:vAlign w:val="center"/>
          </w:tcPr>
          <w:p>
            <w:pPr>
              <w:widowControl/>
              <w:spacing w:line="500" w:lineRule="exact"/>
              <w:jc w:val="center"/>
              <w:rPr>
                <w:color w:val="auto"/>
                <w:szCs w:val="21"/>
              </w:rPr>
            </w:pPr>
            <w:r>
              <w:rPr>
                <w:rFonts w:hint="eastAsia"/>
                <w:color w:val="auto"/>
                <w:szCs w:val="21"/>
              </w:rPr>
              <w:t>投标报价</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投标内容</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工期期限</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质量标准</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投标有效期</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投标保证金</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权利义务</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施工组织设计</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条款内容</w:t>
            </w:r>
          </w:p>
        </w:tc>
        <w:tc>
          <w:tcPr>
            <w:tcW w:w="5103" w:type="dxa"/>
            <w:vAlign w:val="center"/>
          </w:tcPr>
          <w:p>
            <w:pPr>
              <w:widowControl/>
              <w:spacing w:line="500" w:lineRule="exact"/>
              <w:jc w:val="center"/>
              <w:rPr>
                <w:b/>
                <w:color w:val="auto"/>
                <w:szCs w:val="21"/>
              </w:rPr>
            </w:pPr>
            <w:r>
              <w:rPr>
                <w:rFonts w:hint="eastAsia"/>
                <w:b/>
                <w:color w:val="auto"/>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2.2.1</w:t>
            </w:r>
          </w:p>
        </w:tc>
        <w:tc>
          <w:tcPr>
            <w:tcW w:w="1985" w:type="dxa"/>
            <w:vAlign w:val="center"/>
          </w:tcPr>
          <w:p>
            <w:pPr>
              <w:widowControl/>
              <w:spacing w:line="500" w:lineRule="exact"/>
              <w:jc w:val="center"/>
              <w:rPr>
                <w:color w:val="auto"/>
                <w:szCs w:val="21"/>
              </w:rPr>
            </w:pPr>
            <w:r>
              <w:rPr>
                <w:rFonts w:hint="eastAsia"/>
                <w:color w:val="auto"/>
                <w:szCs w:val="21"/>
              </w:rPr>
              <w:t>分值构成</w:t>
            </w:r>
          </w:p>
          <w:p>
            <w:pPr>
              <w:widowControl/>
              <w:spacing w:line="500" w:lineRule="exact"/>
              <w:jc w:val="center"/>
              <w:rPr>
                <w:color w:val="auto"/>
                <w:szCs w:val="21"/>
              </w:rPr>
            </w:pPr>
            <w:r>
              <w:rPr>
                <w:rFonts w:hint="eastAsia"/>
                <w:color w:val="auto"/>
                <w:szCs w:val="21"/>
              </w:rPr>
              <w:t>(总分100分)</w:t>
            </w:r>
          </w:p>
        </w:tc>
        <w:tc>
          <w:tcPr>
            <w:tcW w:w="5103" w:type="dxa"/>
            <w:vAlign w:val="center"/>
          </w:tcPr>
          <w:p>
            <w:pPr>
              <w:widowControl/>
              <w:spacing w:line="500" w:lineRule="exact"/>
              <w:jc w:val="left"/>
              <w:rPr>
                <w:color w:val="auto"/>
                <w:szCs w:val="21"/>
              </w:rPr>
            </w:pPr>
            <w:r>
              <w:rPr>
                <w:rFonts w:hint="eastAsia"/>
                <w:color w:val="auto"/>
                <w:szCs w:val="21"/>
              </w:rPr>
              <w:t>商务部分：10分</w:t>
            </w:r>
          </w:p>
          <w:p>
            <w:pPr>
              <w:widowControl/>
              <w:spacing w:line="500" w:lineRule="exact"/>
              <w:jc w:val="left"/>
              <w:rPr>
                <w:color w:val="auto"/>
                <w:szCs w:val="21"/>
              </w:rPr>
            </w:pPr>
            <w:r>
              <w:rPr>
                <w:rFonts w:hint="eastAsia"/>
                <w:color w:val="auto"/>
                <w:szCs w:val="21"/>
              </w:rPr>
              <w:t>技术部分（施工组织设计，下同）：16分</w:t>
            </w:r>
          </w:p>
          <w:p>
            <w:pPr>
              <w:widowControl/>
              <w:spacing w:line="500" w:lineRule="exact"/>
              <w:jc w:val="left"/>
              <w:rPr>
                <w:color w:val="auto"/>
                <w:szCs w:val="21"/>
              </w:rPr>
            </w:pPr>
            <w:r>
              <w:rPr>
                <w:rFonts w:hint="eastAsia"/>
                <w:color w:val="auto"/>
                <w:szCs w:val="21"/>
              </w:rPr>
              <w:t>投标报价：74分</w:t>
            </w:r>
          </w:p>
          <w:p>
            <w:pPr>
              <w:widowControl/>
              <w:spacing w:line="500" w:lineRule="exact"/>
              <w:jc w:val="left"/>
              <w:rPr>
                <w:color w:val="auto"/>
                <w:szCs w:val="21"/>
              </w:rPr>
            </w:pPr>
            <w:r>
              <w:rPr>
                <w:rFonts w:hint="eastAsia"/>
                <w:color w:val="auto"/>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2.2.2</w:t>
            </w:r>
          </w:p>
        </w:tc>
        <w:tc>
          <w:tcPr>
            <w:tcW w:w="1985" w:type="dxa"/>
            <w:vAlign w:val="center"/>
          </w:tcPr>
          <w:p>
            <w:pPr>
              <w:widowControl/>
              <w:spacing w:line="500" w:lineRule="exact"/>
              <w:jc w:val="center"/>
              <w:rPr>
                <w:color w:val="auto"/>
                <w:szCs w:val="21"/>
              </w:rPr>
            </w:pPr>
            <w:r>
              <w:rPr>
                <w:rFonts w:hint="eastAsia"/>
                <w:color w:val="auto"/>
                <w:szCs w:val="21"/>
              </w:rPr>
              <w:t>评标基准价计算方法</w:t>
            </w:r>
          </w:p>
        </w:tc>
        <w:tc>
          <w:tcPr>
            <w:tcW w:w="5103" w:type="dxa"/>
            <w:vAlign w:val="center"/>
          </w:tcPr>
          <w:p>
            <w:pPr>
              <w:spacing w:line="500" w:lineRule="exact"/>
              <w:rPr>
                <w:color w:val="auto"/>
                <w:szCs w:val="21"/>
              </w:rPr>
            </w:pPr>
            <w:r>
              <w:rPr>
                <w:rFonts w:hint="eastAsia"/>
                <w:color w:val="auto"/>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color w:val="auto"/>
                <w:szCs w:val="21"/>
              </w:rPr>
            </w:pPr>
            <w:r>
              <w:rPr>
                <w:rFonts w:hint="eastAsia"/>
                <w:color w:val="auto"/>
                <w:szCs w:val="21"/>
              </w:rPr>
              <w:t>一、评标基准价计算公式为：B=[最高控制价A-不可竞争金额C]</w:t>
            </w:r>
            <w:r>
              <w:rPr>
                <w:color w:val="auto"/>
                <w:szCs w:val="21"/>
              </w:rPr>
              <w:t>×</w:t>
            </w:r>
            <w:r>
              <w:rPr>
                <w:rFonts w:hint="eastAsia"/>
                <w:color w:val="auto"/>
                <w:szCs w:val="21"/>
              </w:rPr>
              <w:t>(1-K)+不可竞争金额C（K指下浮率，C指不可竞争金额，下同）。</w:t>
            </w:r>
          </w:p>
          <w:p>
            <w:pPr>
              <w:spacing w:line="500" w:lineRule="exact"/>
              <w:rPr>
                <w:color w:val="auto"/>
                <w:szCs w:val="21"/>
              </w:rPr>
            </w:pPr>
            <w:r>
              <w:rPr>
                <w:rFonts w:hint="eastAsia"/>
                <w:color w:val="auto"/>
                <w:szCs w:val="21"/>
              </w:rPr>
              <w:t>二、最高控制价A=______元（A值以元为单位精确到元，小数点后第一位“四舍五入”，由招标人根据招标项目的具体特点和实际确定）。</w:t>
            </w:r>
          </w:p>
          <w:p>
            <w:pPr>
              <w:spacing w:line="500" w:lineRule="exact"/>
              <w:rPr>
                <w:color w:val="auto"/>
                <w:szCs w:val="21"/>
              </w:rPr>
            </w:pPr>
            <w:r>
              <w:rPr>
                <w:rFonts w:hint="eastAsia"/>
                <w:color w:val="auto"/>
                <w:szCs w:val="21"/>
              </w:rPr>
              <w:t>三、下浮率K的取值范围规定为___%（填入代表a的具体数，含本数）～___%（填入代表b的具体数，含本数）（</w:t>
            </w:r>
            <w:r>
              <w:rPr>
                <w:color w:val="auto"/>
                <w:kern w:val="0"/>
                <w:szCs w:val="21"/>
              </w:rPr>
              <w:t>a</w:t>
            </w:r>
            <w:r>
              <w:rPr>
                <w:rFonts w:hint="eastAsia" w:asciiTheme="minorEastAsia" w:hAnsiTheme="minorEastAsia"/>
                <w:color w:val="auto"/>
                <w:kern w:val="0"/>
                <w:szCs w:val="21"/>
              </w:rPr>
              <w:t>≤</w:t>
            </w:r>
            <w:r>
              <w:rPr>
                <w:color w:val="auto"/>
                <w:kern w:val="0"/>
                <w:szCs w:val="21"/>
              </w:rPr>
              <w:t>b</w:t>
            </w:r>
            <w:r>
              <w:rPr>
                <w:rFonts w:hint="eastAsia"/>
                <w:color w:val="auto"/>
                <w:kern w:val="0"/>
                <w:szCs w:val="21"/>
              </w:rPr>
              <w:t>，</w:t>
            </w:r>
            <w:r>
              <w:rPr>
                <w:color w:val="auto"/>
                <w:kern w:val="0"/>
                <w:szCs w:val="21"/>
              </w:rPr>
              <w:t>a</w:t>
            </w:r>
            <w:r>
              <w:rPr>
                <w:rFonts w:hint="eastAsia"/>
                <w:color w:val="auto"/>
                <w:kern w:val="0"/>
                <w:szCs w:val="21"/>
              </w:rPr>
              <w:t>、</w:t>
            </w:r>
            <w:r>
              <w:rPr>
                <w:color w:val="auto"/>
                <w:kern w:val="0"/>
                <w:szCs w:val="21"/>
              </w:rPr>
              <w:t>b</w:t>
            </w:r>
            <w:r>
              <w:rPr>
                <w:rFonts w:hint="eastAsia"/>
                <w:color w:val="auto"/>
                <w:szCs w:val="21"/>
              </w:rPr>
              <w:t>取值范围在0～12之间）。K值由K1和K2组成，即K=K1</w:t>
            </w:r>
            <w:r>
              <w:rPr>
                <w:color w:val="auto"/>
                <w:szCs w:val="21"/>
              </w:rPr>
              <w:t>×</w:t>
            </w:r>
            <w:r>
              <w:rPr>
                <w:rFonts w:hint="eastAsia"/>
                <w:color w:val="auto"/>
                <w:szCs w:val="21"/>
              </w:rPr>
              <w:t>d+K2</w:t>
            </w:r>
            <w:r>
              <w:rPr>
                <w:color w:val="auto"/>
                <w:szCs w:val="21"/>
              </w:rPr>
              <w:t>×</w:t>
            </w:r>
            <w:r>
              <w:rPr>
                <w:rFonts w:hint="eastAsia"/>
                <w:color w:val="auto"/>
                <w:szCs w:val="21"/>
              </w:rPr>
              <w:t>（1-d）（d代表K1的权重；K1、K2的取值范围同K；K、K1值保留小数点后两位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（一）K1值在开标时根据下浮率a%和b%取值范围内（含a%和b%）的投标报价及对应的投标人数量等两个因素由平台自动计算确定:</w:t>
            </w:r>
          </w:p>
          <w:p>
            <w:pPr>
              <w:spacing w:line="500" w:lineRule="exact"/>
              <w:rPr>
                <w:color w:val="auto"/>
                <w:szCs w:val="21"/>
              </w:rPr>
            </w:pPr>
            <w:r>
              <w:rPr>
                <w:rFonts w:hint="eastAsia"/>
                <w:color w:val="auto"/>
                <w:szCs w:val="21"/>
              </w:rPr>
              <w:t>第一步：计算K1值区间等份数N。将每1个K1值区间分为100个等份（即步长为0.01%），则N（K1值区间等份数）=（b-a）%/0.01%。</w:t>
            </w:r>
          </w:p>
          <w:p>
            <w:pPr>
              <w:spacing w:line="500" w:lineRule="exact"/>
              <w:rPr>
                <w:color w:val="auto"/>
                <w:szCs w:val="21"/>
              </w:rPr>
            </w:pPr>
            <w:r>
              <w:rPr>
                <w:rFonts w:hint="eastAsia"/>
                <w:color w:val="auto"/>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color w:val="auto"/>
                <w:szCs w:val="21"/>
              </w:rPr>
            </w:pPr>
            <w:r>
              <w:rPr>
                <w:rFonts w:hint="eastAsia"/>
                <w:color w:val="auto"/>
                <w:szCs w:val="21"/>
              </w:rPr>
              <w:t>第三步：求余数Y。被除数=H+n，除数=1+N，Y为被除数（H+n）和除数（1+N）的余数。余数Y的函数表达式为Y=MOD（H+n，1+N）。</w:t>
            </w:r>
          </w:p>
          <w:p>
            <w:pPr>
              <w:spacing w:line="500" w:lineRule="exact"/>
              <w:rPr>
                <w:color w:val="auto"/>
                <w:szCs w:val="21"/>
              </w:rPr>
            </w:pPr>
            <w:r>
              <w:rPr>
                <w:rFonts w:hint="eastAsia"/>
                <w:color w:val="auto"/>
                <w:szCs w:val="21"/>
              </w:rPr>
              <w:t>第四步：计算K1值。K1值计算式为K1=Y</w:t>
            </w:r>
            <w:r>
              <w:rPr>
                <w:color w:val="auto"/>
                <w:szCs w:val="21"/>
              </w:rPr>
              <w:t>×</w:t>
            </w:r>
            <w:r>
              <w:rPr>
                <w:rFonts w:hint="eastAsia"/>
                <w:color w:val="auto"/>
                <w:szCs w:val="21"/>
              </w:rPr>
              <w:t>0.01%+a%。</w:t>
            </w:r>
          </w:p>
          <w:p>
            <w:pPr>
              <w:spacing w:line="500" w:lineRule="exact"/>
              <w:rPr>
                <w:color w:val="auto"/>
                <w:szCs w:val="21"/>
              </w:rPr>
            </w:pPr>
            <w:r>
              <w:rPr>
                <w:rFonts w:hint="eastAsia"/>
                <w:color w:val="auto"/>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color w:val="auto"/>
                <w:szCs w:val="21"/>
              </w:rPr>
            </w:pPr>
            <w:r>
              <w:rPr>
                <w:rFonts w:hint="eastAsia"/>
                <w:color w:val="auto"/>
                <w:szCs w:val="21"/>
              </w:rPr>
              <w:t>（三）d由现场从0.1、0.2、0.3、0.4、0.5、0.6、0.7、0.8、0.9中随机抽取一个值。</w:t>
            </w:r>
          </w:p>
          <w:p>
            <w:pPr>
              <w:spacing w:line="500" w:lineRule="exact"/>
              <w:rPr>
                <w:b/>
                <w:color w:val="auto"/>
                <w:szCs w:val="21"/>
              </w:rPr>
            </w:pPr>
            <w:r>
              <w:rPr>
                <w:rFonts w:hint="eastAsia" w:asciiTheme="minorEastAsia" w:hAnsiTheme="minorEastAsia"/>
                <w:b/>
                <w:color w:val="auto"/>
                <w:szCs w:val="21"/>
              </w:rPr>
              <w:t>【</w:t>
            </w:r>
            <w:r>
              <w:rPr>
                <w:rFonts w:hint="eastAsia"/>
                <w:b/>
                <w:color w:val="auto"/>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1.12.1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2.2.3</w:t>
            </w:r>
          </w:p>
        </w:tc>
        <w:tc>
          <w:tcPr>
            <w:tcW w:w="1985" w:type="dxa"/>
            <w:vAlign w:val="center"/>
          </w:tcPr>
          <w:p>
            <w:pPr>
              <w:widowControl/>
              <w:spacing w:line="500" w:lineRule="exact"/>
              <w:jc w:val="center"/>
              <w:rPr>
                <w:color w:val="auto"/>
                <w:szCs w:val="21"/>
              </w:rPr>
            </w:pPr>
            <w:r>
              <w:rPr>
                <w:rFonts w:hint="eastAsia"/>
                <w:color w:val="auto"/>
                <w:szCs w:val="21"/>
              </w:rPr>
              <w:t>投标报价的偏差率</w:t>
            </w:r>
          </w:p>
          <w:p>
            <w:pPr>
              <w:widowControl/>
              <w:spacing w:line="500" w:lineRule="exact"/>
              <w:jc w:val="center"/>
              <w:rPr>
                <w:color w:val="auto"/>
                <w:szCs w:val="21"/>
              </w:rPr>
            </w:pPr>
            <w:r>
              <w:rPr>
                <w:rFonts w:hint="eastAsia"/>
                <w:color w:val="auto"/>
                <w:szCs w:val="21"/>
              </w:rPr>
              <w:t>计算公式</w:t>
            </w:r>
          </w:p>
        </w:tc>
        <w:tc>
          <w:tcPr>
            <w:tcW w:w="5103" w:type="dxa"/>
            <w:vAlign w:val="center"/>
          </w:tcPr>
          <w:p>
            <w:pPr>
              <w:spacing w:line="500" w:lineRule="exact"/>
              <w:rPr>
                <w:color w:val="auto"/>
                <w:szCs w:val="21"/>
              </w:rPr>
            </w:pPr>
            <w:r>
              <w:rPr>
                <w:rFonts w:hint="eastAsia"/>
                <w:color w:val="auto"/>
                <w:szCs w:val="21"/>
              </w:rPr>
              <w:t>投标报价偏差率＝∣投标报价-评标基准价∣</w:t>
            </w:r>
            <w:r>
              <w:rPr>
                <w:color w:val="auto"/>
                <w:szCs w:val="21"/>
              </w:rPr>
              <w:t>÷</w:t>
            </w:r>
            <w:r>
              <w:rPr>
                <w:rFonts w:hint="eastAsia"/>
                <w:color w:val="auto"/>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评分因素（偏差率）</w:t>
            </w:r>
          </w:p>
        </w:tc>
        <w:tc>
          <w:tcPr>
            <w:tcW w:w="5103" w:type="dxa"/>
            <w:vAlign w:val="center"/>
          </w:tcPr>
          <w:p>
            <w:pPr>
              <w:widowControl/>
              <w:spacing w:line="500" w:lineRule="exact"/>
              <w:jc w:val="center"/>
              <w:rPr>
                <w:b/>
                <w:color w:val="auto"/>
                <w:szCs w:val="21"/>
              </w:rPr>
            </w:pPr>
            <w:r>
              <w:rPr>
                <w:rFonts w:hint="eastAsia"/>
                <w:b/>
                <w:color w:val="auto"/>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（1）</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商务评分</w:t>
            </w:r>
          </w:p>
          <w:p>
            <w:pPr>
              <w:widowControl/>
              <w:spacing w:line="500" w:lineRule="exact"/>
              <w:jc w:val="center"/>
              <w:rPr>
                <w:color w:val="auto"/>
                <w:szCs w:val="21"/>
              </w:rPr>
            </w:pPr>
            <w:r>
              <w:rPr>
                <w:rFonts w:hint="eastAsia"/>
                <w:color w:val="auto"/>
                <w:szCs w:val="21"/>
              </w:rPr>
              <w:t>标准（满分10分）</w:t>
            </w:r>
          </w:p>
        </w:tc>
        <w:tc>
          <w:tcPr>
            <w:tcW w:w="1985" w:type="dxa"/>
            <w:tcBorders>
              <w:bottom w:val="single" w:color="auto" w:sz="4" w:space="0"/>
            </w:tcBorders>
            <w:vAlign w:val="center"/>
          </w:tcPr>
          <w:p>
            <w:pPr>
              <w:widowControl/>
              <w:spacing w:line="500" w:lineRule="exact"/>
              <w:jc w:val="center"/>
              <w:rPr>
                <w:color w:val="auto"/>
                <w:szCs w:val="21"/>
              </w:rPr>
            </w:pPr>
            <w:r>
              <w:rPr>
                <w:rFonts w:hint="eastAsia"/>
                <w:color w:val="auto"/>
                <w:szCs w:val="21"/>
              </w:rPr>
              <w:t>对投标人履约能力的评价</w:t>
            </w:r>
          </w:p>
          <w:p>
            <w:pPr>
              <w:widowControl/>
              <w:spacing w:line="500" w:lineRule="exact"/>
              <w:jc w:val="center"/>
              <w:rPr>
                <w:color w:val="auto"/>
                <w:szCs w:val="21"/>
              </w:rPr>
            </w:pPr>
            <w:r>
              <w:rPr>
                <w:rFonts w:hint="eastAsia"/>
                <w:color w:val="auto"/>
                <w:szCs w:val="21"/>
              </w:rPr>
              <w:t>（满分10分）</w:t>
            </w:r>
          </w:p>
        </w:tc>
        <w:tc>
          <w:tcPr>
            <w:tcW w:w="5103" w:type="dxa"/>
            <w:tcBorders>
              <w:bottom w:val="single" w:color="auto" w:sz="4" w:space="0"/>
            </w:tcBorders>
            <w:vAlign w:val="center"/>
          </w:tcPr>
          <w:p>
            <w:pPr>
              <w:spacing w:line="500" w:lineRule="exact"/>
              <w:ind w:firstLine="420" w:firstLineChars="200"/>
              <w:rPr>
                <w:color w:val="auto"/>
              </w:rPr>
            </w:pPr>
            <w:r>
              <w:rPr>
                <w:rFonts w:hint="eastAsia"/>
                <w:color w:val="auto"/>
                <w:szCs w:val="21"/>
              </w:rPr>
              <w:t>投标人履约能力评价得分（保留小数点后两位</w:t>
            </w:r>
            <w:r>
              <w:rPr>
                <w:rFonts w:hint="eastAsia"/>
                <w:color w:val="auto"/>
                <w:kern w:val="0"/>
                <w:szCs w:val="21"/>
              </w:rPr>
              <w:t>，小数点后第三位“四舍五入”</w:t>
            </w:r>
            <w:r>
              <w:rPr>
                <w:rFonts w:hint="eastAsia"/>
                <w:color w:val="auto"/>
                <w:szCs w:val="21"/>
              </w:rPr>
              <w:t>）=截标时</w:t>
            </w:r>
            <w:r>
              <w:rPr>
                <w:rFonts w:hint="eastAsia"/>
                <w:color w:val="auto"/>
              </w:rPr>
              <w:t>各</w:t>
            </w:r>
            <w:r>
              <w:rPr>
                <w:rFonts w:hint="eastAsia"/>
                <w:color w:val="auto"/>
                <w:szCs w:val="21"/>
              </w:rPr>
              <w:t>投标人的信用得分</w:t>
            </w:r>
            <w:r>
              <w:rPr>
                <w:color w:val="auto"/>
              </w:rPr>
              <w:t>×</w:t>
            </w:r>
            <w:r>
              <w:rPr>
                <w:rFonts w:hint="eastAsia"/>
                <w:color w:val="auto"/>
              </w:rPr>
              <w:t>0.1。</w:t>
            </w:r>
          </w:p>
          <w:p>
            <w:pPr>
              <w:spacing w:line="500" w:lineRule="exact"/>
              <w:ind w:firstLine="420" w:firstLineChars="200"/>
              <w:rPr>
                <w:color w:val="auto"/>
                <w:szCs w:val="21"/>
              </w:rPr>
            </w:pPr>
            <w:r>
              <w:rPr>
                <w:rFonts w:hint="eastAsia"/>
                <w:color w:val="auto"/>
                <w:szCs w:val="21"/>
              </w:rPr>
              <w:t>截标时</w:t>
            </w:r>
            <w:r>
              <w:rPr>
                <w:rFonts w:hint="eastAsia"/>
                <w:color w:val="auto"/>
              </w:rPr>
              <w:t>各</w:t>
            </w:r>
            <w:r>
              <w:rPr>
                <w:rFonts w:hint="eastAsia"/>
                <w:color w:val="auto"/>
                <w:szCs w:val="21"/>
              </w:rPr>
              <w:t>投标人的信用得分根据截标时福建省水利建设市场信用评价平台公布的投标人信用评价总得分计取（如有联合体投标的，投标人信用评价总得分计取以联合体牵头人的为准）。</w:t>
            </w:r>
          </w:p>
          <w:p>
            <w:pPr>
              <w:spacing w:line="500" w:lineRule="exact"/>
              <w:jc w:val="left"/>
              <w:rPr>
                <w:rFonts w:asciiTheme="minorEastAsia" w:hAnsiTheme="minorEastAsia"/>
                <w:b/>
                <w:color w:val="auto"/>
                <w:szCs w:val="21"/>
              </w:rPr>
            </w:pPr>
            <w:r>
              <w:rPr>
                <w:rFonts w:hint="eastAsia"/>
                <w:b/>
                <w:color w:val="auto"/>
                <w:szCs w:val="21"/>
              </w:rPr>
              <w:t>【注：</w:t>
            </w:r>
            <w:r>
              <w:rPr>
                <w:rFonts w:hint="eastAsia"/>
                <w:b/>
                <w:color w:val="auto"/>
              </w:rPr>
              <w:t>在</w:t>
            </w:r>
            <w:r>
              <w:rPr>
                <w:rFonts w:hint="eastAsia"/>
                <w:b/>
                <w:color w:val="auto"/>
                <w:lang w:eastAsia="zh-CN"/>
              </w:rPr>
              <w:t>福建省</w:t>
            </w:r>
            <w:r>
              <w:rPr>
                <w:rFonts w:hint="eastAsia"/>
                <w:b/>
                <w:color w:val="auto"/>
              </w:rPr>
              <w:t>水利建设市场主体信用评价结果应用办法出台前</w:t>
            </w:r>
            <w:r>
              <w:rPr>
                <w:rFonts w:hint="eastAsia"/>
                <w:b/>
                <w:color w:val="auto"/>
                <w:szCs w:val="21"/>
              </w:rPr>
              <w:t>，</w:t>
            </w:r>
            <w:r>
              <w:rPr>
                <w:rFonts w:hint="eastAsia"/>
                <w:b/>
                <w:color w:val="auto"/>
              </w:rPr>
              <w:t>各投标人的</w:t>
            </w:r>
            <w:r>
              <w:rPr>
                <w:rFonts w:hint="eastAsia"/>
                <w:b/>
                <w:color w:val="auto"/>
                <w:szCs w:val="21"/>
              </w:rPr>
              <w:t>信用得分</w:t>
            </w:r>
            <w:r>
              <w:rPr>
                <w:rFonts w:hint="eastAsia"/>
                <w:b/>
                <w:color w:val="auto"/>
              </w:rPr>
              <w:t>均为100</w:t>
            </w:r>
            <w:r>
              <w:rPr>
                <w:rFonts w:hint="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3"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7088" w:type="dxa"/>
            <w:gridSpan w:val="2"/>
            <w:tcBorders>
              <w:top w:val="single" w:color="auto" w:sz="4" w:space="0"/>
            </w:tcBorders>
            <w:vAlign w:val="center"/>
          </w:tcPr>
          <w:p>
            <w:pPr>
              <w:spacing w:line="500" w:lineRule="exact"/>
              <w:jc w:val="left"/>
              <w:rPr>
                <w:color w:val="auto"/>
                <w:szCs w:val="21"/>
              </w:rPr>
            </w:pPr>
            <w:r>
              <w:rPr>
                <w:rFonts w:hint="eastAsia" w:asciiTheme="minorEastAsia" w:hAnsiTheme="minorEastAsia"/>
                <w:b/>
                <w:color w:val="auto"/>
                <w:szCs w:val="21"/>
              </w:rPr>
              <w:t>【注：</w:t>
            </w:r>
            <w:r>
              <w:rPr>
                <w:rFonts w:hint="eastAsia" w:asciiTheme="minorEastAsia" w:hAnsiTheme="minorEastAsia"/>
                <w:b/>
                <w:color w:val="auto"/>
              </w:rPr>
              <w:t>招标</w:t>
            </w:r>
            <w:r>
              <w:rPr>
                <w:rFonts w:hint="eastAsia" w:asciiTheme="minorEastAsia" w:hAnsiTheme="minorEastAsia"/>
                <w:b/>
                <w:color w:val="auto"/>
                <w:szCs w:val="21"/>
              </w:rPr>
              <w:t>人应按上述评分因素设定评分标准，评审结果由电子招标投标交易平台自动计算，并经评标委员会核对、确认。】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（2）</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施工组织设计评分</w:t>
            </w:r>
          </w:p>
          <w:p>
            <w:pPr>
              <w:widowControl/>
              <w:spacing w:line="500" w:lineRule="exact"/>
              <w:jc w:val="center"/>
              <w:rPr>
                <w:color w:val="auto"/>
                <w:szCs w:val="21"/>
              </w:rPr>
            </w:pPr>
            <w:r>
              <w:rPr>
                <w:rFonts w:hint="eastAsia"/>
                <w:color w:val="auto"/>
                <w:szCs w:val="21"/>
              </w:rPr>
              <w:t>标准（满分16分）</w:t>
            </w:r>
          </w:p>
        </w:tc>
        <w:tc>
          <w:tcPr>
            <w:tcW w:w="1985" w:type="dxa"/>
            <w:vAlign w:val="center"/>
          </w:tcPr>
          <w:p>
            <w:pPr>
              <w:widowControl/>
              <w:spacing w:line="500" w:lineRule="exact"/>
              <w:jc w:val="center"/>
              <w:rPr>
                <w:color w:val="auto"/>
                <w:szCs w:val="21"/>
              </w:rPr>
            </w:pPr>
            <w:r>
              <w:rPr>
                <w:rFonts w:hint="eastAsia"/>
                <w:color w:val="auto"/>
                <w:szCs w:val="21"/>
              </w:rPr>
              <w:t>施工总平面布置及使用说明（满分3分）</w:t>
            </w:r>
          </w:p>
        </w:tc>
        <w:tc>
          <w:tcPr>
            <w:tcW w:w="5103" w:type="dxa"/>
            <w:vAlign w:val="center"/>
          </w:tcPr>
          <w:p>
            <w:pPr>
              <w:widowControl/>
              <w:spacing w:line="500" w:lineRule="exact"/>
              <w:jc w:val="left"/>
              <w:rPr>
                <w:color w:val="auto"/>
                <w:szCs w:val="21"/>
              </w:rPr>
            </w:pPr>
            <w:r>
              <w:rPr>
                <w:rFonts w:hint="eastAsia"/>
                <w:color w:val="auto"/>
                <w:szCs w:val="21"/>
              </w:rPr>
              <w:t>根据布置合理性、</w:t>
            </w:r>
            <w:r>
              <w:rPr>
                <w:color w:val="auto"/>
                <w:szCs w:val="21"/>
              </w:rPr>
              <w:t>内容完整性</w:t>
            </w:r>
            <w:r>
              <w:rPr>
                <w:rFonts w:hint="eastAsia"/>
                <w:color w:val="auto"/>
                <w:szCs w:val="21"/>
              </w:rPr>
              <w:t>，在2.4（含）～3.0（含）范围内赋分。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施工机构设置和岗位职责（满分2.0分）</w:t>
            </w:r>
          </w:p>
        </w:tc>
        <w:tc>
          <w:tcPr>
            <w:tcW w:w="5103" w:type="dxa"/>
            <w:vAlign w:val="center"/>
          </w:tcPr>
          <w:p>
            <w:pPr>
              <w:widowControl/>
              <w:spacing w:line="500" w:lineRule="exact"/>
              <w:jc w:val="left"/>
              <w:rPr>
                <w:color w:val="auto"/>
                <w:szCs w:val="21"/>
              </w:rPr>
            </w:pPr>
            <w:r>
              <w:rPr>
                <w:rFonts w:hint="eastAsia"/>
                <w:color w:val="auto"/>
                <w:szCs w:val="21"/>
              </w:rPr>
              <w:t>根据机构</w:t>
            </w:r>
            <w:r>
              <w:rPr>
                <w:color w:val="auto"/>
                <w:szCs w:val="21"/>
              </w:rPr>
              <w:t>设置及职责分工合理性</w:t>
            </w:r>
            <w:r>
              <w:rPr>
                <w:rFonts w:hint="eastAsia"/>
                <w:color w:val="auto"/>
                <w:szCs w:val="21"/>
              </w:rPr>
              <w:t>，在1.6（含）～2.0（含）范围内赋分。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主要施工程序、方法（满分3分）</w:t>
            </w:r>
          </w:p>
        </w:tc>
        <w:tc>
          <w:tcPr>
            <w:tcW w:w="5103" w:type="dxa"/>
            <w:vAlign w:val="center"/>
          </w:tcPr>
          <w:p>
            <w:pPr>
              <w:widowControl/>
              <w:spacing w:line="500" w:lineRule="exact"/>
              <w:jc w:val="left"/>
              <w:rPr>
                <w:color w:val="auto"/>
                <w:szCs w:val="21"/>
              </w:rPr>
            </w:pPr>
            <w:r>
              <w:rPr>
                <w:rFonts w:hint="eastAsia"/>
                <w:color w:val="auto"/>
                <w:szCs w:val="21"/>
              </w:rPr>
              <w:t>根据程序规范性、方法先进性，在2.4（含）～3.0（含）范围内赋分。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施工质量、安全、文明、环保保障措施（满分2.0分）</w:t>
            </w:r>
          </w:p>
        </w:tc>
        <w:tc>
          <w:tcPr>
            <w:tcW w:w="5103" w:type="dxa"/>
            <w:vAlign w:val="center"/>
          </w:tcPr>
          <w:p>
            <w:pPr>
              <w:widowControl/>
              <w:spacing w:line="500" w:lineRule="exact"/>
              <w:jc w:val="left"/>
              <w:rPr>
                <w:color w:val="auto"/>
                <w:szCs w:val="21"/>
              </w:rPr>
            </w:pPr>
            <w:r>
              <w:rPr>
                <w:rFonts w:hint="eastAsia"/>
                <w:color w:val="auto"/>
                <w:szCs w:val="21"/>
              </w:rPr>
              <w:t>根据相关内容周全性、措施有效性，在1.6（含）～2.0（含）范围内赋分。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施工进度计划及保障措施（满分1.5分）</w:t>
            </w:r>
          </w:p>
        </w:tc>
        <w:tc>
          <w:tcPr>
            <w:tcW w:w="5103" w:type="dxa"/>
            <w:vAlign w:val="center"/>
          </w:tcPr>
          <w:p>
            <w:pPr>
              <w:widowControl/>
              <w:spacing w:line="500" w:lineRule="exact"/>
              <w:jc w:val="left"/>
              <w:rPr>
                <w:color w:val="auto"/>
                <w:szCs w:val="21"/>
              </w:rPr>
            </w:pPr>
            <w:r>
              <w:rPr>
                <w:rFonts w:hint="eastAsia"/>
                <w:color w:val="auto"/>
                <w:szCs w:val="21"/>
              </w:rPr>
              <w:t>根据计划周全性、措施有效性，在1.2（含）～1.5（含）范围内赋分。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拟投入的主要施工机械设备及劳动力安排（满分1.5分）</w:t>
            </w:r>
          </w:p>
        </w:tc>
        <w:tc>
          <w:tcPr>
            <w:tcW w:w="5103" w:type="dxa"/>
            <w:vAlign w:val="center"/>
          </w:tcPr>
          <w:p>
            <w:pPr>
              <w:widowControl/>
              <w:spacing w:line="500" w:lineRule="exact"/>
              <w:jc w:val="left"/>
              <w:rPr>
                <w:color w:val="auto"/>
                <w:szCs w:val="21"/>
              </w:rPr>
            </w:pPr>
            <w:r>
              <w:rPr>
                <w:rFonts w:hint="eastAsia"/>
                <w:color w:val="auto"/>
                <w:szCs w:val="21"/>
              </w:rPr>
              <w:t>根据安排周全性、针对性，在1.2（含）～1.5（含）范围内赋分。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asciiTheme="minorEastAsia" w:hAnsiTheme="minorEastAsia"/>
                <w:color w:val="auto"/>
                <w:szCs w:val="21"/>
              </w:rPr>
              <w:t>施工工作重点、难点和对策</w:t>
            </w:r>
            <w:r>
              <w:rPr>
                <w:rFonts w:hint="eastAsia"/>
                <w:color w:val="auto"/>
                <w:szCs w:val="21"/>
              </w:rPr>
              <w:t>（满分1.5分）</w:t>
            </w:r>
          </w:p>
        </w:tc>
        <w:tc>
          <w:tcPr>
            <w:tcW w:w="5103" w:type="dxa"/>
            <w:vAlign w:val="center"/>
          </w:tcPr>
          <w:p>
            <w:pPr>
              <w:widowControl/>
              <w:spacing w:line="500" w:lineRule="exact"/>
              <w:jc w:val="left"/>
              <w:rPr>
                <w:color w:val="auto"/>
                <w:szCs w:val="21"/>
              </w:rPr>
            </w:pPr>
            <w:r>
              <w:rPr>
                <w:rFonts w:hint="eastAsia"/>
                <w:color w:val="auto"/>
                <w:szCs w:val="21"/>
              </w:rPr>
              <w:t>根据理解全面性、分析合理性、措施有效性、方法先进性，在1.2（含）～1.5（含）范围内赋分。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合理化建议（满分1.5分）</w:t>
            </w:r>
          </w:p>
        </w:tc>
        <w:tc>
          <w:tcPr>
            <w:tcW w:w="5103" w:type="dxa"/>
            <w:vAlign w:val="center"/>
          </w:tcPr>
          <w:p>
            <w:pPr>
              <w:widowControl/>
              <w:spacing w:line="500" w:lineRule="exact"/>
              <w:jc w:val="left"/>
              <w:rPr>
                <w:color w:val="auto"/>
                <w:szCs w:val="21"/>
              </w:rPr>
            </w:pPr>
            <w:r>
              <w:rPr>
                <w:rFonts w:hint="eastAsia"/>
                <w:color w:val="auto"/>
                <w:szCs w:val="21"/>
              </w:rPr>
              <w:t>根据建议合理性、方案可行性，在1.2（含）～1.5（含）范围内赋分。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7088" w:type="dxa"/>
            <w:gridSpan w:val="2"/>
            <w:vAlign w:val="center"/>
          </w:tcPr>
          <w:p>
            <w:pPr>
              <w:widowControl/>
              <w:spacing w:line="500" w:lineRule="exact"/>
              <w:jc w:val="center"/>
              <w:rPr>
                <w:color w:val="auto"/>
                <w:szCs w:val="21"/>
              </w:rPr>
            </w:pPr>
            <w:r>
              <w:rPr>
                <w:rFonts w:hint="eastAsia"/>
                <w:color w:val="auto"/>
                <w:szCs w:val="21"/>
              </w:rPr>
              <w:t>评分规则（满分16分）</w:t>
            </w:r>
          </w:p>
          <w:p>
            <w:pPr>
              <w:spacing w:line="500" w:lineRule="exact"/>
              <w:rPr>
                <w:color w:val="auto"/>
                <w:szCs w:val="21"/>
              </w:rPr>
            </w:pPr>
            <w:r>
              <w:rPr>
                <w:rFonts w:hint="eastAsia"/>
                <w:color w:val="auto"/>
                <w:szCs w:val="21"/>
              </w:rPr>
              <w:t>一、施工组织设计</w:t>
            </w:r>
            <w:r>
              <w:rPr>
                <w:rFonts w:hint="eastAsia"/>
                <w:color w:val="auto"/>
              </w:rPr>
              <w:t>评分。</w:t>
            </w:r>
            <w:r>
              <w:rPr>
                <w:rFonts w:hint="eastAsia"/>
                <w:color w:val="auto"/>
                <w:szCs w:val="21"/>
              </w:rPr>
              <w:t>电子招标投标交易平台应对施工组织设计进行章节乱序排列后，提交评标委员会评审。评标委员会应按照招标文件规定的施工组织设计评分因素、评分标准对各投标人的施工组织设计进行评审打分。评审结果由</w:t>
            </w:r>
            <w:r>
              <w:rPr>
                <w:rFonts w:hint="eastAsia" w:asciiTheme="minorEastAsia" w:hAnsiTheme="minorEastAsia"/>
                <w:color w:val="auto"/>
                <w:szCs w:val="21"/>
              </w:rPr>
              <w:t>电子招标投标交易平台</w:t>
            </w:r>
            <w:r>
              <w:rPr>
                <w:rFonts w:hint="eastAsia"/>
                <w:color w:val="auto"/>
                <w:szCs w:val="21"/>
              </w:rPr>
              <w:t>自动计算，并经评标委员会核对、确认；</w:t>
            </w:r>
          </w:p>
          <w:p>
            <w:pPr>
              <w:spacing w:line="500" w:lineRule="exact"/>
              <w:rPr>
                <w:color w:val="auto"/>
                <w:szCs w:val="21"/>
              </w:rPr>
            </w:pPr>
            <w:r>
              <w:rPr>
                <w:rFonts w:hint="eastAsia"/>
                <w:color w:val="auto"/>
                <w:szCs w:val="21"/>
              </w:rPr>
              <w:t>二、施工组织设计评分得分统计。由电子</w:t>
            </w:r>
            <w:r>
              <w:rPr>
                <w:rFonts w:hint="eastAsia" w:asciiTheme="minorEastAsia" w:hAnsiTheme="minorEastAsia"/>
                <w:color w:val="auto"/>
                <w:szCs w:val="21"/>
              </w:rPr>
              <w:t>招标投标</w:t>
            </w:r>
            <w:r>
              <w:rPr>
                <w:rFonts w:hint="eastAsia"/>
                <w:color w:val="auto"/>
                <w:szCs w:val="21"/>
              </w:rPr>
              <w:t>交易平台提供辅助统计功能，按下述评判标准，自动认定和去除属于无效施工组织设计评分评委，计算各投标人的施工组织设计得分（保留小数点后2位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针对每个评委的各个投标人施工组织设计评分：有出现对投标人的施工组织设计评分在12.80（含）～16.00（含）之外的，对应的评委定为可能无效施工组织设计评分评委。如所对应的投标人施工组织设计不属于无效投标文件的，则该评委视为无效施工组织设计评分评委。无效施工组织设计评分评委的所有施工组织设计评分均无效；</w:t>
            </w:r>
          </w:p>
          <w:p>
            <w:pPr>
              <w:spacing w:line="500" w:lineRule="exact"/>
              <w:rPr>
                <w:color w:val="auto"/>
                <w:szCs w:val="21"/>
              </w:rPr>
            </w:pPr>
            <w:r>
              <w:rPr>
                <w:rFonts w:hint="eastAsia"/>
                <w:color w:val="auto"/>
                <w:szCs w:val="21"/>
              </w:rPr>
              <w:t>（二）针对每个评委的各个投标人施工组织设计评分：去除上述无效施工组织设计评分评委后，逐步逐个算出每个评委施工组织设计评分与其他评委施工组织设计评分的算术平均数的差值。从差值中找出最大值T，将T值对应的评委（若出现2个及以上并列情形，选择在平台中签到序号排后的）定为可能无效施工组织设计评分评委。如该评委的T值大于0.96，则该评委视为无效施工组织设计评分评委。无效施工组织设计评分评委的所有施工组织设计评分均无效；</w:t>
            </w:r>
          </w:p>
          <w:p>
            <w:pPr>
              <w:spacing w:line="500" w:lineRule="exact"/>
              <w:rPr>
                <w:color w:val="auto"/>
                <w:szCs w:val="21"/>
              </w:rPr>
            </w:pPr>
            <w:r>
              <w:rPr>
                <w:rFonts w:hint="eastAsia"/>
                <w:color w:val="auto"/>
                <w:szCs w:val="21"/>
              </w:rPr>
              <w:t>（三）针对每个评委的最高投标人施工组织设计评分与最低投标人施工组织设计评分的分差值：去除上述无效施工组织设计评分评委，算出每个评委的最高投标人施工组织设计评分与最低投标人施工组织设计评分的分差值后，逐步逐个算出每个评委施工组织设计评分的分差值与其他评委施工组织设计评分的分差值的算术平均数的差值。从差值中找出最大值M，将M值对应的评委（若出现2个及以上并列情形，选择在平台中签到序号排后的）定为可能无效施工组织设计评分评委。如该评委的M值大于其他评委分值差的算术平均数的0.3倍，则该评委为无效施工组织设计评分评委。无效施工组织设计评分评委的所有施工组织设计评分均无效。</w:t>
            </w:r>
          </w:p>
          <w:p>
            <w:pPr>
              <w:widowControl/>
              <w:spacing w:line="500" w:lineRule="exact"/>
              <w:jc w:val="left"/>
              <w:rPr>
                <w:color w:val="auto"/>
                <w:szCs w:val="21"/>
              </w:rPr>
            </w:pPr>
            <w:r>
              <w:rPr>
                <w:rFonts w:hint="eastAsia"/>
                <w:color w:val="auto"/>
                <w:szCs w:val="21"/>
              </w:rPr>
              <w:t>（四）去除上述无效施工组织设计评分评委后，根据余下评委的评分情况，计算各投标人的施工组织设计平均得分，所计算得分为各投标人的最终施工组织设计得分。</w:t>
            </w:r>
          </w:p>
          <w:p>
            <w:pPr>
              <w:spacing w:line="500" w:lineRule="exact"/>
              <w:rPr>
                <w:rFonts w:ascii="黑体" w:hAnsi="黑体" w:eastAsia="黑体"/>
                <w:b/>
                <w:color w:val="auto"/>
                <w:szCs w:val="21"/>
              </w:rPr>
            </w:pPr>
            <w:r>
              <w:rPr>
                <w:rFonts w:hint="eastAsia"/>
                <w:b/>
                <w:color w:val="auto"/>
                <w:szCs w:val="21"/>
              </w:rPr>
              <w:t>【注：1、</w:t>
            </w:r>
            <w:r>
              <w:rPr>
                <w:rFonts w:hint="eastAsia"/>
                <w:b/>
                <w:color w:val="auto"/>
              </w:rPr>
              <w:t>投标</w:t>
            </w:r>
            <w:r>
              <w:rPr>
                <w:rFonts w:hint="eastAsia"/>
                <w:b/>
                <w:color w:val="auto"/>
                <w:szCs w:val="21"/>
              </w:rPr>
              <w:t>人应结合招标项目的特点和实际需要，按上述章节编制施工组织设计。2、施工组织设计采用暗标评审，施工组织设计除在规定处签字、盖章外，不得有体现投标人名称、具体人名、投标报价和可以认为是投标人承担过的工程项目名称或其它可以判定投标人的标记，且应按以下要求编制，否则按无效投标处理：①目录、标题、正文文字一律用三号仿宋体，表格文字、图纸说明文字为小四号仿宋体；②文字不可加粗、斜体、下划线等设置；③段首空两字符；④每个页面不能设置页码；⑤不得作任何标识或暗示投标人单位名称或人员姓名的标记；⑥不得采用任何不符合常规，有别于其他投标人的特殊做法的暗号；⑦正文文字采用A4版面，图纸、施工进度计划表（图）可采用任意版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7"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（3）</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投标报价</w:t>
            </w:r>
          </w:p>
          <w:p>
            <w:pPr>
              <w:widowControl/>
              <w:spacing w:line="500" w:lineRule="exact"/>
              <w:jc w:val="center"/>
              <w:rPr>
                <w:color w:val="auto"/>
                <w:szCs w:val="21"/>
              </w:rPr>
            </w:pPr>
            <w:r>
              <w:rPr>
                <w:rFonts w:hint="eastAsia"/>
                <w:color w:val="auto"/>
                <w:szCs w:val="21"/>
              </w:rPr>
              <w:t>评分标准（满分74分）</w:t>
            </w:r>
          </w:p>
        </w:tc>
        <w:tc>
          <w:tcPr>
            <w:tcW w:w="1985" w:type="dxa"/>
            <w:tcBorders>
              <w:bottom w:val="single" w:color="auto" w:sz="4" w:space="0"/>
            </w:tcBorders>
            <w:vAlign w:val="center"/>
          </w:tcPr>
          <w:p>
            <w:pPr>
              <w:widowControl/>
              <w:spacing w:line="500" w:lineRule="exact"/>
              <w:jc w:val="center"/>
              <w:rPr>
                <w:color w:val="auto"/>
                <w:szCs w:val="21"/>
              </w:rPr>
            </w:pPr>
            <w:r>
              <w:rPr>
                <w:rFonts w:hint="eastAsia"/>
                <w:color w:val="auto"/>
                <w:szCs w:val="21"/>
              </w:rPr>
              <w:t>偏差率评分</w:t>
            </w:r>
          </w:p>
          <w:p>
            <w:pPr>
              <w:widowControl/>
              <w:spacing w:line="500" w:lineRule="exact"/>
              <w:jc w:val="center"/>
              <w:rPr>
                <w:color w:val="auto"/>
                <w:szCs w:val="21"/>
              </w:rPr>
            </w:pPr>
            <w:r>
              <w:rPr>
                <w:rFonts w:hint="eastAsia"/>
                <w:color w:val="auto"/>
                <w:szCs w:val="21"/>
              </w:rPr>
              <w:t>（满分70分）</w:t>
            </w:r>
          </w:p>
        </w:tc>
        <w:tc>
          <w:tcPr>
            <w:tcW w:w="5103" w:type="dxa"/>
            <w:tcBorders>
              <w:bottom w:val="single" w:color="auto" w:sz="4" w:space="0"/>
            </w:tcBorders>
            <w:vAlign w:val="center"/>
          </w:tcPr>
          <w:p>
            <w:pPr>
              <w:spacing w:line="540" w:lineRule="exact"/>
              <w:rPr>
                <w:color w:val="auto"/>
                <w:szCs w:val="21"/>
              </w:rPr>
            </w:pPr>
            <w:r>
              <w:rPr>
                <w:rFonts w:hint="eastAsia"/>
                <w:color w:val="auto"/>
                <w:szCs w:val="21"/>
              </w:rPr>
              <w:t>投标报价偏差率得分由电子招标投标交易平台按下述公式自动计算，并提供计算过程表格，经评标委员会核对、确认（保留小数点后两位，小数点后第三位“四舍五入”）：</w:t>
            </w:r>
          </w:p>
          <w:p>
            <w:pPr>
              <w:spacing w:line="540" w:lineRule="exact"/>
              <w:rPr>
                <w:color w:val="auto"/>
                <w:szCs w:val="21"/>
              </w:rPr>
            </w:pPr>
            <w:r>
              <w:rPr>
                <w:rFonts w:hint="eastAsia"/>
                <w:color w:val="auto"/>
                <w:szCs w:val="21"/>
              </w:rPr>
              <w:t>一、投标报价偏差率得分＝70-∣投标报价-评标基准价∣÷评标基准价×100Q。投标报价与评标基准价相比较，等于评标基准价的，得满分；低于评标基准价时Q=q；高于评标基准价时Q=2q。</w:t>
            </w:r>
          </w:p>
          <w:p>
            <w:pPr>
              <w:spacing w:line="540" w:lineRule="exact"/>
              <w:rPr>
                <w:color w:val="auto"/>
                <w:szCs w:val="21"/>
              </w:rPr>
            </w:pPr>
            <w:r>
              <w:rPr>
                <w:rFonts w:hint="eastAsia"/>
                <w:color w:val="auto"/>
                <w:szCs w:val="21"/>
              </w:rPr>
              <w:t>二、q确定方法：</w:t>
            </w:r>
          </w:p>
          <w:p>
            <w:pPr>
              <w:spacing w:line="540" w:lineRule="exact"/>
              <w:rPr>
                <w:color w:val="auto"/>
                <w:szCs w:val="21"/>
              </w:rPr>
            </w:pPr>
            <w:r>
              <w:rPr>
                <w:rFonts w:hint="eastAsia"/>
                <w:color w:val="auto"/>
                <w:szCs w:val="21"/>
              </w:rPr>
              <w:t>（一）求等份值。q值区间在0.3-1.0，按步长0.01，分为70个等份。</w:t>
            </w:r>
          </w:p>
          <w:p>
            <w:pPr>
              <w:spacing w:line="540" w:lineRule="exact"/>
              <w:rPr>
                <w:color w:val="auto"/>
                <w:szCs w:val="21"/>
              </w:rPr>
            </w:pPr>
            <w:r>
              <w:rPr>
                <w:rFonts w:hint="eastAsia"/>
                <w:color w:val="auto"/>
                <w:szCs w:val="21"/>
              </w:rPr>
              <w:t>（二）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40" w:lineRule="exact"/>
              <w:rPr>
                <w:color w:val="auto"/>
                <w:szCs w:val="21"/>
              </w:rPr>
            </w:pPr>
            <w:r>
              <w:rPr>
                <w:rFonts w:hint="eastAsia"/>
                <w:color w:val="auto"/>
                <w:szCs w:val="21"/>
              </w:rPr>
              <w:t>（三）求余数y。被除数为H+n，除数等份数70加1之和，即71。余数y的函数表达式为y=MOD（H+n，71）。</w:t>
            </w:r>
          </w:p>
          <w:p>
            <w:pPr>
              <w:spacing w:line="540" w:lineRule="exact"/>
              <w:rPr>
                <w:color w:val="auto"/>
                <w:szCs w:val="21"/>
              </w:rPr>
            </w:pPr>
            <w:r>
              <w:rPr>
                <w:rFonts w:hint="eastAsia"/>
                <w:color w:val="auto"/>
                <w:szCs w:val="21"/>
              </w:rPr>
              <w:t>（四）计算q值。q值的计算式为q=余数y×0.01+0.3。</w:t>
            </w:r>
          </w:p>
          <w:p>
            <w:pPr>
              <w:spacing w:line="500" w:lineRule="exact"/>
              <w:rPr>
                <w:b/>
                <w:color w:val="auto"/>
                <w:szCs w:val="21"/>
              </w:rPr>
            </w:pPr>
            <w:r>
              <w:rPr>
                <w:rFonts w:hint="eastAsia"/>
                <w:b/>
                <w:color w:val="auto"/>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18"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bottom w:val="single" w:color="auto" w:sz="4" w:space="0"/>
            </w:tcBorders>
            <w:vAlign w:val="center"/>
          </w:tcPr>
          <w:p>
            <w:pPr>
              <w:widowControl/>
              <w:spacing w:line="500" w:lineRule="exact"/>
              <w:jc w:val="center"/>
              <w:rPr>
                <w:color w:val="auto"/>
                <w:szCs w:val="21"/>
              </w:rPr>
            </w:pPr>
            <w:r>
              <w:rPr>
                <w:rFonts w:hint="eastAsia"/>
                <w:color w:val="auto"/>
                <w:szCs w:val="21"/>
              </w:rPr>
              <w:t>报价合理性评分</w:t>
            </w:r>
          </w:p>
          <w:p>
            <w:pPr>
              <w:spacing w:line="500" w:lineRule="exact"/>
              <w:jc w:val="center"/>
              <w:rPr>
                <w:color w:val="auto"/>
                <w:szCs w:val="21"/>
              </w:rPr>
            </w:pPr>
            <w:r>
              <w:rPr>
                <w:rFonts w:hint="eastAsia"/>
                <w:color w:val="auto"/>
                <w:szCs w:val="21"/>
              </w:rPr>
              <w:t>（满分4分）</w:t>
            </w:r>
          </w:p>
        </w:tc>
        <w:tc>
          <w:tcPr>
            <w:tcW w:w="5103" w:type="dxa"/>
            <w:tcBorders>
              <w:top w:val="single" w:color="auto" w:sz="4" w:space="0"/>
              <w:bottom w:val="single" w:color="auto" w:sz="4" w:space="0"/>
            </w:tcBorders>
            <w:vAlign w:val="center"/>
          </w:tcPr>
          <w:p>
            <w:pPr>
              <w:spacing w:line="500" w:lineRule="exact"/>
              <w:rPr>
                <w:color w:val="auto"/>
                <w:szCs w:val="21"/>
              </w:rPr>
            </w:pPr>
            <w:r>
              <w:rPr>
                <w:rFonts w:hint="eastAsia"/>
                <w:color w:val="auto"/>
                <w:szCs w:val="21"/>
              </w:rPr>
              <w:t>投标报价低于下浮率b%相应总价的，扣1分；投标报价高于下浮率a%相应总价的，扣1分；已标价“</w:t>
            </w:r>
            <w:r>
              <w:rPr>
                <w:rFonts w:hint="eastAsia" w:asciiTheme="minorEastAsia" w:hAnsiTheme="minorEastAsia"/>
                <w:color w:val="auto"/>
                <w:szCs w:val="21"/>
              </w:rPr>
              <w:t>工程量清单</w:t>
            </w:r>
            <w:r>
              <w:rPr>
                <w:rFonts w:hint="eastAsia"/>
                <w:color w:val="auto"/>
                <w:szCs w:val="21"/>
              </w:rPr>
              <w:t>报价表”单价有高于控制价相应单价10%的（如有控制价清单），扣2分。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8" w:hRule="atLeast"/>
        </w:trPr>
        <w:tc>
          <w:tcPr>
            <w:tcW w:w="743" w:type="dxa"/>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（4）</w:t>
            </w:r>
          </w:p>
        </w:tc>
        <w:tc>
          <w:tcPr>
            <w:tcW w:w="1100" w:type="dxa"/>
            <w:gridSpan w:val="2"/>
            <w:tcBorders>
              <w:left w:val="single" w:color="auto" w:sz="4" w:space="0"/>
            </w:tcBorders>
            <w:vAlign w:val="center"/>
          </w:tcPr>
          <w:p>
            <w:pPr>
              <w:widowControl/>
              <w:spacing w:line="500" w:lineRule="exact"/>
              <w:jc w:val="center"/>
              <w:rPr>
                <w:color w:val="auto"/>
                <w:szCs w:val="21"/>
              </w:rPr>
            </w:pPr>
            <w:r>
              <w:rPr>
                <w:rFonts w:hint="eastAsia"/>
                <w:color w:val="auto"/>
                <w:szCs w:val="21"/>
              </w:rPr>
              <w:t>其他因素</w:t>
            </w:r>
          </w:p>
          <w:p>
            <w:pPr>
              <w:widowControl/>
              <w:spacing w:line="500" w:lineRule="exact"/>
              <w:jc w:val="center"/>
              <w:rPr>
                <w:color w:val="auto"/>
                <w:szCs w:val="21"/>
              </w:rPr>
            </w:pPr>
            <w:r>
              <w:rPr>
                <w:rFonts w:hint="eastAsia"/>
                <w:color w:val="auto"/>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color w:val="auto"/>
                <w:szCs w:val="21"/>
              </w:rPr>
            </w:pPr>
            <w:r>
              <w:rPr>
                <w:rFonts w:hint="eastAsia"/>
                <w:color w:val="auto"/>
                <w:szCs w:val="21"/>
              </w:rPr>
              <w:t>/</w:t>
            </w:r>
          </w:p>
        </w:tc>
        <w:tc>
          <w:tcPr>
            <w:tcW w:w="5103" w:type="dxa"/>
            <w:tcBorders>
              <w:top w:val="single" w:color="auto" w:sz="4" w:space="0"/>
              <w:bottom w:val="single" w:color="auto" w:sz="4" w:space="0"/>
            </w:tcBorders>
            <w:vAlign w:val="center"/>
          </w:tcPr>
          <w:p>
            <w:pPr>
              <w:spacing w:line="500" w:lineRule="exact"/>
              <w:rPr>
                <w:color w:val="auto"/>
                <w:szCs w:val="21"/>
              </w:rPr>
            </w:pPr>
            <w:r>
              <w:rPr>
                <w:rFonts w:hint="eastAsia"/>
                <w:color w:val="auto"/>
                <w:szCs w:val="21"/>
              </w:rPr>
              <w:t>/</w:t>
            </w:r>
          </w:p>
        </w:tc>
      </w:tr>
    </w:tbl>
    <w:p>
      <w:pPr>
        <w:rPr>
          <w:color w:val="auto"/>
        </w:rPr>
      </w:pPr>
      <w:bookmarkStart w:id="328" w:name="_Toc511635787"/>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29" w:name="_Toc516816306"/>
      <w:bookmarkStart w:id="330" w:name="_Toc516816117"/>
      <w:bookmarkStart w:id="331" w:name="_Toc515441114"/>
      <w:r>
        <w:rPr>
          <w:rFonts w:hint="eastAsia" w:asciiTheme="majorEastAsia" w:hAnsiTheme="majorEastAsia" w:eastAsiaTheme="majorEastAsia" w:cstheme="minorBidi"/>
          <w:bCs w:val="0"/>
          <w:color w:val="auto"/>
          <w:sz w:val="28"/>
          <w:szCs w:val="28"/>
        </w:rPr>
        <w:t>1. 评标方法</w:t>
      </w:r>
      <w:bookmarkEnd w:id="328"/>
      <w:bookmarkEnd w:id="329"/>
      <w:bookmarkEnd w:id="330"/>
      <w:bookmarkEnd w:id="3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32" w:name="_Toc516816307"/>
      <w:bookmarkStart w:id="333" w:name="_Toc511635788"/>
      <w:bookmarkStart w:id="334" w:name="_Toc516816118"/>
      <w:bookmarkStart w:id="335" w:name="_Toc515441115"/>
      <w:r>
        <w:rPr>
          <w:rFonts w:hint="eastAsia" w:asciiTheme="majorEastAsia" w:hAnsiTheme="majorEastAsia" w:eastAsiaTheme="majorEastAsia" w:cstheme="minorBidi"/>
          <w:bCs w:val="0"/>
          <w:color w:val="auto"/>
          <w:sz w:val="28"/>
          <w:szCs w:val="28"/>
        </w:rPr>
        <w:t>2. 评审标准</w:t>
      </w:r>
      <w:bookmarkEnd w:id="332"/>
      <w:bookmarkEnd w:id="333"/>
      <w:bookmarkEnd w:id="334"/>
      <w:bookmarkEnd w:id="335"/>
    </w:p>
    <w:p>
      <w:pPr>
        <w:pStyle w:val="4"/>
        <w:rPr>
          <w:color w:val="auto"/>
        </w:rPr>
      </w:pPr>
      <w:bookmarkStart w:id="336" w:name="_Toc516816308"/>
      <w:bookmarkStart w:id="337" w:name="_Toc511635789"/>
      <w:bookmarkStart w:id="338" w:name="_Toc516816119"/>
      <w:bookmarkStart w:id="339" w:name="_Toc515441116"/>
      <w:r>
        <w:rPr>
          <w:rFonts w:hint="eastAsia"/>
          <w:color w:val="auto"/>
        </w:rPr>
        <w:t>2.1 初步评审标准</w:t>
      </w:r>
      <w:bookmarkEnd w:id="336"/>
      <w:bookmarkEnd w:id="337"/>
      <w:bookmarkEnd w:id="338"/>
      <w:bookmarkEnd w:id="3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2.1.1 形式评审标准：见评标办法前附表。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2.1.2 资格评审标准：见评标办法前附表。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 响应性评审标准：见评标办法前附表。</w:t>
      </w:r>
    </w:p>
    <w:p>
      <w:pPr>
        <w:pStyle w:val="4"/>
        <w:rPr>
          <w:color w:val="auto"/>
        </w:rPr>
      </w:pPr>
      <w:bookmarkStart w:id="340" w:name="_Toc516816309"/>
      <w:bookmarkStart w:id="341" w:name="_Toc511635790"/>
      <w:bookmarkStart w:id="342" w:name="_Toc516816120"/>
      <w:bookmarkStart w:id="343" w:name="_Toc515441117"/>
      <w:r>
        <w:rPr>
          <w:rFonts w:hint="eastAsia"/>
          <w:color w:val="auto"/>
        </w:rPr>
        <w:t>2.2 分值构成与评分标准</w:t>
      </w:r>
      <w:bookmarkEnd w:id="340"/>
      <w:bookmarkEnd w:id="341"/>
      <w:bookmarkEnd w:id="342"/>
      <w:bookmarkEnd w:id="34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 分值构成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（1）商务部分：见评标办法前附表；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（2）施工组织设计部分：见评标办法前附表；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（4）其他评分因素：见评标办法前附表。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 评标基准价计算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评标基准价计算方法：见评标办法前附表。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2.2.3 投标报价的偏差率计算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2.2.4 评分标准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（1）商务评分标准：见评标办法前附表；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（2）技术评分标准：见评标办法前附表；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（4）其他因素评分标准：见评标办法前附表。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44" w:name="_Toc516816310"/>
      <w:bookmarkStart w:id="345" w:name="_Toc511635791"/>
      <w:bookmarkStart w:id="346" w:name="_Toc516816121"/>
      <w:bookmarkStart w:id="347" w:name="_Toc515441118"/>
      <w:r>
        <w:rPr>
          <w:rFonts w:hint="eastAsia" w:asciiTheme="majorEastAsia" w:hAnsiTheme="majorEastAsia" w:eastAsiaTheme="majorEastAsia" w:cstheme="minorBidi"/>
          <w:bCs w:val="0"/>
          <w:color w:val="auto"/>
          <w:sz w:val="28"/>
          <w:szCs w:val="28"/>
        </w:rPr>
        <w:t>3. 评标程序</w:t>
      </w:r>
      <w:bookmarkEnd w:id="344"/>
      <w:bookmarkEnd w:id="345"/>
      <w:bookmarkEnd w:id="346"/>
      <w:bookmarkEnd w:id="347"/>
    </w:p>
    <w:p>
      <w:pPr>
        <w:pStyle w:val="4"/>
        <w:rPr>
          <w:color w:val="auto"/>
        </w:rPr>
      </w:pPr>
      <w:bookmarkStart w:id="348" w:name="_Toc516816311"/>
      <w:bookmarkStart w:id="349" w:name="_Toc516816122"/>
      <w:bookmarkStart w:id="350" w:name="_Toc515441119"/>
      <w:bookmarkStart w:id="351" w:name="_Toc511635792"/>
      <w:r>
        <w:rPr>
          <w:rFonts w:hint="eastAsia"/>
          <w:color w:val="auto"/>
        </w:rPr>
        <w:t>3.1 初步评审</w:t>
      </w:r>
      <w:bookmarkEnd w:id="348"/>
      <w:bookmarkEnd w:id="349"/>
      <w:bookmarkEnd w:id="350"/>
      <w:bookmarkEnd w:id="35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评标委员会可以要求投标人提交第二章“投标人须知”规定的有关证明和证件的原件，以便核验。</w:t>
      </w:r>
      <w:r>
        <w:rPr>
          <w:rFonts w:hint="eastAsia" w:asciiTheme="minorEastAsia" w:hAnsiTheme="minorEastAsia"/>
          <w:b/>
          <w:color w:val="auto"/>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（2）有串通投标、弄虚作假、行贿等违法行为。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（4）如果分项报价中存在缺漏项，则视为缺漏项价格已包含在其他分项报价之中。</w:t>
      </w:r>
    </w:p>
    <w:p>
      <w:pPr>
        <w:pStyle w:val="4"/>
        <w:rPr>
          <w:color w:val="auto"/>
        </w:rPr>
      </w:pPr>
      <w:bookmarkStart w:id="352" w:name="_Toc516816312"/>
      <w:bookmarkStart w:id="353" w:name="_Toc516816123"/>
      <w:bookmarkStart w:id="354" w:name="_Toc515441120"/>
      <w:bookmarkStart w:id="355" w:name="_Toc511635793"/>
      <w:r>
        <w:rPr>
          <w:rFonts w:hint="eastAsia"/>
          <w:color w:val="auto"/>
        </w:rPr>
        <w:t>3.2 详细评审</w:t>
      </w:r>
      <w:bookmarkEnd w:id="352"/>
      <w:bookmarkEnd w:id="353"/>
      <w:bookmarkEnd w:id="354"/>
      <w:bookmarkEnd w:id="3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（1）按本章第2.2.4（1）目规定的评审因素和分值对商务部分计算出得分A；</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（2）按本章第2.2.4（2）目规定的评审因素和分值对技术部分计算出得分B；</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3.2.3 投标人得分=A+B+C+D。</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rPr>
          <w:color w:val="auto"/>
        </w:rPr>
      </w:pPr>
      <w:bookmarkStart w:id="356" w:name="_Toc516816313"/>
      <w:bookmarkStart w:id="357" w:name="_Toc516816124"/>
      <w:bookmarkStart w:id="358" w:name="_Toc515441121"/>
      <w:bookmarkStart w:id="359" w:name="_Toc511635794"/>
      <w:r>
        <w:rPr>
          <w:rFonts w:hint="eastAsia"/>
          <w:color w:val="auto"/>
        </w:rPr>
        <w:t>3.3 投标文件的澄清</w:t>
      </w:r>
      <w:bookmarkEnd w:id="356"/>
      <w:bookmarkEnd w:id="357"/>
      <w:bookmarkEnd w:id="358"/>
      <w:bookmarkEnd w:id="35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评标委员会对投标人提交的澄清、说明或补正有疑问的，可以要求投标人进一步澄清、说明或补正，直至满足评标委员会的要求。</w:t>
      </w:r>
    </w:p>
    <w:p>
      <w:pPr>
        <w:pStyle w:val="4"/>
        <w:rPr>
          <w:color w:val="auto"/>
        </w:rPr>
      </w:pPr>
      <w:bookmarkStart w:id="360" w:name="_Toc516816314"/>
      <w:bookmarkStart w:id="361" w:name="_Toc516816125"/>
      <w:bookmarkStart w:id="362" w:name="_Toc515441122"/>
      <w:bookmarkStart w:id="363" w:name="_Toc511635795"/>
      <w:r>
        <w:rPr>
          <w:rFonts w:hint="eastAsia"/>
          <w:color w:val="auto"/>
        </w:rPr>
        <w:t>3.4 评标结果</w:t>
      </w:r>
      <w:bookmarkEnd w:id="360"/>
      <w:bookmarkEnd w:id="361"/>
      <w:bookmarkEnd w:id="362"/>
      <w:bookmarkEnd w:id="3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364" w:name="_Toc516816315"/>
      <w:bookmarkStart w:id="365" w:name="_Toc516816126"/>
      <w:bookmarkStart w:id="366" w:name="_Toc515441123"/>
      <w:bookmarkStart w:id="367" w:name="_Toc511635796"/>
      <w:r>
        <w:rPr>
          <w:rFonts w:hint="eastAsia" w:asciiTheme="majorEastAsia" w:hAnsiTheme="majorEastAsia" w:eastAsiaTheme="majorEastAsia"/>
          <w:color w:val="auto"/>
          <w:sz w:val="36"/>
          <w:szCs w:val="36"/>
        </w:rPr>
        <w:t>第三章 评标办法（经评审的最低投标价法）</w:t>
      </w:r>
      <w:bookmarkEnd w:id="364"/>
      <w:bookmarkEnd w:id="365"/>
      <w:bookmarkEnd w:id="366"/>
      <w:bookmarkEnd w:id="367"/>
    </w:p>
    <w:p>
      <w:pPr>
        <w:widowControl/>
        <w:shd w:val="clear" w:color="auto" w:fill="FFFFFF"/>
        <w:snapToGrid w:val="0"/>
        <w:ind w:firstLine="420" w:firstLineChars="200"/>
        <w:jc w:val="left"/>
        <w:rPr>
          <w:rFonts w:asciiTheme="minorEastAsia" w:hAnsiTheme="minorEastAsia"/>
          <w:color w:val="auto"/>
          <w:szCs w:val="21"/>
        </w:rPr>
      </w:pPr>
    </w:p>
    <w:p>
      <w:pPr>
        <w:widowControl/>
        <w:spacing w:line="360" w:lineRule="auto"/>
        <w:ind w:firstLine="422" w:firstLineChars="200"/>
        <w:rPr>
          <w:rFonts w:asciiTheme="minorEastAsia" w:hAnsiTheme="minorEastAsia"/>
          <w:color w:val="auto"/>
          <w:szCs w:val="21"/>
        </w:rPr>
      </w:pPr>
      <w:r>
        <w:rPr>
          <w:rFonts w:hint="eastAsia" w:asciiTheme="minorEastAsia" w:hAnsiTheme="minorEastAsia"/>
          <w:b/>
          <w:color w:val="auto"/>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68" w:name="_Toc515441124"/>
      <w:bookmarkStart w:id="369" w:name="_Toc516816127"/>
      <w:bookmarkStart w:id="370" w:name="_Toc511635797"/>
      <w:bookmarkStart w:id="371" w:name="_Toc516816316"/>
      <w:r>
        <w:rPr>
          <w:rFonts w:hint="eastAsia" w:asciiTheme="majorEastAsia" w:hAnsiTheme="majorEastAsia" w:eastAsiaTheme="majorEastAsia" w:cstheme="minorBidi"/>
          <w:bCs w:val="0"/>
          <w:color w:val="auto"/>
          <w:sz w:val="28"/>
          <w:szCs w:val="28"/>
        </w:rPr>
        <w:t>评标办法前附表</w:t>
      </w:r>
      <w:bookmarkEnd w:id="368"/>
      <w:bookmarkEnd w:id="369"/>
      <w:bookmarkEnd w:id="370"/>
      <w:bookmarkEnd w:id="371"/>
    </w:p>
    <w:tbl>
      <w:tblPr>
        <w:tblStyle w:val="40"/>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134"/>
        <w:gridCol w:w="1701"/>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gridSpan w:val="2"/>
            <w:vAlign w:val="center"/>
          </w:tcPr>
          <w:p>
            <w:pPr>
              <w:widowControl/>
              <w:spacing w:line="500" w:lineRule="exact"/>
              <w:jc w:val="center"/>
              <w:rPr>
                <w:b/>
                <w:color w:val="auto"/>
                <w:szCs w:val="21"/>
              </w:rPr>
            </w:pPr>
            <w:r>
              <w:rPr>
                <w:rFonts w:hint="eastAsia"/>
                <w:b/>
                <w:color w:val="auto"/>
                <w:szCs w:val="21"/>
              </w:rPr>
              <w:t>条款号</w:t>
            </w:r>
          </w:p>
        </w:tc>
        <w:tc>
          <w:tcPr>
            <w:tcW w:w="1701" w:type="dxa"/>
            <w:vAlign w:val="center"/>
          </w:tcPr>
          <w:p>
            <w:pPr>
              <w:widowControl/>
              <w:spacing w:line="500" w:lineRule="exact"/>
              <w:jc w:val="center"/>
              <w:rPr>
                <w:b/>
                <w:color w:val="auto"/>
                <w:szCs w:val="21"/>
              </w:rPr>
            </w:pPr>
            <w:r>
              <w:rPr>
                <w:rFonts w:hint="eastAsia"/>
                <w:b/>
                <w:color w:val="auto"/>
                <w:szCs w:val="21"/>
              </w:rPr>
              <w:t>评审因素</w:t>
            </w:r>
          </w:p>
        </w:tc>
        <w:tc>
          <w:tcPr>
            <w:tcW w:w="5245" w:type="dxa"/>
            <w:vAlign w:val="center"/>
          </w:tcPr>
          <w:p>
            <w:pPr>
              <w:widowControl/>
              <w:spacing w:line="500" w:lineRule="exact"/>
              <w:jc w:val="center"/>
              <w:rPr>
                <w:b/>
                <w:color w:val="auto"/>
                <w:szCs w:val="21"/>
              </w:rPr>
            </w:pPr>
            <w:r>
              <w:rPr>
                <w:rFonts w:hint="eastAsia"/>
                <w:b/>
                <w:color w:val="auto"/>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Borders>
              <w:right w:val="single" w:color="auto" w:sz="4" w:space="0"/>
            </w:tcBorders>
            <w:vAlign w:val="center"/>
          </w:tcPr>
          <w:p>
            <w:pPr>
              <w:widowControl/>
              <w:spacing w:line="500" w:lineRule="exact"/>
              <w:jc w:val="center"/>
              <w:rPr>
                <w:color w:val="auto"/>
                <w:szCs w:val="21"/>
              </w:rPr>
            </w:pPr>
            <w:r>
              <w:rPr>
                <w:color w:val="auto"/>
                <w:szCs w:val="21"/>
              </w:rPr>
              <w:t>1</w:t>
            </w:r>
          </w:p>
        </w:tc>
        <w:tc>
          <w:tcPr>
            <w:tcW w:w="1134" w:type="dxa"/>
            <w:tcBorders>
              <w:left w:val="single" w:color="auto" w:sz="4" w:space="0"/>
            </w:tcBorders>
            <w:vAlign w:val="center"/>
          </w:tcPr>
          <w:p>
            <w:pPr>
              <w:widowControl/>
              <w:spacing w:line="500" w:lineRule="exact"/>
              <w:jc w:val="center"/>
              <w:rPr>
                <w:color w:val="auto"/>
                <w:szCs w:val="21"/>
              </w:rPr>
            </w:pPr>
            <w:r>
              <w:rPr>
                <w:rFonts w:hint="eastAsia"/>
                <w:color w:val="auto"/>
                <w:szCs w:val="21"/>
              </w:rPr>
              <w:t>评标方法</w:t>
            </w:r>
          </w:p>
        </w:tc>
        <w:tc>
          <w:tcPr>
            <w:tcW w:w="1701" w:type="dxa"/>
            <w:vAlign w:val="center"/>
          </w:tcPr>
          <w:p>
            <w:pPr>
              <w:widowControl/>
              <w:spacing w:line="500" w:lineRule="exact"/>
              <w:jc w:val="center"/>
              <w:rPr>
                <w:color w:val="auto"/>
                <w:szCs w:val="21"/>
              </w:rPr>
            </w:pPr>
            <w:r>
              <w:rPr>
                <w:rFonts w:hint="eastAsia"/>
                <w:color w:val="auto"/>
                <w:szCs w:val="21"/>
              </w:rPr>
              <w:t>中标候选人排序方法</w:t>
            </w:r>
          </w:p>
        </w:tc>
        <w:tc>
          <w:tcPr>
            <w:tcW w:w="5245" w:type="dxa"/>
            <w:vAlign w:val="center"/>
          </w:tcPr>
          <w:p>
            <w:pPr>
              <w:spacing w:line="500" w:lineRule="exact"/>
              <w:rPr>
                <w:color w:val="auto"/>
                <w:szCs w:val="21"/>
              </w:rPr>
            </w:pPr>
            <w:r>
              <w:rPr>
                <w:rFonts w:hint="eastAsia" w:asciiTheme="minorEastAsia" w:hAnsiTheme="minorEastAsia"/>
                <w:color w:val="auto"/>
                <w:szCs w:val="21"/>
              </w:rPr>
              <w:t>本次评标采用经评审的最低投标价法。评标委员会对满足招标文件实质性要求的投标文件，根据本章第2.2款规定的评标价格调整方法进行必要的价格调整，并</w:t>
            </w:r>
            <w:r>
              <w:rPr>
                <w:rFonts w:hint="eastAsia"/>
                <w:color w:val="auto"/>
                <w:szCs w:val="21"/>
              </w:rPr>
              <w:t>按照经评审的投标人投标价（评标价）由低到高的顺序推荐中标候选人，或根据招标人授权直接确定中标人，但投标报价低于其成本的除外。经评审的投标价（评标价）相等时，投标报价低的优先；投标报价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vMerge w:val="restart"/>
            <w:tcBorders>
              <w:right w:val="single" w:color="auto" w:sz="4" w:space="0"/>
            </w:tcBorders>
            <w:vAlign w:val="center"/>
          </w:tcPr>
          <w:p>
            <w:pPr>
              <w:widowControl/>
              <w:spacing w:line="500" w:lineRule="exact"/>
              <w:jc w:val="center"/>
              <w:rPr>
                <w:color w:val="auto"/>
                <w:szCs w:val="21"/>
              </w:rPr>
            </w:pPr>
            <w:r>
              <w:rPr>
                <w:color w:val="auto"/>
                <w:szCs w:val="21"/>
              </w:rPr>
              <w:t>2.1.1</w:t>
            </w:r>
          </w:p>
        </w:tc>
        <w:tc>
          <w:tcPr>
            <w:tcW w:w="1134"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形式评审标准</w:t>
            </w:r>
          </w:p>
        </w:tc>
        <w:tc>
          <w:tcPr>
            <w:tcW w:w="1701" w:type="dxa"/>
            <w:vAlign w:val="center"/>
          </w:tcPr>
          <w:p>
            <w:pPr>
              <w:widowControl/>
              <w:spacing w:line="500" w:lineRule="exact"/>
              <w:jc w:val="center"/>
              <w:rPr>
                <w:color w:val="auto"/>
                <w:szCs w:val="21"/>
              </w:rPr>
            </w:pPr>
            <w:r>
              <w:rPr>
                <w:rFonts w:hint="eastAsia"/>
                <w:color w:val="auto"/>
                <w:szCs w:val="21"/>
              </w:rPr>
              <w:t>投标人名称</w:t>
            </w:r>
          </w:p>
        </w:tc>
        <w:tc>
          <w:tcPr>
            <w:tcW w:w="5245" w:type="dxa"/>
            <w:vAlign w:val="center"/>
          </w:tcPr>
          <w:p>
            <w:pPr>
              <w:widowControl/>
              <w:spacing w:line="500" w:lineRule="exact"/>
              <w:jc w:val="left"/>
              <w:rPr>
                <w:color w:val="auto"/>
                <w:szCs w:val="21"/>
              </w:rPr>
            </w:pPr>
            <w:r>
              <w:rPr>
                <w:rFonts w:hint="eastAsia"/>
                <w:color w:val="auto"/>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投标函签字盖章</w:t>
            </w:r>
          </w:p>
        </w:tc>
        <w:tc>
          <w:tcPr>
            <w:tcW w:w="5245" w:type="dxa"/>
            <w:vAlign w:val="center"/>
          </w:tcPr>
          <w:p>
            <w:pPr>
              <w:widowControl/>
              <w:spacing w:line="500" w:lineRule="exact"/>
              <w:jc w:val="left"/>
              <w:rPr>
                <w:color w:val="auto"/>
                <w:szCs w:val="21"/>
              </w:rPr>
            </w:pPr>
            <w:r>
              <w:rPr>
                <w:rFonts w:hint="eastAsia"/>
                <w:color w:val="auto"/>
                <w:szCs w:val="21"/>
              </w:rPr>
              <w:t>有法定代表人或其委托代理人签字，加盖单位章。由法定代表人签字的，应附法定代表人身份证明，由代理人签字的，应附授权委托书，身份证明或授权委托书应符合第八章“投标文件格式”的规定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投标文件格式</w:t>
            </w:r>
          </w:p>
        </w:tc>
        <w:tc>
          <w:tcPr>
            <w:tcW w:w="5245" w:type="dxa"/>
            <w:vAlign w:val="center"/>
          </w:tcPr>
          <w:p>
            <w:pPr>
              <w:widowControl/>
              <w:spacing w:line="500" w:lineRule="exact"/>
              <w:jc w:val="left"/>
              <w:rPr>
                <w:color w:val="auto"/>
                <w:szCs w:val="21"/>
              </w:rPr>
            </w:pPr>
            <w:r>
              <w:rPr>
                <w:rFonts w:hint="eastAsia"/>
                <w:color w:val="auto"/>
                <w:szCs w:val="21"/>
              </w:rPr>
              <w:t>符合第八章“投标文件格式”的规定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联合体投标人</w:t>
            </w:r>
          </w:p>
        </w:tc>
        <w:tc>
          <w:tcPr>
            <w:tcW w:w="5245" w:type="dxa"/>
            <w:vAlign w:val="center"/>
          </w:tcPr>
          <w:p>
            <w:pPr>
              <w:widowControl/>
              <w:spacing w:line="500" w:lineRule="exact"/>
              <w:jc w:val="left"/>
              <w:rPr>
                <w:color w:val="auto"/>
                <w:szCs w:val="21"/>
              </w:rPr>
            </w:pPr>
            <w:r>
              <w:rPr>
                <w:rFonts w:hint="eastAsia"/>
                <w:color w:val="auto"/>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备选投标方案</w:t>
            </w:r>
          </w:p>
        </w:tc>
        <w:tc>
          <w:tcPr>
            <w:tcW w:w="5245" w:type="dxa"/>
            <w:vAlign w:val="center"/>
          </w:tcPr>
          <w:p>
            <w:pPr>
              <w:widowControl/>
              <w:spacing w:line="500" w:lineRule="exact"/>
              <w:jc w:val="left"/>
              <w:rPr>
                <w:color w:val="auto"/>
                <w:szCs w:val="21"/>
              </w:rPr>
            </w:pPr>
            <w:r>
              <w:rPr>
                <w:rFonts w:hint="eastAsia"/>
                <w:color w:val="auto"/>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restart"/>
            <w:tcBorders>
              <w:right w:val="single" w:color="auto" w:sz="4" w:space="0"/>
            </w:tcBorders>
            <w:vAlign w:val="center"/>
          </w:tcPr>
          <w:p>
            <w:pPr>
              <w:widowControl/>
              <w:spacing w:line="500" w:lineRule="exact"/>
              <w:jc w:val="center"/>
              <w:rPr>
                <w:color w:val="auto"/>
                <w:szCs w:val="21"/>
              </w:rPr>
            </w:pPr>
            <w:r>
              <w:rPr>
                <w:color w:val="auto"/>
                <w:szCs w:val="21"/>
              </w:rPr>
              <w:t>2.1.2</w:t>
            </w:r>
          </w:p>
        </w:tc>
        <w:tc>
          <w:tcPr>
            <w:tcW w:w="1134"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资格评审</w:t>
            </w:r>
          </w:p>
          <w:p>
            <w:pPr>
              <w:widowControl/>
              <w:spacing w:line="500" w:lineRule="exact"/>
              <w:jc w:val="center"/>
              <w:rPr>
                <w:color w:val="auto"/>
                <w:szCs w:val="21"/>
              </w:rPr>
            </w:pPr>
            <w:r>
              <w:rPr>
                <w:rFonts w:hint="eastAsia"/>
                <w:color w:val="auto"/>
                <w:szCs w:val="21"/>
              </w:rPr>
              <w:t>标准</w:t>
            </w:r>
          </w:p>
        </w:tc>
        <w:tc>
          <w:tcPr>
            <w:tcW w:w="1701" w:type="dxa"/>
            <w:vAlign w:val="center"/>
          </w:tcPr>
          <w:p>
            <w:pPr>
              <w:widowControl/>
              <w:spacing w:line="500" w:lineRule="exact"/>
              <w:jc w:val="center"/>
              <w:rPr>
                <w:color w:val="auto"/>
                <w:szCs w:val="21"/>
              </w:rPr>
            </w:pPr>
            <w:r>
              <w:rPr>
                <w:rFonts w:hint="eastAsia"/>
                <w:color w:val="auto"/>
                <w:szCs w:val="21"/>
              </w:rPr>
              <w:t>营业执照、组织机构代码证和安全生产许可证</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符合第二章“投标人须知”第3.5.1项规定，具备有效的营业执照、组织机构代码证和安全生产许可证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资质要求</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财务要求</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业绩要求</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信誉要求</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项目经理</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其他主要人员</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其他要求</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联合体投标人</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不存在禁止投标的情形</w:t>
            </w:r>
          </w:p>
        </w:tc>
        <w:tc>
          <w:tcPr>
            <w:tcW w:w="5245" w:type="dxa"/>
            <w:vAlign w:val="center"/>
          </w:tcPr>
          <w:p>
            <w:pPr>
              <w:widowControl/>
              <w:spacing w:line="500" w:lineRule="exact"/>
              <w:jc w:val="left"/>
              <w:rPr>
                <w:color w:val="auto"/>
                <w:szCs w:val="21"/>
              </w:rPr>
            </w:pPr>
            <w:r>
              <w:rPr>
                <w:rFonts w:hint="eastAsia"/>
                <w:color w:val="auto"/>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vMerge w:val="restart"/>
            <w:tcBorders>
              <w:right w:val="single" w:color="auto" w:sz="4" w:space="0"/>
            </w:tcBorders>
            <w:vAlign w:val="center"/>
          </w:tcPr>
          <w:p>
            <w:pPr>
              <w:widowControl/>
              <w:spacing w:line="500" w:lineRule="exact"/>
              <w:jc w:val="center"/>
              <w:rPr>
                <w:color w:val="auto"/>
                <w:szCs w:val="21"/>
              </w:rPr>
            </w:pPr>
            <w:r>
              <w:rPr>
                <w:color w:val="auto"/>
                <w:szCs w:val="21"/>
              </w:rPr>
              <w:t>2.1.3</w:t>
            </w:r>
          </w:p>
        </w:tc>
        <w:tc>
          <w:tcPr>
            <w:tcW w:w="1134"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响应性评审标准</w:t>
            </w:r>
          </w:p>
        </w:tc>
        <w:tc>
          <w:tcPr>
            <w:tcW w:w="1701" w:type="dxa"/>
            <w:vAlign w:val="center"/>
          </w:tcPr>
          <w:p>
            <w:pPr>
              <w:widowControl/>
              <w:spacing w:line="500" w:lineRule="exact"/>
              <w:jc w:val="center"/>
              <w:rPr>
                <w:color w:val="auto"/>
                <w:szCs w:val="21"/>
              </w:rPr>
            </w:pPr>
            <w:r>
              <w:rPr>
                <w:rFonts w:hint="eastAsia"/>
                <w:color w:val="auto"/>
                <w:szCs w:val="21"/>
              </w:rPr>
              <w:t>投标报价</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投标内容</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工期期限</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质量标准</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投标有效期</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投标保证金</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权利义务</w:t>
            </w:r>
          </w:p>
        </w:tc>
        <w:tc>
          <w:tcPr>
            <w:tcW w:w="5245" w:type="dxa"/>
            <w:vAlign w:val="center"/>
          </w:tcPr>
          <w:p>
            <w:pPr>
              <w:widowControl/>
              <w:spacing w:line="500" w:lineRule="exact"/>
              <w:jc w:val="left"/>
              <w:rPr>
                <w:color w:val="auto"/>
                <w:szCs w:val="21"/>
              </w:rPr>
            </w:pPr>
            <w:r>
              <w:rPr>
                <w:rFonts w:hint="eastAsia"/>
                <w:color w:val="auto"/>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985" w:type="dxa"/>
            <w:gridSpan w:val="2"/>
            <w:vAlign w:val="center"/>
          </w:tcPr>
          <w:p>
            <w:pPr>
              <w:widowControl/>
              <w:spacing w:line="500" w:lineRule="exact"/>
              <w:jc w:val="center"/>
              <w:rPr>
                <w:b/>
                <w:color w:val="auto"/>
                <w:szCs w:val="21"/>
              </w:rPr>
            </w:pPr>
            <w:r>
              <w:rPr>
                <w:rFonts w:hint="eastAsia"/>
                <w:b/>
                <w:color w:val="auto"/>
                <w:szCs w:val="21"/>
              </w:rPr>
              <w:t>条款号</w:t>
            </w:r>
          </w:p>
        </w:tc>
        <w:tc>
          <w:tcPr>
            <w:tcW w:w="1701" w:type="dxa"/>
            <w:vAlign w:val="center"/>
          </w:tcPr>
          <w:p>
            <w:pPr>
              <w:widowControl/>
              <w:spacing w:line="500" w:lineRule="exact"/>
              <w:jc w:val="center"/>
              <w:rPr>
                <w:b/>
                <w:color w:val="auto"/>
                <w:szCs w:val="21"/>
              </w:rPr>
            </w:pPr>
            <w:r>
              <w:rPr>
                <w:rFonts w:hint="eastAsia"/>
                <w:b/>
                <w:color w:val="auto"/>
                <w:szCs w:val="21"/>
              </w:rPr>
              <w:t>价格调整因素</w:t>
            </w:r>
          </w:p>
        </w:tc>
        <w:tc>
          <w:tcPr>
            <w:tcW w:w="5245" w:type="dxa"/>
            <w:vAlign w:val="center"/>
          </w:tcPr>
          <w:p>
            <w:pPr>
              <w:widowControl/>
              <w:spacing w:line="500" w:lineRule="exact"/>
              <w:jc w:val="center"/>
              <w:rPr>
                <w:b/>
                <w:color w:val="auto"/>
                <w:szCs w:val="21"/>
              </w:rPr>
            </w:pPr>
            <w:r>
              <w:rPr>
                <w:rFonts w:hint="eastAsia"/>
                <w:b/>
                <w:color w:val="auto"/>
                <w:szCs w:val="21"/>
              </w:rPr>
              <w:t>价格调整标准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restart"/>
            <w:tcBorders>
              <w:right w:val="single" w:color="auto" w:sz="4" w:space="0"/>
            </w:tcBorders>
            <w:vAlign w:val="center"/>
          </w:tcPr>
          <w:p>
            <w:pPr>
              <w:widowControl/>
              <w:spacing w:line="500" w:lineRule="exact"/>
              <w:jc w:val="center"/>
              <w:rPr>
                <w:color w:val="auto"/>
                <w:szCs w:val="21"/>
              </w:rPr>
            </w:pPr>
            <w:r>
              <w:rPr>
                <w:color w:val="auto"/>
                <w:szCs w:val="21"/>
              </w:rPr>
              <w:t>2.2</w:t>
            </w:r>
          </w:p>
        </w:tc>
        <w:tc>
          <w:tcPr>
            <w:tcW w:w="1134"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详细评审</w:t>
            </w:r>
          </w:p>
          <w:p>
            <w:pPr>
              <w:widowControl/>
              <w:spacing w:line="500" w:lineRule="exact"/>
              <w:jc w:val="center"/>
              <w:rPr>
                <w:color w:val="auto"/>
                <w:szCs w:val="21"/>
              </w:rPr>
            </w:pPr>
            <w:r>
              <w:rPr>
                <w:rFonts w:hint="eastAsia"/>
                <w:color w:val="auto"/>
                <w:szCs w:val="21"/>
              </w:rPr>
              <w:t>标准</w:t>
            </w:r>
          </w:p>
        </w:tc>
        <w:tc>
          <w:tcPr>
            <w:tcW w:w="1701" w:type="dxa"/>
            <w:vAlign w:val="center"/>
          </w:tcPr>
          <w:p>
            <w:pPr>
              <w:widowControl/>
              <w:spacing w:line="500" w:lineRule="exact"/>
              <w:jc w:val="center"/>
              <w:rPr>
                <w:color w:val="auto"/>
                <w:szCs w:val="21"/>
              </w:rPr>
            </w:pPr>
            <w:r>
              <w:rPr>
                <w:rFonts w:hint="eastAsia"/>
                <w:color w:val="auto"/>
                <w:szCs w:val="21"/>
              </w:rPr>
              <w:t>评标基准价计算方法</w:t>
            </w:r>
          </w:p>
        </w:tc>
        <w:tc>
          <w:tcPr>
            <w:tcW w:w="5245" w:type="dxa"/>
            <w:vAlign w:val="center"/>
          </w:tcPr>
          <w:p>
            <w:pPr>
              <w:spacing w:line="500" w:lineRule="exact"/>
              <w:rPr>
                <w:color w:val="auto"/>
                <w:szCs w:val="21"/>
              </w:rPr>
            </w:pPr>
            <w:r>
              <w:rPr>
                <w:rFonts w:hint="eastAsia"/>
                <w:color w:val="auto"/>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color w:val="auto"/>
                <w:szCs w:val="21"/>
              </w:rPr>
            </w:pPr>
            <w:r>
              <w:rPr>
                <w:rFonts w:hint="eastAsia"/>
                <w:color w:val="auto"/>
                <w:szCs w:val="21"/>
              </w:rPr>
              <w:t>一、评标基准价计算公式为：B=[最高控制价A-不可竞争金额C]</w:t>
            </w:r>
            <w:r>
              <w:rPr>
                <w:color w:val="auto"/>
                <w:szCs w:val="21"/>
              </w:rPr>
              <w:t>×</w:t>
            </w:r>
            <w:r>
              <w:rPr>
                <w:rFonts w:hint="eastAsia"/>
                <w:color w:val="auto"/>
                <w:szCs w:val="21"/>
              </w:rPr>
              <w:t>(1-K)+不可竞争金额C（K指下浮率，C指不可竞争金额，下同）。</w:t>
            </w:r>
          </w:p>
          <w:p>
            <w:pPr>
              <w:spacing w:line="500" w:lineRule="exact"/>
              <w:rPr>
                <w:color w:val="auto"/>
                <w:szCs w:val="21"/>
              </w:rPr>
            </w:pPr>
            <w:r>
              <w:rPr>
                <w:rFonts w:hint="eastAsia"/>
                <w:color w:val="auto"/>
                <w:szCs w:val="21"/>
              </w:rPr>
              <w:t>二、最高控制价A=______元（A值以元为单位精确到元，小数点后第一位“四舍五入”，由招标人根据招标项目的具体特点和实际确定）。</w:t>
            </w:r>
          </w:p>
          <w:p>
            <w:pPr>
              <w:spacing w:line="500" w:lineRule="exact"/>
              <w:rPr>
                <w:color w:val="auto"/>
                <w:szCs w:val="21"/>
              </w:rPr>
            </w:pPr>
            <w:r>
              <w:rPr>
                <w:rFonts w:hint="eastAsia"/>
                <w:color w:val="auto"/>
                <w:szCs w:val="21"/>
              </w:rPr>
              <w:t>三、下浮率K的取值范围规定为___%（填入代表a的具体数，含本数）～___%（填入代表b的具体数，含本数）（b-a≥4，a、b取值范围在5～12之间）。K值由K1和K2组成，即K=K1</w:t>
            </w:r>
            <w:r>
              <w:rPr>
                <w:color w:val="auto"/>
                <w:szCs w:val="21"/>
              </w:rPr>
              <w:t>×</w:t>
            </w:r>
            <w:r>
              <w:rPr>
                <w:rFonts w:hint="eastAsia"/>
                <w:color w:val="auto"/>
                <w:szCs w:val="21"/>
              </w:rPr>
              <w:t>d+K2</w:t>
            </w:r>
            <w:r>
              <w:rPr>
                <w:color w:val="auto"/>
                <w:szCs w:val="21"/>
              </w:rPr>
              <w:t>×</w:t>
            </w:r>
            <w:r>
              <w:rPr>
                <w:rFonts w:hint="eastAsia"/>
                <w:color w:val="auto"/>
                <w:szCs w:val="21"/>
              </w:rPr>
              <w:t>（1-d）（d代表K1的权重；K1、K2的取值范围同K；K、K1值保留小数点后两位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（一）K1值在开标时根据下浮率a%和b%取值范围内（含a%和b%）的投标报价及对应的投标人数量等两个因素由平台自动计算确定:</w:t>
            </w:r>
          </w:p>
          <w:p>
            <w:pPr>
              <w:spacing w:line="500" w:lineRule="exact"/>
              <w:rPr>
                <w:color w:val="auto"/>
                <w:szCs w:val="21"/>
              </w:rPr>
            </w:pPr>
            <w:r>
              <w:rPr>
                <w:rFonts w:hint="eastAsia"/>
                <w:color w:val="auto"/>
                <w:szCs w:val="21"/>
              </w:rPr>
              <w:t>第一步：计算K1值区间等份数N。将每1个K1值区间分为100个等份（即步长为0.01%），则N（K1值区间等份数）=（b-a）%/0.01%。</w:t>
            </w:r>
          </w:p>
          <w:p>
            <w:pPr>
              <w:spacing w:line="500" w:lineRule="exact"/>
              <w:rPr>
                <w:color w:val="auto"/>
                <w:szCs w:val="21"/>
              </w:rPr>
            </w:pPr>
            <w:r>
              <w:rPr>
                <w:rFonts w:hint="eastAsia"/>
                <w:color w:val="auto"/>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color w:val="auto"/>
                <w:szCs w:val="21"/>
              </w:rPr>
            </w:pPr>
            <w:r>
              <w:rPr>
                <w:rFonts w:hint="eastAsia"/>
                <w:color w:val="auto"/>
                <w:szCs w:val="21"/>
              </w:rPr>
              <w:t>第三步：求余数Y。被除数=H+n，除数=1+N，Y为被除数（H+n）和除数（1+N）的余数。余数Y的函数表达式为Y=MOD（H+n，1+N）。</w:t>
            </w:r>
          </w:p>
          <w:p>
            <w:pPr>
              <w:spacing w:line="500" w:lineRule="exact"/>
              <w:rPr>
                <w:color w:val="auto"/>
                <w:szCs w:val="21"/>
              </w:rPr>
            </w:pPr>
            <w:r>
              <w:rPr>
                <w:rFonts w:hint="eastAsia"/>
                <w:color w:val="auto"/>
                <w:szCs w:val="21"/>
              </w:rPr>
              <w:t>第四步：计算K1值。K1值计算式为K1=Y</w:t>
            </w:r>
            <w:r>
              <w:rPr>
                <w:color w:val="auto"/>
                <w:szCs w:val="21"/>
              </w:rPr>
              <w:t>×</w:t>
            </w:r>
            <w:r>
              <w:rPr>
                <w:rFonts w:hint="eastAsia"/>
                <w:color w:val="auto"/>
                <w:szCs w:val="21"/>
              </w:rPr>
              <w:t>0.01%+a%。</w:t>
            </w:r>
          </w:p>
          <w:p>
            <w:pPr>
              <w:spacing w:line="500" w:lineRule="exact"/>
              <w:rPr>
                <w:color w:val="auto"/>
                <w:szCs w:val="21"/>
              </w:rPr>
            </w:pPr>
            <w:r>
              <w:rPr>
                <w:rFonts w:hint="eastAsia"/>
                <w:color w:val="auto"/>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color w:val="auto"/>
                <w:szCs w:val="21"/>
              </w:rPr>
            </w:pPr>
            <w:r>
              <w:rPr>
                <w:rFonts w:hint="eastAsia"/>
                <w:color w:val="auto"/>
                <w:szCs w:val="21"/>
              </w:rPr>
              <w:t>（三）d由现场从0.1、0.2、0.3、0.4、0.5、0.6、0.7、0.8、0.9中随机抽取一个值。</w:t>
            </w:r>
          </w:p>
          <w:p>
            <w:pPr>
              <w:widowControl/>
              <w:spacing w:line="500" w:lineRule="exact"/>
              <w:jc w:val="left"/>
              <w:rPr>
                <w:b/>
                <w:color w:val="auto"/>
                <w:szCs w:val="21"/>
              </w:rPr>
            </w:pPr>
            <w:r>
              <w:rPr>
                <w:rFonts w:hint="eastAsia" w:asciiTheme="minorEastAsia" w:hAnsiTheme="minorEastAsia"/>
                <w:b/>
                <w:color w:val="auto"/>
                <w:szCs w:val="21"/>
              </w:rPr>
              <w:t>【</w:t>
            </w:r>
            <w:r>
              <w:rPr>
                <w:rFonts w:hint="eastAsia"/>
                <w:b/>
                <w:color w:val="auto"/>
                <w:szCs w:val="21"/>
              </w:rPr>
              <w:t>注：评标基准价根据评审前的投标人投标报价和对应的投标人数量等进行计算确定，评审前的投标报价下浮率在a%～b%之外的不参与计算。】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szCs w:val="21"/>
              </w:rPr>
              <w:t>入围评审方法</w:t>
            </w:r>
          </w:p>
        </w:tc>
        <w:tc>
          <w:tcPr>
            <w:tcW w:w="5245" w:type="dxa"/>
            <w:vAlign w:val="center"/>
          </w:tcPr>
          <w:p>
            <w:pPr>
              <w:spacing w:line="500" w:lineRule="exact"/>
              <w:rPr>
                <w:color w:val="auto"/>
                <w:szCs w:val="21"/>
              </w:rPr>
            </w:pPr>
            <w:r>
              <w:rPr>
                <w:rFonts w:hint="eastAsia"/>
                <w:color w:val="auto"/>
                <w:szCs w:val="21"/>
              </w:rPr>
              <w:t>（1）先选择投标报价下浮率在a%和b%取值范围内（含a%和b%）的投标人入围，</w:t>
            </w:r>
            <w:r>
              <w:rPr>
                <w:color w:val="auto"/>
                <w:szCs w:val="21"/>
              </w:rPr>
              <w:t>按照投标人投标报价与评标基准价差价绝对值由小到大依次排序，选取前5名（若任一名出现多家并列的，视为同一名</w:t>
            </w:r>
            <w:r>
              <w:rPr>
                <w:rFonts w:hint="eastAsia"/>
                <w:color w:val="auto"/>
                <w:szCs w:val="21"/>
              </w:rPr>
              <w:t>，</w:t>
            </w:r>
            <w:r>
              <w:rPr>
                <w:color w:val="auto"/>
                <w:szCs w:val="21"/>
              </w:rPr>
              <w:t>下同</w:t>
            </w:r>
            <w:r>
              <w:rPr>
                <w:rFonts w:hint="eastAsia"/>
                <w:color w:val="auto"/>
                <w:szCs w:val="21"/>
              </w:rPr>
              <w:t>；</w:t>
            </w:r>
            <w:r>
              <w:rPr>
                <w:color w:val="auto"/>
                <w:szCs w:val="21"/>
              </w:rPr>
              <w:t>若不足</w:t>
            </w:r>
            <w:r>
              <w:rPr>
                <w:rFonts w:hint="eastAsia"/>
                <w:color w:val="auto"/>
                <w:szCs w:val="21"/>
              </w:rPr>
              <w:t>5名且</w:t>
            </w:r>
            <w:r>
              <w:rPr>
                <w:color w:val="auto"/>
                <w:szCs w:val="21"/>
              </w:rPr>
              <w:t>有</w:t>
            </w:r>
            <w:r>
              <w:rPr>
                <w:rFonts w:hint="eastAsia"/>
                <w:color w:val="auto"/>
                <w:szCs w:val="21"/>
              </w:rPr>
              <w:t>3家及以上的，以实际入围家数为准</w:t>
            </w:r>
            <w:r>
              <w:rPr>
                <w:color w:val="auto"/>
                <w:szCs w:val="21"/>
              </w:rPr>
              <w:t>）投标人的投标文件进行评审</w:t>
            </w:r>
            <w:r>
              <w:rPr>
                <w:rFonts w:hint="eastAsia"/>
                <w:color w:val="auto"/>
                <w:szCs w:val="21"/>
              </w:rPr>
              <w:t>；</w:t>
            </w:r>
          </w:p>
          <w:p>
            <w:pPr>
              <w:spacing w:line="500" w:lineRule="exact"/>
              <w:rPr>
                <w:b/>
                <w:color w:val="auto"/>
                <w:szCs w:val="21"/>
              </w:rPr>
            </w:pPr>
            <w:r>
              <w:rPr>
                <w:rFonts w:hint="eastAsia"/>
                <w:color w:val="auto"/>
                <w:szCs w:val="21"/>
              </w:rPr>
              <w:t>（2）当按上述进行入围评审时，入围的投标人不足3家，或通过评审合格的投标人少于3家，再</w:t>
            </w:r>
            <w:r>
              <w:rPr>
                <w:color w:val="auto"/>
                <w:szCs w:val="21"/>
              </w:rPr>
              <w:t>按照其他投标人投标报价与评标基准价差价绝对值由小到大依次排序，按名次每次递补3名进行评审，直至合格的投标文件不少于3家为止</w:t>
            </w:r>
            <w:r>
              <w:rPr>
                <w:rFonts w:hint="eastAsia"/>
                <w:color w:val="auto"/>
                <w:szCs w:val="21"/>
              </w:rPr>
              <w:t>（进行递补入围评审时，可递补入围的投标人不足3名的，以实际可入围评审家数为准）。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851" w:type="dxa"/>
            <w:vMerge w:val="continue"/>
            <w:tcBorders>
              <w:right w:val="single" w:color="auto" w:sz="4" w:space="0"/>
            </w:tcBorders>
            <w:vAlign w:val="center"/>
          </w:tcPr>
          <w:p>
            <w:pPr>
              <w:widowControl/>
              <w:spacing w:line="500" w:lineRule="exact"/>
              <w:jc w:val="center"/>
              <w:rPr>
                <w:color w:val="auto"/>
                <w:szCs w:val="21"/>
              </w:rPr>
            </w:pPr>
          </w:p>
        </w:tc>
        <w:tc>
          <w:tcPr>
            <w:tcW w:w="1134" w:type="dxa"/>
            <w:vMerge w:val="continue"/>
            <w:tcBorders>
              <w:left w:val="single" w:color="auto" w:sz="4" w:space="0"/>
            </w:tcBorders>
            <w:vAlign w:val="center"/>
          </w:tcPr>
          <w:p>
            <w:pPr>
              <w:widowControl/>
              <w:spacing w:line="500" w:lineRule="exact"/>
              <w:jc w:val="center"/>
              <w:rPr>
                <w:color w:val="auto"/>
                <w:szCs w:val="21"/>
              </w:rPr>
            </w:pPr>
          </w:p>
        </w:tc>
        <w:tc>
          <w:tcPr>
            <w:tcW w:w="1701" w:type="dxa"/>
            <w:vAlign w:val="center"/>
          </w:tcPr>
          <w:p>
            <w:pPr>
              <w:widowControl/>
              <w:spacing w:line="500" w:lineRule="exact"/>
              <w:jc w:val="center"/>
              <w:rPr>
                <w:color w:val="auto"/>
                <w:szCs w:val="21"/>
              </w:rPr>
            </w:pPr>
            <w:r>
              <w:rPr>
                <w:rFonts w:hint="eastAsia"/>
                <w:color w:val="auto"/>
              </w:rPr>
              <w:t>投标价（评标价）评审方法</w:t>
            </w:r>
          </w:p>
        </w:tc>
        <w:tc>
          <w:tcPr>
            <w:tcW w:w="5245" w:type="dxa"/>
            <w:vAlign w:val="center"/>
          </w:tcPr>
          <w:p>
            <w:pPr>
              <w:spacing w:line="500" w:lineRule="exact"/>
              <w:ind w:firstLine="420" w:firstLineChars="200"/>
              <w:rPr>
                <w:color w:val="auto"/>
                <w:szCs w:val="21"/>
              </w:rPr>
            </w:pPr>
            <w:r>
              <w:rPr>
                <w:rFonts w:hint="eastAsia"/>
                <w:color w:val="auto"/>
              </w:rPr>
              <w:t>投标价（评标价）评审在通过上述入围评审后进行，</w:t>
            </w:r>
            <w:r>
              <w:rPr>
                <w:rFonts w:hint="eastAsia"/>
                <w:color w:val="auto"/>
                <w:szCs w:val="21"/>
              </w:rPr>
              <w:t>投标人投标价（评标价）Ai=（p1+p2）hi，式中：</w:t>
            </w:r>
          </w:p>
          <w:p>
            <w:pPr>
              <w:spacing w:line="500" w:lineRule="exact"/>
              <w:ind w:firstLine="420" w:firstLineChars="200"/>
              <w:rPr>
                <w:color w:val="auto"/>
                <w:szCs w:val="21"/>
              </w:rPr>
            </w:pPr>
            <w:r>
              <w:rPr>
                <w:rFonts w:hint="eastAsia"/>
                <w:color w:val="auto"/>
                <w:szCs w:val="21"/>
              </w:rPr>
              <w:t>p1---投标人报价合理性系数。投标人存在本情形之一的，其报价合理性系数取0.05，不存在的取0：</w:t>
            </w:r>
            <w:r>
              <w:rPr>
                <w:rFonts w:hint="eastAsia" w:asciiTheme="minorEastAsia" w:hAnsiTheme="minorEastAsia"/>
                <w:color w:val="auto"/>
                <w:szCs w:val="21"/>
              </w:rPr>
              <w:t>①</w:t>
            </w:r>
            <w:r>
              <w:rPr>
                <w:rFonts w:hint="eastAsia"/>
                <w:color w:val="auto"/>
                <w:szCs w:val="21"/>
              </w:rPr>
              <w:t>投标报价低于下浮率b%相应总价的；</w:t>
            </w:r>
            <w:r>
              <w:rPr>
                <w:rFonts w:hint="eastAsia" w:asciiTheme="minorEastAsia" w:hAnsiTheme="minorEastAsia"/>
                <w:color w:val="auto"/>
                <w:szCs w:val="21"/>
              </w:rPr>
              <w:t>②</w:t>
            </w:r>
            <w:r>
              <w:rPr>
                <w:rFonts w:hint="eastAsia"/>
                <w:color w:val="auto"/>
                <w:szCs w:val="21"/>
              </w:rPr>
              <w:t>投标报价高于下浮率a%相应总价的；</w:t>
            </w:r>
            <w:r>
              <w:rPr>
                <w:rFonts w:hint="eastAsia" w:asciiTheme="minorEastAsia" w:hAnsiTheme="minorEastAsia"/>
                <w:color w:val="auto"/>
                <w:szCs w:val="21"/>
              </w:rPr>
              <w:t>③</w:t>
            </w:r>
            <w:r>
              <w:rPr>
                <w:rFonts w:hint="eastAsia"/>
                <w:color w:val="auto"/>
                <w:szCs w:val="21"/>
              </w:rPr>
              <w:t>已标价“工程量清单报价表”单价有高于控制价相应单价10%的（如有控制价清单）。</w:t>
            </w:r>
          </w:p>
          <w:p>
            <w:pPr>
              <w:spacing w:line="500" w:lineRule="exact"/>
              <w:ind w:firstLine="420" w:firstLineChars="200"/>
              <w:rPr>
                <w:color w:val="auto"/>
                <w:szCs w:val="21"/>
              </w:rPr>
            </w:pPr>
            <w:r>
              <w:rPr>
                <w:rFonts w:hint="eastAsia"/>
                <w:color w:val="auto"/>
                <w:szCs w:val="21"/>
              </w:rPr>
              <w:t>p2---投标人信用系数。根据截标时福建省水利建设市场信用评价平台公布的投标人信用评价总得分排序计取。对通过合格评审的投标人，按其信用评价总得分（如有联合体投标的，投标人信用评价总得分计取以联合体牵头人的为准）由高到低进行排序，排序为第一、二、三位（允许并列）的分别赋予0.9995、0.9997、0.9999信用系数，其他的赋予1.0000信用系数。</w:t>
            </w:r>
          </w:p>
          <w:p>
            <w:pPr>
              <w:spacing w:line="500" w:lineRule="exact"/>
              <w:ind w:firstLine="420" w:firstLineChars="200"/>
              <w:rPr>
                <w:color w:val="auto"/>
                <w:szCs w:val="21"/>
              </w:rPr>
            </w:pPr>
            <w:r>
              <w:rPr>
                <w:color w:val="auto"/>
                <w:szCs w:val="21"/>
              </w:rPr>
              <w:t>hi--</w:t>
            </w:r>
            <w:r>
              <w:rPr>
                <w:rFonts w:hint="eastAsia"/>
                <w:color w:val="auto"/>
                <w:szCs w:val="21"/>
              </w:rPr>
              <w:t>通过上述入围评审的投标人报价。</w:t>
            </w:r>
          </w:p>
          <w:p>
            <w:pPr>
              <w:spacing w:line="500" w:lineRule="exact"/>
              <w:rPr>
                <w:b/>
                <w:color w:val="auto"/>
                <w:szCs w:val="21"/>
              </w:rPr>
            </w:pPr>
            <w:r>
              <w:rPr>
                <w:rFonts w:hint="eastAsia"/>
                <w:b/>
                <w:color w:val="auto"/>
                <w:szCs w:val="21"/>
              </w:rPr>
              <w:t>【注：中标价以投标报价为准；</w:t>
            </w:r>
            <w:r>
              <w:rPr>
                <w:rFonts w:hint="eastAsia"/>
                <w:b/>
                <w:color w:val="auto"/>
              </w:rPr>
              <w:t>在</w:t>
            </w:r>
            <w:r>
              <w:rPr>
                <w:rFonts w:hint="eastAsia"/>
                <w:b/>
                <w:color w:val="auto"/>
                <w:lang w:eastAsia="zh-CN"/>
              </w:rPr>
              <w:t>福建省</w:t>
            </w:r>
            <w:r>
              <w:rPr>
                <w:rFonts w:hint="eastAsia"/>
                <w:b/>
                <w:color w:val="auto"/>
              </w:rPr>
              <w:t>水利建设市场主体信用评价结果应用办法出台前</w:t>
            </w:r>
            <w:r>
              <w:rPr>
                <w:rFonts w:hint="eastAsia"/>
                <w:b/>
                <w:color w:val="auto"/>
                <w:szCs w:val="21"/>
              </w:rPr>
              <w:t>，p2=1.0。】</w:t>
            </w:r>
          </w:p>
        </w:tc>
      </w:tr>
    </w:tbl>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widowControl/>
        <w:shd w:val="clear" w:color="auto" w:fill="FFFFFF"/>
        <w:adjustRightInd w:val="0"/>
        <w:snapToGrid w:val="0"/>
        <w:jc w:val="left"/>
        <w:rPr>
          <w:b/>
          <w:color w:val="auto"/>
          <w:sz w:val="28"/>
          <w:szCs w:val="28"/>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72" w:name="_Toc516816317"/>
      <w:bookmarkStart w:id="373" w:name="_Toc516816128"/>
      <w:bookmarkStart w:id="374" w:name="_Toc515441125"/>
      <w:bookmarkStart w:id="375" w:name="_Toc511635798"/>
      <w:r>
        <w:rPr>
          <w:rFonts w:hint="eastAsia" w:asciiTheme="majorEastAsia" w:hAnsiTheme="majorEastAsia" w:eastAsiaTheme="majorEastAsia" w:cstheme="minorBidi"/>
          <w:bCs w:val="0"/>
          <w:color w:val="auto"/>
          <w:sz w:val="28"/>
          <w:szCs w:val="28"/>
        </w:rPr>
        <w:t>1. 评标方法</w:t>
      </w:r>
      <w:bookmarkEnd w:id="372"/>
      <w:bookmarkEnd w:id="373"/>
      <w:bookmarkEnd w:id="374"/>
      <w:bookmarkEnd w:id="37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次评标采用经评审的最低投标价法。评标委员会对满足招标文件实质性要求的投标文件，根据本章第2.2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76" w:name="_Toc516816318"/>
      <w:bookmarkStart w:id="377" w:name="_Toc516816129"/>
      <w:bookmarkStart w:id="378" w:name="_Toc515441126"/>
      <w:bookmarkStart w:id="379" w:name="_Toc511635799"/>
      <w:r>
        <w:rPr>
          <w:rFonts w:hint="eastAsia" w:asciiTheme="majorEastAsia" w:hAnsiTheme="majorEastAsia" w:eastAsiaTheme="majorEastAsia" w:cstheme="minorBidi"/>
          <w:bCs w:val="0"/>
          <w:color w:val="auto"/>
          <w:sz w:val="28"/>
          <w:szCs w:val="28"/>
        </w:rPr>
        <w:t>2. 评审标准</w:t>
      </w:r>
      <w:bookmarkEnd w:id="376"/>
      <w:bookmarkEnd w:id="377"/>
      <w:bookmarkEnd w:id="378"/>
      <w:bookmarkEnd w:id="379"/>
    </w:p>
    <w:p>
      <w:pPr>
        <w:pStyle w:val="4"/>
        <w:rPr>
          <w:color w:val="auto"/>
        </w:rPr>
      </w:pPr>
      <w:bookmarkStart w:id="380" w:name="_Toc516816319"/>
      <w:bookmarkStart w:id="381" w:name="_Toc515441127"/>
      <w:bookmarkStart w:id="382" w:name="_Toc511635800"/>
      <w:bookmarkStart w:id="383" w:name="_Toc516816130"/>
      <w:r>
        <w:rPr>
          <w:rFonts w:hint="eastAsia"/>
          <w:color w:val="auto"/>
        </w:rPr>
        <w:t>2.1 初步评审标准</w:t>
      </w:r>
      <w:bookmarkEnd w:id="380"/>
      <w:bookmarkEnd w:id="381"/>
      <w:bookmarkEnd w:id="382"/>
      <w:bookmarkEnd w:id="38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2.1.1 形式评审标准：见评标办法前附表。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2.1.2 资格评审标准：见评标办法前附表。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 响应性评审标准：见评标办法前附表。</w:t>
      </w:r>
    </w:p>
    <w:p>
      <w:pPr>
        <w:pStyle w:val="4"/>
        <w:rPr>
          <w:color w:val="auto"/>
        </w:rPr>
      </w:pPr>
      <w:bookmarkStart w:id="384" w:name="_Toc515441128"/>
      <w:bookmarkStart w:id="385" w:name="_Toc511635801"/>
      <w:bookmarkStart w:id="386" w:name="_Toc516816131"/>
      <w:bookmarkStart w:id="387" w:name="_Toc516816320"/>
      <w:r>
        <w:rPr>
          <w:rFonts w:hint="eastAsia"/>
          <w:color w:val="auto"/>
        </w:rPr>
        <w:t>2.2 详细评审标准</w:t>
      </w:r>
      <w:bookmarkEnd w:id="384"/>
      <w:bookmarkEnd w:id="385"/>
      <w:bookmarkEnd w:id="386"/>
      <w:bookmarkEnd w:id="3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详细评审标准：见评标办法前附表。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388" w:name="_Toc516816321"/>
      <w:bookmarkStart w:id="389" w:name="_Toc516816132"/>
      <w:bookmarkStart w:id="390" w:name="_Toc515441129"/>
      <w:bookmarkStart w:id="391" w:name="_Toc511635802"/>
      <w:r>
        <w:rPr>
          <w:rFonts w:hint="eastAsia" w:asciiTheme="majorEastAsia" w:hAnsiTheme="majorEastAsia" w:eastAsiaTheme="majorEastAsia" w:cstheme="minorBidi"/>
          <w:bCs w:val="0"/>
          <w:color w:val="auto"/>
          <w:sz w:val="28"/>
          <w:szCs w:val="28"/>
        </w:rPr>
        <w:t>3. 评标程序</w:t>
      </w:r>
      <w:bookmarkEnd w:id="388"/>
      <w:bookmarkEnd w:id="389"/>
      <w:bookmarkEnd w:id="390"/>
      <w:bookmarkEnd w:id="391"/>
    </w:p>
    <w:p>
      <w:pPr>
        <w:pStyle w:val="4"/>
        <w:rPr>
          <w:color w:val="auto"/>
        </w:rPr>
      </w:pPr>
      <w:bookmarkStart w:id="392" w:name="_Toc516816322"/>
      <w:bookmarkStart w:id="393" w:name="_Toc516816133"/>
      <w:bookmarkStart w:id="394" w:name="_Toc515441130"/>
      <w:bookmarkStart w:id="395" w:name="_Toc511635803"/>
      <w:r>
        <w:rPr>
          <w:rFonts w:hint="eastAsia"/>
          <w:color w:val="auto"/>
        </w:rPr>
        <w:t>3.1 初步评审</w:t>
      </w:r>
      <w:bookmarkEnd w:id="392"/>
      <w:bookmarkEnd w:id="393"/>
      <w:bookmarkEnd w:id="394"/>
      <w:bookmarkEnd w:id="39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评标委员会可以要求投标人提交第二章“投标人须知”规定的有关证明和证件的原件，以便核验。</w:t>
      </w:r>
      <w:r>
        <w:rPr>
          <w:rFonts w:hint="eastAsia" w:asciiTheme="minorEastAsia" w:hAnsiTheme="minorEastAsia"/>
          <w:b/>
          <w:color w:val="auto"/>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（2）有串通投标、弄虚作假、行贿等违法行为。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（2）总价金额与单价金额不一致的，以单价金额为准，但单价金额小数点有明显错误的除外；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（3）投标报价为各分项报价金额之和，投标报价与分项报价的合价不一致的，应以各分项合价累计数为准，修正投标报价；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（4）如果分项报价中存在缺漏项，则视为缺漏项价格已包含在其他分项报价之中。</w:t>
      </w:r>
    </w:p>
    <w:p>
      <w:pPr>
        <w:pStyle w:val="4"/>
        <w:rPr>
          <w:color w:val="auto"/>
        </w:rPr>
      </w:pPr>
      <w:bookmarkStart w:id="396" w:name="_Toc516816323"/>
      <w:bookmarkStart w:id="397" w:name="_Toc511635804"/>
      <w:bookmarkStart w:id="398" w:name="_Toc516816134"/>
      <w:bookmarkStart w:id="399" w:name="_Toc515441131"/>
      <w:r>
        <w:rPr>
          <w:rFonts w:hint="eastAsia"/>
          <w:color w:val="auto"/>
        </w:rPr>
        <w:t>3.2 详细评审</w:t>
      </w:r>
      <w:bookmarkEnd w:id="396"/>
      <w:bookmarkEnd w:id="397"/>
      <w:bookmarkEnd w:id="398"/>
      <w:bookmarkEnd w:id="3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评标委员会按本章第2.2款规定的评标价格调整方法进行必要的价格调整，并编制“标价比较表”。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pStyle w:val="4"/>
        <w:rPr>
          <w:color w:val="auto"/>
        </w:rPr>
      </w:pPr>
      <w:bookmarkStart w:id="400" w:name="_Toc516816324"/>
      <w:bookmarkStart w:id="401" w:name="_Toc516816135"/>
      <w:bookmarkStart w:id="402" w:name="_Toc515441132"/>
      <w:bookmarkStart w:id="403" w:name="_Toc511635805"/>
      <w:r>
        <w:rPr>
          <w:rFonts w:hint="eastAsia"/>
          <w:color w:val="auto"/>
        </w:rPr>
        <w:t>3.3 投标文件的澄清</w:t>
      </w:r>
      <w:bookmarkEnd w:id="400"/>
      <w:bookmarkEnd w:id="401"/>
      <w:bookmarkEnd w:id="402"/>
      <w:bookmarkEnd w:id="40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评标委员会对投标人提交的澄清、说明或补正有疑问的，可以要求投标人进一步澄清、说明或补正，直至满足评标委员会的要求。</w:t>
      </w:r>
    </w:p>
    <w:p>
      <w:pPr>
        <w:pStyle w:val="4"/>
        <w:rPr>
          <w:color w:val="auto"/>
        </w:rPr>
      </w:pPr>
      <w:bookmarkStart w:id="404" w:name="_Toc516816325"/>
      <w:bookmarkStart w:id="405" w:name="_Toc516816136"/>
      <w:bookmarkStart w:id="406" w:name="_Toc515441133"/>
      <w:bookmarkStart w:id="407" w:name="_Toc511635806"/>
      <w:r>
        <w:rPr>
          <w:rFonts w:hint="eastAsia"/>
          <w:color w:val="auto"/>
        </w:rPr>
        <w:t>3.4 评标结果</w:t>
      </w:r>
      <w:bookmarkEnd w:id="404"/>
      <w:bookmarkEnd w:id="405"/>
      <w:bookmarkEnd w:id="406"/>
      <w:bookmarkEnd w:id="40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除第二章“投标人须知”前附表授权直接确定中标人外，评标委员会按照经评审的价格由低到高的顺序推荐中标候选人，并标明排序。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408" w:name="_Toc516816326"/>
      <w:bookmarkStart w:id="409" w:name="_Toc516816137"/>
      <w:bookmarkStart w:id="410" w:name="_Toc515441134"/>
      <w:bookmarkStart w:id="411" w:name="_Toc511635807"/>
      <w:r>
        <w:rPr>
          <w:rFonts w:hint="eastAsia" w:asciiTheme="majorEastAsia" w:hAnsiTheme="majorEastAsia" w:eastAsiaTheme="majorEastAsia"/>
          <w:color w:val="auto"/>
          <w:sz w:val="36"/>
          <w:szCs w:val="36"/>
        </w:rPr>
        <w:t>第四章 合同条款及格式</w:t>
      </w:r>
      <w:bookmarkEnd w:id="408"/>
      <w:bookmarkEnd w:id="409"/>
      <w:bookmarkEnd w:id="410"/>
      <w:bookmarkEnd w:id="411"/>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3"/>
        <w:adjustRightInd w:val="0"/>
        <w:snapToGrid w:val="0"/>
        <w:spacing w:before="0" w:after="0" w:line="520" w:lineRule="exact"/>
        <w:jc w:val="center"/>
        <w:rPr>
          <w:rFonts w:asciiTheme="majorEastAsia" w:hAnsiTheme="majorEastAsia" w:eastAsiaTheme="majorEastAsia"/>
          <w:color w:val="auto"/>
          <w:sz w:val="36"/>
          <w:szCs w:val="36"/>
        </w:rPr>
      </w:pPr>
      <w:bookmarkStart w:id="412" w:name="_Toc516816327"/>
      <w:bookmarkStart w:id="413" w:name="_Toc516816138"/>
      <w:bookmarkStart w:id="414" w:name="_Toc515441135"/>
      <w:bookmarkStart w:id="415" w:name="_Toc511635808"/>
      <w:r>
        <w:rPr>
          <w:rFonts w:hint="eastAsia" w:asciiTheme="majorEastAsia" w:hAnsiTheme="majorEastAsia" w:eastAsiaTheme="majorEastAsia"/>
          <w:color w:val="auto"/>
          <w:sz w:val="36"/>
          <w:szCs w:val="36"/>
        </w:rPr>
        <w:t>第一节 通用合同条款</w:t>
      </w:r>
      <w:bookmarkEnd w:id="412"/>
      <w:bookmarkEnd w:id="413"/>
      <w:bookmarkEnd w:id="414"/>
      <w:bookmarkEnd w:id="415"/>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【注：本通用合同条款引用中华人民共和国水利部《水利水电工程标准施工招标文件》（2009年版）通用合同条款。】</w:t>
      </w:r>
    </w:p>
    <w:p>
      <w:pPr>
        <w:pStyle w:val="4"/>
        <w:rPr>
          <w:color w:val="auto"/>
        </w:rPr>
      </w:pPr>
      <w:bookmarkStart w:id="416" w:name="_Toc516816328"/>
      <w:bookmarkStart w:id="417" w:name="_Toc516816139"/>
      <w:bookmarkStart w:id="418" w:name="_Toc515441136"/>
      <w:bookmarkStart w:id="419" w:name="_Toc511635809"/>
      <w:r>
        <w:rPr>
          <w:rFonts w:hint="eastAsia"/>
          <w:color w:val="auto"/>
        </w:rPr>
        <w:t>1 一般约定</w:t>
      </w:r>
      <w:bookmarkEnd w:id="416"/>
      <w:bookmarkEnd w:id="417"/>
      <w:bookmarkEnd w:id="418"/>
      <w:bookmarkEnd w:id="419"/>
    </w:p>
    <w:p>
      <w:pPr>
        <w:pStyle w:val="5"/>
        <w:adjustRightInd w:val="0"/>
        <w:snapToGrid w:val="0"/>
        <w:spacing w:before="0" w:after="0" w:line="520" w:lineRule="exact"/>
        <w:rPr>
          <w:rFonts w:asciiTheme="majorEastAsia" w:hAnsiTheme="majorEastAsia" w:eastAsiaTheme="majorEastAsia"/>
          <w:color w:val="auto"/>
        </w:rPr>
      </w:pPr>
      <w:bookmarkStart w:id="420" w:name="_Toc511635810"/>
      <w:r>
        <w:rPr>
          <w:rFonts w:hint="eastAsia" w:asciiTheme="majorEastAsia" w:hAnsiTheme="majorEastAsia" w:eastAsiaTheme="majorEastAsia"/>
          <w:color w:val="auto"/>
        </w:rPr>
        <w:t>1.1 词语定义</w:t>
      </w:r>
      <w:bookmarkEnd w:id="42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通用合同条款、专用合同条款中的下列词语应具有本款所赋予的含义。</w:t>
      </w:r>
    </w:p>
    <w:p>
      <w:pPr>
        <w:widowControl/>
        <w:shd w:val="clear" w:color="auto" w:fill="FFFFFF"/>
        <w:adjustRightInd w:val="0"/>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1.1.1 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合同文件（或称合同）：指合同协议书、中标通知书、投标函及投标函附录、专用合同条款、通用合同条款、技术标准和要求、图纸、已标价工程量清单，以及其他合同文件。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合同协议书：指第1.5款所指的合同协议书。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1.1.1.3 中标通知书：指发包人通知承包人中标的函件。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1.1.1.4 投标函：指构成合同文件组成部分的由承包人填写并签署的投标函。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1.1.1.5 投标函附录：指附在投标函后构成合同文件的投标函附录。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1.1.1.6 技术标准和要求：指构成合同文件组成部分的名为技术标准和要求（合同技术条款）的文件，包括合同双方当事人约定对其所作的修改或补充。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1.1.1.7 图纸：指列入合同的招标图纸、投标图纸和发包人按合同约定向承包人提供的施工图纸和其他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1.1.1.8 已标价工程量清单：指构成合同文件组成部分的由承包人按规定的格式和要求填写并标明价格的工程量清单。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1.1.2 合同当事人和人员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合同当事人:指发包人和（或）承包人。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发包人：指专用合同条款中指明并与承包人在合同协议书中签字的当事人。</w:t>
      </w:r>
    </w:p>
    <w:p>
      <w:pPr>
        <w:autoSpaceDE w:val="0"/>
        <w:autoSpaceDN w:val="0"/>
        <w:adjustRightInd w:val="0"/>
        <w:ind w:firstLine="420" w:firstLineChars="200"/>
        <w:jc w:val="left"/>
        <w:rPr>
          <w:rFonts w:ascii="宋体"/>
          <w:color w:val="auto"/>
          <w:szCs w:val="21"/>
        </w:rPr>
      </w:pPr>
      <w:r>
        <w:rPr>
          <w:rFonts w:hint="eastAsia" w:asciiTheme="minorEastAsia" w:hAnsiTheme="minorEastAsia"/>
          <w:color w:val="auto"/>
          <w:szCs w:val="21"/>
        </w:rPr>
        <w:t>1.1.2.3 承包人：</w:t>
      </w:r>
      <w:r>
        <w:rPr>
          <w:rFonts w:hint="eastAsia" w:ascii="宋体"/>
          <w:color w:val="auto"/>
          <w:szCs w:val="21"/>
        </w:rPr>
        <w:t>指专用合同条款中指明并与分包人在合同协议书中签字的当事人。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1.1.2.4 承包人项目经理：指承包人派驻施工场地的全权负责人。</w:t>
      </w:r>
    </w:p>
    <w:p>
      <w:pPr>
        <w:autoSpaceDE w:val="0"/>
        <w:autoSpaceDN w:val="0"/>
        <w:adjustRightInd w:val="0"/>
        <w:ind w:firstLine="420" w:firstLineChars="200"/>
        <w:jc w:val="left"/>
        <w:rPr>
          <w:rFonts w:ascii="宋体"/>
          <w:color w:val="auto"/>
          <w:szCs w:val="21"/>
        </w:rPr>
      </w:pPr>
      <w:r>
        <w:rPr>
          <w:rFonts w:hint="eastAsia" w:asciiTheme="minorEastAsia" w:hAnsiTheme="minorEastAsia"/>
          <w:color w:val="auto"/>
          <w:szCs w:val="21"/>
        </w:rPr>
        <w:t>1.1.2.5 分包人：</w:t>
      </w:r>
      <w:r>
        <w:rPr>
          <w:rFonts w:hint="eastAsia" w:ascii="宋体"/>
          <w:color w:val="auto"/>
          <w:szCs w:val="21"/>
        </w:rPr>
        <w:t>指专用合同条款中指明的，从承包人处分包合同中某一部分工程，并与其签订分包合同的分包人。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1.1.2.6 监理人：指在专用合同条款中指明的，受发包人委托对合同履行实施管理的法人或其他组织。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1.1.2.7 总监理工程师（总监）：指由监理人委派常驻施工场地对合同履行实施管理的全权负责人。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1.1.3 工程和设备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1.1.3.1 工程：指永久工程和（或）临时工程。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1.1.3.2 永久工程：指按合同约定建造并移交给发包人的工程，包括工程设备。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1.1.3.3 临时工程：指为完成合同约定的永久工程所修建的各类临时性工程，不包括施工设备。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1.1.3.4 单位工程：指专用合同条款中指明特定范围的永久工程。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1.1.3.5 工程设备：指构成或计划构成永久工程一部分的机电设备、金属结构设备、仪器装置及其他类似的设备和装置。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1.1.3.6 施工设备：指为完成合同约定的各项工作所需的设备、器具和其他物品，不包括临时工程和材料。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1.1.3.7 临时设施：指为完成合同约定的各项工作所服务的临时性生产和生活设施。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1.1.3.8 承包人设备：指承包人自带的施工设备。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1.1.3.9 施工场地（或称工地、现场）：指用于合同工程施工的场所，以及在合同中指定作为施工场地组成部分的其他场所，包括永久占地和临时占地。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1.1.3.10 永久占地：指发包人为建设本合同工程永久征用的场地。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1.1.3.11 临时占地：指发包人为建设本合同工程临时征用，承包人在完工后须按合同要求退还的场地。</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1.1.4 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1.1.4.1 开工通知：指监理人按第11.1款通知承包人开工的函件。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1.1.4.2 开工日期：指监理人按第11.1款发出的开工通知中写明的开工日期。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1.1.4.3 工期：指承包人在投标函中承诺的完成合同工程所需的期限，包括按第11.3款、第11.4款和第11.6款约定所作的变更。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1.1.4.4 竣工日期：即合同工程完工日期，指1.1.4.3目约定工期届满时的日期。实际完工日期以合同工程完工证书中写明的日期为准。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1.1.4.5 缺陷责任期：即工程质量保修期，指履行第19.2款约定的缺陷责任的期限，包括根据第19.3款约定所作的延长，具体期限由专用合同条款约定。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1.1.4.6 基准日期：指投标截止时间前28天的日期。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1.1.4.7 天：除特别指明外，指日历天。合同中按天计算时间的，开始当天不计入，从次日开始计算。期限最后一天的截止时间为当天 24:00。</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1.1.5 合同价格和费用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1.1.5.1 签约合同价：指签定合同时合同协议书中写明的，包括了暂列金额、暂估价的合同总金额。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1.1.5.2 合同价格：指承包人按合同约定完成了包括缺陷责任期内的全部承包工作后，发包人应付给承包人的金额，包括在履行合同过程中按合同约定进行的变更和调整。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1.1.5.3 费用：指为履行合同所发生的或将要发生的所有合理开支，包括管理费和应分摊的其他费用，但不包括利润。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1.1.5.4 暂列金额：指已标价工程量清单中所列的暂列金额，用于在签订协议书时尚未确定或不可预见变更的施工及其所需材料、工程设备、服务等的金额，包括以计日工方式支付的金额。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1.1.5.5 暂估价：指发包人在工程量清单中给定的用于支付必然发生但暂时不能确定价格的材料、设备以及专业工程的金额。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1.1.5.6 计日工：指对零星工作采取的一种计价方式，按合同中的计日工子目及其单价计价付款。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1.1.5.7 质量保证金（或称保留金）：指按第17.4.1项约定用于保证在缺陷责任期内履行缺陷修复义务的金额。</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1.1.6 其他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1.1.6.1 书面形式：指合同文件、信函、电报、传真等可以有形地表现所载内容的形式。</w:t>
      </w:r>
    </w:p>
    <w:p>
      <w:pPr>
        <w:pStyle w:val="5"/>
        <w:adjustRightInd w:val="0"/>
        <w:snapToGrid w:val="0"/>
        <w:spacing w:before="0" w:after="0" w:line="520" w:lineRule="exact"/>
        <w:rPr>
          <w:rFonts w:asciiTheme="majorEastAsia" w:hAnsiTheme="majorEastAsia" w:eastAsiaTheme="majorEastAsia"/>
          <w:color w:val="auto"/>
        </w:rPr>
      </w:pPr>
      <w:bookmarkStart w:id="421" w:name="_Toc511635811"/>
      <w:r>
        <w:rPr>
          <w:rFonts w:hint="eastAsia" w:asciiTheme="majorEastAsia" w:hAnsiTheme="majorEastAsia" w:eastAsiaTheme="majorEastAsia"/>
          <w:color w:val="auto"/>
        </w:rPr>
        <w:t>1.2 语言文字</w:t>
      </w:r>
      <w:bookmarkEnd w:id="4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除专用术语外，合同使用的语言文字为中文。必要时专用术语应附有中文注释。</w:t>
      </w:r>
    </w:p>
    <w:p>
      <w:pPr>
        <w:pStyle w:val="5"/>
        <w:adjustRightInd w:val="0"/>
        <w:snapToGrid w:val="0"/>
        <w:spacing w:before="0" w:after="0" w:line="520" w:lineRule="exact"/>
        <w:rPr>
          <w:rFonts w:asciiTheme="majorEastAsia" w:hAnsiTheme="majorEastAsia" w:eastAsiaTheme="majorEastAsia"/>
          <w:color w:val="auto"/>
        </w:rPr>
      </w:pPr>
      <w:bookmarkStart w:id="422" w:name="_Toc511635812"/>
      <w:r>
        <w:rPr>
          <w:rFonts w:hint="eastAsia" w:asciiTheme="majorEastAsia" w:hAnsiTheme="majorEastAsia" w:eastAsiaTheme="majorEastAsia"/>
          <w:color w:val="auto"/>
        </w:rPr>
        <w:t>1.3 法律</w:t>
      </w:r>
      <w:bookmarkEnd w:id="4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适用于合同的法律包括中华人民共和国法律、行政法规、部门规章，以及工程所在地的地方法规、自治条例、单行条例和地方政府规章。</w:t>
      </w:r>
    </w:p>
    <w:p>
      <w:pPr>
        <w:pStyle w:val="5"/>
        <w:adjustRightInd w:val="0"/>
        <w:snapToGrid w:val="0"/>
        <w:spacing w:before="0" w:after="0" w:line="520" w:lineRule="exact"/>
        <w:rPr>
          <w:rFonts w:asciiTheme="majorEastAsia" w:hAnsiTheme="majorEastAsia" w:eastAsiaTheme="majorEastAsia"/>
          <w:color w:val="auto"/>
        </w:rPr>
      </w:pPr>
      <w:bookmarkStart w:id="423" w:name="_Toc511635813"/>
      <w:r>
        <w:rPr>
          <w:rFonts w:hint="eastAsia" w:asciiTheme="majorEastAsia" w:hAnsiTheme="majorEastAsia" w:eastAsiaTheme="majorEastAsia"/>
          <w:color w:val="auto"/>
        </w:rPr>
        <w:t>1.4 合同文件的优先顺序</w:t>
      </w:r>
      <w:bookmarkEnd w:id="4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（2）中标通知书；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（4）专用合同条款；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（5）通用合同条款；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（6）技术标准和要求；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（7）图纸；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（8）已标价工程量清单；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（9）其他合同文件。</w:t>
      </w:r>
    </w:p>
    <w:p>
      <w:pPr>
        <w:pStyle w:val="5"/>
        <w:adjustRightInd w:val="0"/>
        <w:snapToGrid w:val="0"/>
        <w:spacing w:before="0" w:after="0" w:line="520" w:lineRule="exact"/>
        <w:rPr>
          <w:rFonts w:asciiTheme="majorEastAsia" w:hAnsiTheme="majorEastAsia" w:eastAsiaTheme="majorEastAsia"/>
          <w:color w:val="auto"/>
        </w:rPr>
      </w:pPr>
      <w:bookmarkStart w:id="424" w:name="_Toc511635814"/>
      <w:r>
        <w:rPr>
          <w:rFonts w:hint="eastAsia" w:asciiTheme="majorEastAsia" w:hAnsiTheme="majorEastAsia" w:eastAsiaTheme="majorEastAsia"/>
          <w:color w:val="auto"/>
        </w:rPr>
        <w:t>1.5 合同协议书</w:t>
      </w:r>
      <w:bookmarkEnd w:id="42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5"/>
        <w:adjustRightInd w:val="0"/>
        <w:snapToGrid w:val="0"/>
        <w:spacing w:before="0" w:after="0" w:line="520" w:lineRule="exact"/>
        <w:rPr>
          <w:rFonts w:asciiTheme="majorEastAsia" w:hAnsiTheme="majorEastAsia" w:eastAsiaTheme="majorEastAsia"/>
          <w:color w:val="auto"/>
        </w:rPr>
      </w:pPr>
      <w:bookmarkStart w:id="425" w:name="_Toc511635815"/>
      <w:r>
        <w:rPr>
          <w:rFonts w:hint="eastAsia" w:asciiTheme="majorEastAsia" w:hAnsiTheme="majorEastAsia" w:eastAsiaTheme="majorEastAsia"/>
          <w:color w:val="auto"/>
        </w:rPr>
        <w:t>1.6 图纸和承包人文件</w:t>
      </w:r>
      <w:bookmarkEnd w:id="425"/>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1.6.1 图纸的提供</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发包人应按技术标准和要求（合同技术条款）约定的期限和数量将施工图纸以及其他的图纸（包括配套说明和有关资料）提供给承包人。由于发包人未按时提供图纸造成工期延误的，按第11.3款的约定办理。</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1.6.2 承包人提供的文件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承包人提供的文件应按技术标准和要求（合同技术条款）约定的期限和数量提供给监理人。监理人应按技术标准和要求（合同技术条款）约定的期限批复承包人。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1.6.3 图纸的修改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需要对已发给承包人的施工图纸进行修改时，监理人应按技术标准和要求（合同技术条款）约定的期限内签发施工图纸的修改图给承包人。承包人应按技术标准和要求（合同技术条款）的约定编制一份承包人实施计划提交监理人批准后执行。</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1.6.4 图纸的错误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承包人发现发包人提供的图纸存在明显错误或疏忽，应及时通知监理人。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1.6.5 图纸和承包人文件的保管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监理人和承包人均应在施工场地各保存一套完整的包含第1.6.1项、第1.6.2项、第1.6.3项约定内容的图纸和承包人文件。</w:t>
      </w:r>
    </w:p>
    <w:p>
      <w:pPr>
        <w:pStyle w:val="5"/>
        <w:adjustRightInd w:val="0"/>
        <w:snapToGrid w:val="0"/>
        <w:spacing w:before="0" w:after="0" w:line="520" w:lineRule="exact"/>
        <w:rPr>
          <w:rFonts w:asciiTheme="majorEastAsia" w:hAnsiTheme="majorEastAsia" w:eastAsiaTheme="majorEastAsia"/>
          <w:color w:val="auto"/>
        </w:rPr>
      </w:pPr>
      <w:bookmarkStart w:id="426" w:name="_Toc511635816"/>
      <w:r>
        <w:rPr>
          <w:rFonts w:hint="eastAsia" w:asciiTheme="majorEastAsia" w:hAnsiTheme="majorEastAsia" w:eastAsiaTheme="majorEastAsia"/>
          <w:color w:val="auto"/>
        </w:rPr>
        <w:t>1.7 联络</w:t>
      </w:r>
      <w:bookmarkEnd w:id="42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 第1.7.1项中的通知、批准、证明、证书、指示、要求、请求、同意、意见、确定和决定等来往函件，均应在合同约定的期限内送达指定地点和接收人，并办理签收手续。来往函件的在送达期限在技术标准和要求（合同技术条款）中约定，送达地点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1.7.3 来往函件均应按合同约定的期限及时发出和答复，不得无故扣压和拖延，亦不得拒收。否则，由此造成的后果由责任方负责。</w:t>
      </w:r>
    </w:p>
    <w:p>
      <w:pPr>
        <w:pStyle w:val="5"/>
        <w:adjustRightInd w:val="0"/>
        <w:snapToGrid w:val="0"/>
        <w:spacing w:before="0" w:after="0" w:line="520" w:lineRule="exact"/>
        <w:rPr>
          <w:rFonts w:asciiTheme="majorEastAsia" w:hAnsiTheme="majorEastAsia" w:eastAsiaTheme="majorEastAsia"/>
          <w:color w:val="auto"/>
        </w:rPr>
      </w:pPr>
      <w:bookmarkStart w:id="427" w:name="_Toc511635817"/>
      <w:r>
        <w:rPr>
          <w:rFonts w:hint="eastAsia" w:asciiTheme="majorEastAsia" w:hAnsiTheme="majorEastAsia" w:eastAsiaTheme="majorEastAsia"/>
          <w:color w:val="auto"/>
        </w:rPr>
        <w:t>1.8 转让</w:t>
      </w:r>
      <w:bookmarkEnd w:id="4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除合同另有约定外，未经对方当事人同意，一方当事人不得将合同权利全部或部分转让给第三人，也不得全部或部分转移合同义务。</w:t>
      </w:r>
    </w:p>
    <w:p>
      <w:pPr>
        <w:pStyle w:val="5"/>
        <w:adjustRightInd w:val="0"/>
        <w:snapToGrid w:val="0"/>
        <w:spacing w:before="0" w:after="0" w:line="520" w:lineRule="exact"/>
        <w:rPr>
          <w:rFonts w:asciiTheme="majorEastAsia" w:hAnsiTheme="majorEastAsia" w:eastAsiaTheme="majorEastAsia"/>
          <w:color w:val="auto"/>
        </w:rPr>
      </w:pPr>
      <w:bookmarkStart w:id="428" w:name="_Toc511635818"/>
      <w:r>
        <w:rPr>
          <w:rFonts w:hint="eastAsia" w:asciiTheme="majorEastAsia" w:hAnsiTheme="majorEastAsia" w:eastAsiaTheme="majorEastAsia"/>
          <w:color w:val="auto"/>
        </w:rPr>
        <w:t>1.9 严禁贿赂</w:t>
      </w:r>
      <w:bookmarkEnd w:id="42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合同双方当事人不得以贿赂或变相贿赂的方式，谋取不当利益或损害对方权益。因贿赂造成对方损失的，行为人应赔偿损失，并承担相应的法律责任。</w:t>
      </w:r>
    </w:p>
    <w:p>
      <w:pPr>
        <w:pStyle w:val="5"/>
        <w:adjustRightInd w:val="0"/>
        <w:snapToGrid w:val="0"/>
        <w:spacing w:before="0" w:after="0" w:line="520" w:lineRule="exact"/>
        <w:rPr>
          <w:rFonts w:asciiTheme="majorEastAsia" w:hAnsiTheme="majorEastAsia" w:eastAsiaTheme="majorEastAsia"/>
          <w:color w:val="auto"/>
        </w:rPr>
      </w:pPr>
      <w:bookmarkStart w:id="429" w:name="_Toc511635819"/>
      <w:r>
        <w:rPr>
          <w:rFonts w:hint="eastAsia" w:asciiTheme="majorEastAsia" w:hAnsiTheme="majorEastAsia" w:eastAsiaTheme="majorEastAsia"/>
          <w:color w:val="auto"/>
        </w:rPr>
        <w:t>1.10 化石、文物</w:t>
      </w:r>
      <w:bookmarkEnd w:id="4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1.10.2 承包人发现文物后不及时报告或隐瞒不报，致使文物丢失或损坏的，应赔偿损失，并承担相应的法律责任。</w:t>
      </w:r>
    </w:p>
    <w:p>
      <w:pPr>
        <w:pStyle w:val="5"/>
        <w:adjustRightInd w:val="0"/>
        <w:snapToGrid w:val="0"/>
        <w:spacing w:before="0" w:after="0" w:line="520" w:lineRule="exact"/>
        <w:rPr>
          <w:rFonts w:asciiTheme="majorEastAsia" w:hAnsiTheme="majorEastAsia" w:eastAsiaTheme="majorEastAsia"/>
          <w:color w:val="auto"/>
        </w:rPr>
      </w:pPr>
      <w:bookmarkStart w:id="430" w:name="_Toc511635820"/>
      <w:r>
        <w:rPr>
          <w:rFonts w:hint="eastAsia" w:asciiTheme="majorEastAsia" w:hAnsiTheme="majorEastAsia" w:eastAsiaTheme="majorEastAsia"/>
          <w:color w:val="auto"/>
        </w:rPr>
        <w:t>1.11 专利技术</w:t>
      </w:r>
      <w:bookmarkEnd w:id="4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承包人在使用任何材料、承包人设备、工程设备或采用施工工艺时，因侵犯专利权或其他知识产权所引起的责任，由承包人承担，但由于遵照发包人提供的设计或技术标准和要求引起的除外。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承包人在投标文件中采用专利技术的，专利技术的使用费包含在投标报价内。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1.11.3 承包人的技术秘密和声明需要保密的资料和信息，发包人和监理人不得为合同以外的目的泄露给他人。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1.11.4 合同实施过程中，发包人要求承包人采用专利技术的，发包人应办理相应的使用手续，承包人应按发包人约定的条件使用，并承担使用专利技术的相关试验工作，所需的费用由发包人承担。</w:t>
      </w:r>
    </w:p>
    <w:p>
      <w:pPr>
        <w:pStyle w:val="4"/>
        <w:rPr>
          <w:color w:val="auto"/>
        </w:rPr>
      </w:pPr>
      <w:bookmarkStart w:id="431" w:name="_Toc516816140"/>
      <w:bookmarkStart w:id="432" w:name="_Toc511635821"/>
      <w:bookmarkStart w:id="433" w:name="_Toc516816329"/>
      <w:bookmarkStart w:id="434" w:name="_Toc515441137"/>
      <w:r>
        <w:rPr>
          <w:rFonts w:hint="eastAsia"/>
          <w:color w:val="auto"/>
        </w:rPr>
        <w:t>2 发包人义务</w:t>
      </w:r>
      <w:bookmarkEnd w:id="431"/>
      <w:bookmarkEnd w:id="432"/>
      <w:bookmarkEnd w:id="433"/>
      <w:bookmarkEnd w:id="434"/>
    </w:p>
    <w:p>
      <w:pPr>
        <w:pStyle w:val="5"/>
        <w:adjustRightInd w:val="0"/>
        <w:snapToGrid w:val="0"/>
        <w:spacing w:before="0" w:after="0" w:line="520" w:lineRule="exact"/>
        <w:rPr>
          <w:rFonts w:asciiTheme="majorEastAsia" w:hAnsiTheme="majorEastAsia" w:eastAsiaTheme="majorEastAsia"/>
          <w:color w:val="auto"/>
        </w:rPr>
      </w:pPr>
      <w:bookmarkStart w:id="435" w:name="_Toc511635822"/>
      <w:r>
        <w:rPr>
          <w:rFonts w:hint="eastAsia" w:asciiTheme="majorEastAsia" w:hAnsiTheme="majorEastAsia" w:eastAsiaTheme="majorEastAsia"/>
          <w:color w:val="auto"/>
        </w:rPr>
        <w:t>2.1 遵守法律</w:t>
      </w:r>
      <w:bookmarkEnd w:id="43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发包人在履行合同过程中应遵守法律，并保证承包人免于承担因发包人违反法律而引起的任何责任。</w:t>
      </w:r>
    </w:p>
    <w:p>
      <w:pPr>
        <w:pStyle w:val="5"/>
        <w:adjustRightInd w:val="0"/>
        <w:snapToGrid w:val="0"/>
        <w:spacing w:before="0" w:after="0" w:line="520" w:lineRule="exact"/>
        <w:rPr>
          <w:rFonts w:asciiTheme="majorEastAsia" w:hAnsiTheme="majorEastAsia" w:eastAsiaTheme="majorEastAsia"/>
          <w:color w:val="auto"/>
        </w:rPr>
      </w:pPr>
      <w:bookmarkStart w:id="436" w:name="_Toc511635823"/>
      <w:r>
        <w:rPr>
          <w:rFonts w:hint="eastAsia" w:asciiTheme="majorEastAsia" w:hAnsiTheme="majorEastAsia" w:eastAsiaTheme="majorEastAsia"/>
          <w:color w:val="auto"/>
        </w:rPr>
        <w:t>2.2 发出开工通知</w:t>
      </w:r>
      <w:bookmarkEnd w:id="43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发包人应委托监理人按第11.1款的约定向承包人发出开工通知。</w:t>
      </w:r>
    </w:p>
    <w:p>
      <w:pPr>
        <w:pStyle w:val="5"/>
        <w:adjustRightInd w:val="0"/>
        <w:snapToGrid w:val="0"/>
        <w:spacing w:before="0" w:after="0" w:line="520" w:lineRule="exact"/>
        <w:rPr>
          <w:rFonts w:asciiTheme="majorEastAsia" w:hAnsiTheme="majorEastAsia" w:eastAsiaTheme="majorEastAsia"/>
          <w:color w:val="auto"/>
        </w:rPr>
      </w:pPr>
      <w:bookmarkStart w:id="437" w:name="_Toc511635824"/>
      <w:r>
        <w:rPr>
          <w:rFonts w:hint="eastAsia" w:asciiTheme="majorEastAsia" w:hAnsiTheme="majorEastAsia" w:eastAsiaTheme="majorEastAsia"/>
          <w:color w:val="auto"/>
        </w:rPr>
        <w:t>2.3 提供施工场地</w:t>
      </w:r>
      <w:bookmarkEnd w:id="4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2.3.1 发包人应在合同双方签订合同协议书后的14天内，将本合同工程的施工场地范围图提交给承包人。发包人提供的施工场地范围图应标明用地范围内永久占地与临时占地的范围和界限，以及指明提供给承包人用于施工场地布置的范围和界限及其有关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2.3.2 发包人提供的施工用地范围在专用合同条款中约定。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2.3.3 除专用合同条款另有约定外，发包人应按技术标准和要求（合同技术条款）的约定，向承包人提供施工场地内的工程地质图纸和报告，以及地下障碍物图纸等施工场地有关资料，并保证资料的真实、准确、完整。</w:t>
      </w:r>
    </w:p>
    <w:p>
      <w:pPr>
        <w:pStyle w:val="5"/>
        <w:adjustRightInd w:val="0"/>
        <w:snapToGrid w:val="0"/>
        <w:spacing w:before="0" w:after="0" w:line="520" w:lineRule="exact"/>
        <w:rPr>
          <w:rFonts w:asciiTheme="majorEastAsia" w:hAnsiTheme="majorEastAsia" w:eastAsiaTheme="majorEastAsia"/>
          <w:color w:val="auto"/>
        </w:rPr>
      </w:pPr>
      <w:bookmarkStart w:id="438" w:name="_Toc511635825"/>
      <w:r>
        <w:rPr>
          <w:rFonts w:hint="eastAsia" w:asciiTheme="majorEastAsia" w:hAnsiTheme="majorEastAsia" w:eastAsiaTheme="majorEastAsia"/>
          <w:color w:val="auto"/>
        </w:rPr>
        <w:t>2.4 协助承包人办理证件和批件</w:t>
      </w:r>
      <w:bookmarkEnd w:id="4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发包人应协助承包人办理法律规定的有关施工证件和批件。</w:t>
      </w:r>
    </w:p>
    <w:p>
      <w:pPr>
        <w:pStyle w:val="5"/>
        <w:adjustRightInd w:val="0"/>
        <w:snapToGrid w:val="0"/>
        <w:spacing w:before="0" w:after="0" w:line="520" w:lineRule="exact"/>
        <w:rPr>
          <w:rFonts w:asciiTheme="majorEastAsia" w:hAnsiTheme="majorEastAsia" w:eastAsiaTheme="majorEastAsia"/>
          <w:color w:val="auto"/>
        </w:rPr>
      </w:pPr>
      <w:bookmarkStart w:id="439" w:name="_Toc511635826"/>
      <w:r>
        <w:rPr>
          <w:rFonts w:hint="eastAsia" w:asciiTheme="majorEastAsia" w:hAnsiTheme="majorEastAsia" w:eastAsiaTheme="majorEastAsia"/>
          <w:color w:val="auto"/>
        </w:rPr>
        <w:t>2.5 组织设计交底</w:t>
      </w:r>
      <w:bookmarkEnd w:id="4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发包人应根据合同进度计划，组织设计单位向承包人进行设计交底。</w:t>
      </w:r>
    </w:p>
    <w:p>
      <w:pPr>
        <w:pStyle w:val="5"/>
        <w:adjustRightInd w:val="0"/>
        <w:snapToGrid w:val="0"/>
        <w:spacing w:before="0" w:after="0" w:line="520" w:lineRule="exact"/>
        <w:rPr>
          <w:rFonts w:asciiTheme="majorEastAsia" w:hAnsiTheme="majorEastAsia" w:eastAsiaTheme="majorEastAsia"/>
          <w:color w:val="auto"/>
        </w:rPr>
      </w:pPr>
      <w:bookmarkStart w:id="440" w:name="_Toc511635827"/>
      <w:r>
        <w:rPr>
          <w:rFonts w:hint="eastAsia" w:asciiTheme="majorEastAsia" w:hAnsiTheme="majorEastAsia" w:eastAsiaTheme="majorEastAsia"/>
          <w:color w:val="auto"/>
        </w:rPr>
        <w:t>2.6 支付合同价款</w:t>
      </w:r>
      <w:bookmarkEnd w:id="44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发包人应按合同约定向承包人及时支付合同价款。</w:t>
      </w:r>
    </w:p>
    <w:p>
      <w:pPr>
        <w:pStyle w:val="5"/>
        <w:adjustRightInd w:val="0"/>
        <w:snapToGrid w:val="0"/>
        <w:spacing w:before="0" w:after="0" w:line="520" w:lineRule="exact"/>
        <w:rPr>
          <w:rFonts w:asciiTheme="majorEastAsia" w:hAnsiTheme="majorEastAsia" w:eastAsiaTheme="majorEastAsia"/>
          <w:color w:val="auto"/>
        </w:rPr>
      </w:pPr>
      <w:bookmarkStart w:id="441" w:name="_Toc511635828"/>
      <w:r>
        <w:rPr>
          <w:rFonts w:hint="eastAsia" w:asciiTheme="majorEastAsia" w:hAnsiTheme="majorEastAsia" w:eastAsiaTheme="majorEastAsia"/>
          <w:color w:val="auto"/>
        </w:rPr>
        <w:t>2.7 组织竣工验收（组织法人验收）</w:t>
      </w:r>
      <w:bookmarkEnd w:id="44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发包人应按合同约定及时组织法人验收。</w:t>
      </w:r>
    </w:p>
    <w:p>
      <w:pPr>
        <w:pStyle w:val="5"/>
        <w:adjustRightInd w:val="0"/>
        <w:snapToGrid w:val="0"/>
        <w:spacing w:before="0" w:after="0" w:line="520" w:lineRule="exact"/>
        <w:rPr>
          <w:rFonts w:asciiTheme="majorEastAsia" w:hAnsiTheme="majorEastAsia" w:eastAsiaTheme="majorEastAsia"/>
          <w:color w:val="auto"/>
        </w:rPr>
      </w:pPr>
      <w:bookmarkStart w:id="442" w:name="_Toc511635829"/>
      <w:r>
        <w:rPr>
          <w:rFonts w:hint="eastAsia" w:asciiTheme="majorEastAsia" w:hAnsiTheme="majorEastAsia" w:eastAsiaTheme="majorEastAsia"/>
          <w:color w:val="auto"/>
        </w:rPr>
        <w:t>2.8 其它义务</w:t>
      </w:r>
      <w:bookmarkEnd w:id="44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其它义务在专用合同条款中补充约定。</w:t>
      </w:r>
    </w:p>
    <w:p>
      <w:pPr>
        <w:pStyle w:val="4"/>
        <w:rPr>
          <w:color w:val="auto"/>
        </w:rPr>
      </w:pPr>
      <w:bookmarkStart w:id="443" w:name="_Toc516816330"/>
      <w:bookmarkStart w:id="444" w:name="_Toc516816141"/>
      <w:bookmarkStart w:id="445" w:name="_Toc515441138"/>
      <w:bookmarkStart w:id="446" w:name="_Toc511635830"/>
      <w:r>
        <w:rPr>
          <w:rFonts w:hint="eastAsia"/>
          <w:color w:val="auto"/>
        </w:rPr>
        <w:t>3 监理人</w:t>
      </w:r>
      <w:bookmarkEnd w:id="443"/>
      <w:bookmarkEnd w:id="444"/>
      <w:bookmarkEnd w:id="445"/>
      <w:bookmarkEnd w:id="446"/>
    </w:p>
    <w:p>
      <w:pPr>
        <w:pStyle w:val="5"/>
        <w:adjustRightInd w:val="0"/>
        <w:snapToGrid w:val="0"/>
        <w:spacing w:before="0" w:after="0" w:line="520" w:lineRule="exact"/>
        <w:rPr>
          <w:rFonts w:asciiTheme="majorEastAsia" w:hAnsiTheme="majorEastAsia" w:eastAsiaTheme="majorEastAsia"/>
          <w:color w:val="auto"/>
        </w:rPr>
      </w:pPr>
      <w:bookmarkStart w:id="447" w:name="_Toc511635831"/>
      <w:r>
        <w:rPr>
          <w:rFonts w:hint="eastAsia" w:asciiTheme="majorEastAsia" w:hAnsiTheme="majorEastAsia" w:eastAsiaTheme="majorEastAsia"/>
          <w:color w:val="auto"/>
        </w:rPr>
        <w:t>3.1 监理人的职责和权利</w:t>
      </w:r>
      <w:bookmarkEnd w:id="4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监理人受发包人的委托，享有合同约定的权利。监理人的权利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监理人发出的任何指示应视为已得到发包人的批准，但监理人无权免除或变更合同约定的发包人和承包人的权利、义务和责任。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合同约定应由承包人承担的义务和责任，不因监理人对承包人提交文件的审查或批准，对工程、材料和设备的检查和检验，以及为实施监理作出的指示等职务行为而减轻或解除。</w:t>
      </w:r>
    </w:p>
    <w:p>
      <w:pPr>
        <w:pStyle w:val="5"/>
        <w:adjustRightInd w:val="0"/>
        <w:snapToGrid w:val="0"/>
        <w:spacing w:before="0" w:after="0" w:line="520" w:lineRule="exact"/>
        <w:rPr>
          <w:rFonts w:asciiTheme="majorEastAsia" w:hAnsiTheme="majorEastAsia" w:eastAsiaTheme="majorEastAsia"/>
          <w:color w:val="auto"/>
        </w:rPr>
      </w:pPr>
      <w:bookmarkStart w:id="448" w:name="_Toc511635832"/>
      <w:r>
        <w:rPr>
          <w:rFonts w:hint="eastAsia" w:asciiTheme="majorEastAsia" w:hAnsiTheme="majorEastAsia" w:eastAsiaTheme="majorEastAsia"/>
          <w:color w:val="auto"/>
        </w:rPr>
        <w:t>3.2 总监理工程师</w:t>
      </w:r>
      <w:bookmarkEnd w:id="44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发包人应在发出开工通知前将总监理工程师的任命通知承包人。总监理工程师更换时，应在调离14天前通知承包人。总监理工程师短期离开施工场地的，应委派代表代行其职责，并通知承包人。</w:t>
      </w:r>
    </w:p>
    <w:p>
      <w:pPr>
        <w:pStyle w:val="5"/>
        <w:adjustRightInd w:val="0"/>
        <w:snapToGrid w:val="0"/>
        <w:spacing w:before="0" w:after="0" w:line="520" w:lineRule="exact"/>
        <w:rPr>
          <w:rFonts w:asciiTheme="majorEastAsia" w:hAnsiTheme="majorEastAsia" w:eastAsiaTheme="majorEastAsia"/>
          <w:color w:val="auto"/>
        </w:rPr>
      </w:pPr>
      <w:bookmarkStart w:id="449" w:name="_Toc511635833"/>
      <w:r>
        <w:rPr>
          <w:rFonts w:hint="eastAsia" w:asciiTheme="majorEastAsia" w:hAnsiTheme="majorEastAsia" w:eastAsiaTheme="majorEastAsia"/>
          <w:color w:val="auto"/>
        </w:rPr>
        <w:t>3.3 监理人员</w:t>
      </w:r>
      <w:bookmarkEnd w:id="44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监理人员对承包人的任何工作、工程或其采用的材料和工程设备未在约定的或合理的期限内提出否定意见的，视为已获批准，但不影响监理人在以后拒绝该项工作、工程、材料或工程设备的权利。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承包人对总监理工程师授权的监理人员发出的指示有疑问的，可向总监理工程师提出书面异议，总监理工程师应在48小时内对该指示予以确认、更改或撤销。</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3.3.4 除专用合同条款另有约定外，总监理工程师不应将第3.5款约定应由总监理工程师作出确定的权力授权或委托给其他监理人员。</w:t>
      </w:r>
    </w:p>
    <w:p>
      <w:pPr>
        <w:pStyle w:val="5"/>
        <w:adjustRightInd w:val="0"/>
        <w:snapToGrid w:val="0"/>
        <w:spacing w:before="0" w:after="0" w:line="520" w:lineRule="exact"/>
        <w:rPr>
          <w:rFonts w:asciiTheme="majorEastAsia" w:hAnsiTheme="majorEastAsia" w:eastAsiaTheme="majorEastAsia"/>
          <w:color w:val="auto"/>
        </w:rPr>
      </w:pPr>
      <w:bookmarkStart w:id="450" w:name="_Toc511635834"/>
      <w:r>
        <w:rPr>
          <w:rFonts w:hint="eastAsia" w:asciiTheme="majorEastAsia" w:hAnsiTheme="majorEastAsia" w:eastAsiaTheme="majorEastAsia"/>
          <w:color w:val="auto"/>
        </w:rPr>
        <w:t>3.4 监理人的指示</w:t>
      </w:r>
      <w:bookmarkEnd w:id="4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监理人应按第3.1款的约定向承包人发出指示，监理人的指示应盖有监理人授权的施工场地机构章，并由总监理工程师或总监理工程师按第3.3.1项约定授权的监理人员签字。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承包人收到监理人按第3.4.1项作出的指示后应遵照执行。指示构成变更的，应按第15条处理。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3.4.4 除合同另有约定外，承包人只从总监理工程师或按第3.3.1项被授权的监理人员处取得指示。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3.4.5 由于监理人未能按合同约定发出指示、指示延误或指示错误而导致承包人费用增加和（或）工期延误的，由发包人承担赔偿责任。</w:t>
      </w:r>
    </w:p>
    <w:p>
      <w:pPr>
        <w:pStyle w:val="5"/>
        <w:adjustRightInd w:val="0"/>
        <w:snapToGrid w:val="0"/>
        <w:spacing w:before="0" w:after="0" w:line="520" w:lineRule="exact"/>
        <w:rPr>
          <w:rFonts w:asciiTheme="majorEastAsia" w:hAnsiTheme="majorEastAsia" w:eastAsiaTheme="majorEastAsia"/>
          <w:color w:val="auto"/>
        </w:rPr>
      </w:pPr>
      <w:bookmarkStart w:id="451" w:name="_Toc511635835"/>
      <w:r>
        <w:rPr>
          <w:rFonts w:hint="eastAsia" w:asciiTheme="majorEastAsia" w:hAnsiTheme="majorEastAsia" w:eastAsiaTheme="majorEastAsia"/>
          <w:color w:val="auto"/>
        </w:rPr>
        <w:t>3.5 商定或确定</w:t>
      </w:r>
      <w:bookmarkEnd w:id="45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3.5.1 合同约定总监理工程师应按照本款对任何事项进行商定或确定时，总监理工程师应与合同当事人协商，尽量达成一致。不能达成一致的，总监理工程师应认真研究后审慎确定。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4"/>
        <w:rPr>
          <w:color w:val="auto"/>
        </w:rPr>
      </w:pPr>
      <w:bookmarkStart w:id="452" w:name="_Toc516816331"/>
      <w:bookmarkStart w:id="453" w:name="_Toc516816142"/>
      <w:bookmarkStart w:id="454" w:name="_Toc511635836"/>
      <w:bookmarkStart w:id="455" w:name="_Toc515441139"/>
      <w:r>
        <w:rPr>
          <w:rFonts w:hint="eastAsia"/>
          <w:color w:val="auto"/>
        </w:rPr>
        <w:t>4 承包人</w:t>
      </w:r>
      <w:bookmarkEnd w:id="452"/>
      <w:bookmarkEnd w:id="453"/>
      <w:bookmarkEnd w:id="454"/>
      <w:bookmarkEnd w:id="455"/>
    </w:p>
    <w:p>
      <w:pPr>
        <w:pStyle w:val="5"/>
        <w:adjustRightInd w:val="0"/>
        <w:snapToGrid w:val="0"/>
        <w:spacing w:before="0" w:after="0" w:line="520" w:lineRule="exact"/>
        <w:rPr>
          <w:rFonts w:asciiTheme="majorEastAsia" w:hAnsiTheme="majorEastAsia" w:eastAsiaTheme="majorEastAsia"/>
          <w:color w:val="auto"/>
        </w:rPr>
      </w:pPr>
      <w:bookmarkStart w:id="456" w:name="_Toc511635837"/>
      <w:r>
        <w:rPr>
          <w:rFonts w:hint="eastAsia" w:asciiTheme="majorEastAsia" w:hAnsiTheme="majorEastAsia" w:eastAsiaTheme="majorEastAsia"/>
          <w:color w:val="auto"/>
        </w:rPr>
        <w:t>4.1 承包人的一般义务</w:t>
      </w:r>
      <w:bookmarkEnd w:id="456"/>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4.1.1 遵守法律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承包人在履行合同过程中应遵守法律，并保证发包人免于承担因承包人违反法律而引起的任何责任。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4.1.2 依法纳税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承包人应按有关法律规定纳税，应缴纳的税金包括在合同价格内。</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4.1.3 完成各项承包工作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合同约定以及监理人根据第3.4款作出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4.1.4 对施工作业和施工方法的完备性负责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承包人应按合同约定的工作内容和施工进度要求，编制施工组织设计和施工措施计划，并对所有施工作业和施工方法的完备性和安全可靠性负责。</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4.1.5 保证工程施工和人员的安全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承包人应按第9.2款约定采取施工安全措施，确保工程及其人员、材料、设备和设施的安全，防止因工程施工造成的人身伤害和财产损失。</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4.1.6 负责施工场地及其周边环境与生态的保护工作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承包人应按照第9.4款约定负责施工场地及其周边环境与生态的保护工作。</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4.1.7 避免施工对公众与他人的利益造成损害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4.1.8 为他人提供方便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承包人应按监理人的指示为他人在施工场地或附近实施与工程有关的其他各项工作提供可能的条件。除合同另有约定外，提供有关条件的内容和可能发生的费用，由监理人按第3.5款商定或确定。</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4.1.9 工程的维护和照管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4.1.10 其它义务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其它义务在专用合同条款中补充约定。</w:t>
      </w:r>
    </w:p>
    <w:p>
      <w:pPr>
        <w:pStyle w:val="5"/>
        <w:adjustRightInd w:val="0"/>
        <w:snapToGrid w:val="0"/>
        <w:spacing w:before="0" w:after="0" w:line="520" w:lineRule="exact"/>
        <w:rPr>
          <w:rFonts w:asciiTheme="majorEastAsia" w:hAnsiTheme="majorEastAsia" w:eastAsiaTheme="majorEastAsia"/>
          <w:color w:val="auto"/>
        </w:rPr>
      </w:pPr>
      <w:bookmarkStart w:id="457" w:name="_Toc511635838"/>
      <w:r>
        <w:rPr>
          <w:rFonts w:hint="eastAsia" w:asciiTheme="majorEastAsia" w:hAnsiTheme="majorEastAsia" w:eastAsiaTheme="majorEastAsia"/>
          <w:color w:val="auto"/>
        </w:rPr>
        <w:t>4.2 履约担保</w:t>
      </w:r>
      <w:bookmarkEnd w:id="4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承包人应保证其履约担保在发包人颁发合同工程完工证书前一直有效。发包人应在合同工程完工证书颁发后28天内将履约担保退还给承包人。</w:t>
      </w:r>
    </w:p>
    <w:p>
      <w:pPr>
        <w:pStyle w:val="5"/>
        <w:adjustRightInd w:val="0"/>
        <w:snapToGrid w:val="0"/>
        <w:spacing w:before="0" w:after="0" w:line="520" w:lineRule="exact"/>
        <w:rPr>
          <w:rFonts w:asciiTheme="majorEastAsia" w:hAnsiTheme="majorEastAsia" w:eastAsiaTheme="majorEastAsia"/>
          <w:color w:val="auto"/>
        </w:rPr>
      </w:pPr>
      <w:bookmarkStart w:id="458" w:name="_Toc511635839"/>
      <w:r>
        <w:rPr>
          <w:rFonts w:hint="eastAsia" w:asciiTheme="majorEastAsia" w:hAnsiTheme="majorEastAsia" w:eastAsiaTheme="majorEastAsia"/>
          <w:color w:val="auto"/>
        </w:rPr>
        <w:t>4.3 分包</w:t>
      </w:r>
      <w:bookmarkEnd w:id="4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承包人不得将其承包的全部工程转包给第三人，或将其承包的全部工程肢解后以分包的名义转包给第三人。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承包人不得将工程主体、关键性工作分包给第三人。除专用合同条款另有约定外，未经发包人同意，承包人不得将工程的其他部分或工作分包给第三人。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分包人的资格能力应与其分包工程的标准和规模相适应。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4.3.4 按投标函附录约定分包工程的，承包人应向发包人和监理人提交分包合同副本。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4.3.5 承包人应与分包人就分包工程向发包人承担连带责任。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由指定分包人造成的与其分包工作有关的一切索赔、诉讼和损失赔偿由指定分包人直接对发包人负责，承包人不对此承担责任。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4.3.8 承包人和分包人应当签订分包合同，并履行合同约定的义务。分包合同必须遵循合同的各项原则，满足承包合同中相应条款的要求。发包人可以对分包合同实施情况进行监督检查。承包人应将分包合同副本提交发包人和监理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4.3.9 除4.3.7项规定的指定分包外，承包人对其分包项目的实施以及分包人的行为向发包人负全部责任。承包人应对分包项目的工程进度、质量、安全、计量和验收等实施监督和管理。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4.3.10 分包人应按专用合同条款的约定设立项目管理机构组织管理分包工程的施工活动。</w:t>
      </w:r>
    </w:p>
    <w:p>
      <w:pPr>
        <w:pStyle w:val="5"/>
        <w:adjustRightInd w:val="0"/>
        <w:snapToGrid w:val="0"/>
        <w:spacing w:before="0" w:after="0" w:line="520" w:lineRule="exact"/>
        <w:rPr>
          <w:rFonts w:asciiTheme="majorEastAsia" w:hAnsiTheme="majorEastAsia" w:eastAsiaTheme="majorEastAsia"/>
          <w:color w:val="auto"/>
        </w:rPr>
      </w:pPr>
      <w:bookmarkStart w:id="459" w:name="_Toc511635840"/>
      <w:r>
        <w:rPr>
          <w:rFonts w:hint="eastAsia" w:asciiTheme="majorEastAsia" w:hAnsiTheme="majorEastAsia" w:eastAsiaTheme="majorEastAsia"/>
          <w:color w:val="auto"/>
        </w:rPr>
        <w:t>4.4 联合体</w:t>
      </w:r>
      <w:bookmarkEnd w:id="45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4.4.1 联合体各方应共同与发包人签订合同协议书。联合体各方应为履行合同承担连带责任。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4.4.2 联合体协议经发包人确认后作为合同附件。在履行合同过程中，未经发包人同意，不得修改联合体协议。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4.4.3 联合体牵头人负责与发包人和监理人联系，并接受指示，负责组织联合体各成员全面履行合同。</w:t>
      </w:r>
    </w:p>
    <w:p>
      <w:pPr>
        <w:pStyle w:val="5"/>
        <w:adjustRightInd w:val="0"/>
        <w:snapToGrid w:val="0"/>
        <w:spacing w:before="0" w:after="0" w:line="520" w:lineRule="exact"/>
        <w:rPr>
          <w:rFonts w:asciiTheme="majorEastAsia" w:hAnsiTheme="majorEastAsia" w:eastAsiaTheme="majorEastAsia"/>
          <w:color w:val="auto"/>
        </w:rPr>
      </w:pPr>
      <w:bookmarkStart w:id="460" w:name="_Toc511635841"/>
      <w:r>
        <w:rPr>
          <w:rFonts w:hint="eastAsia" w:asciiTheme="majorEastAsia" w:hAnsiTheme="majorEastAsia" w:eastAsiaTheme="majorEastAsia"/>
          <w:color w:val="auto"/>
        </w:rPr>
        <w:t>4.5 承包人项目经理</w:t>
      </w:r>
      <w:bookmarkEnd w:id="46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4.5.3 承包人为履行合同发出的一切函件均应盖有承包人授权的施工场地管理机构章，并由承包人项目经理或其授权代表签字。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4.5.4 承包人项目经理可以授权其下属人员履行其某项职责，但事先应将这些人员的姓名和授权范围通知监理人。</w:t>
      </w:r>
    </w:p>
    <w:p>
      <w:pPr>
        <w:pStyle w:val="5"/>
        <w:adjustRightInd w:val="0"/>
        <w:snapToGrid w:val="0"/>
        <w:spacing w:before="0" w:after="0" w:line="520" w:lineRule="exact"/>
        <w:rPr>
          <w:rFonts w:asciiTheme="majorEastAsia" w:hAnsiTheme="majorEastAsia" w:eastAsiaTheme="majorEastAsia"/>
          <w:color w:val="auto"/>
        </w:rPr>
      </w:pPr>
      <w:bookmarkStart w:id="461" w:name="_Toc511635842"/>
      <w:r>
        <w:rPr>
          <w:rFonts w:hint="eastAsia" w:asciiTheme="majorEastAsia" w:hAnsiTheme="majorEastAsia" w:eastAsiaTheme="majorEastAsia"/>
          <w:color w:val="auto"/>
        </w:rPr>
        <w:t>4.6 承包人人员的管理</w:t>
      </w:r>
      <w:bookmarkEnd w:id="46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4.6.2 为完成合同约定的各项工作，承包人应向施工场地派遣或雇佣足够数量的下列人员：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（1）具有相应资格的专业技工和合格的普工。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（2）具有相应施工经验的技术人员。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（3）具有相应岗位资格的各级管理人员。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4.6.3 承包人安排在施工场地的主要管理人员和技术骨干应相对稳定。承包人更换主要管理人员和技术骨干时，应取得监理人的同意。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4.6.4 特殊岗位的工作人员均应持有相应的资格证明，监理人有权随时检查。监理人认为有必要时，可进行现场考核。</w:t>
      </w:r>
    </w:p>
    <w:p>
      <w:pPr>
        <w:pStyle w:val="5"/>
        <w:adjustRightInd w:val="0"/>
        <w:snapToGrid w:val="0"/>
        <w:spacing w:before="0" w:after="0" w:line="520" w:lineRule="exact"/>
        <w:rPr>
          <w:rFonts w:asciiTheme="majorEastAsia" w:hAnsiTheme="majorEastAsia" w:eastAsiaTheme="majorEastAsia"/>
          <w:color w:val="auto"/>
        </w:rPr>
      </w:pPr>
      <w:bookmarkStart w:id="462" w:name="_Toc511635843"/>
      <w:r>
        <w:rPr>
          <w:rFonts w:hint="eastAsia" w:asciiTheme="majorEastAsia" w:hAnsiTheme="majorEastAsia" w:eastAsiaTheme="majorEastAsia"/>
          <w:color w:val="auto"/>
        </w:rPr>
        <w:t>4.7 撤换承包人项目经理和其他人员</w:t>
      </w:r>
      <w:bookmarkEnd w:id="46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承包人应对其项目经理和其他人员进行有效管理。监理人要求撤换不能胜任本职工作、行为不端或玩忽职守的承包人项目经理和其他人员的，承包人应予以撤换。</w:t>
      </w:r>
    </w:p>
    <w:p>
      <w:pPr>
        <w:pStyle w:val="5"/>
        <w:adjustRightInd w:val="0"/>
        <w:snapToGrid w:val="0"/>
        <w:spacing w:before="0" w:after="0" w:line="520" w:lineRule="exact"/>
        <w:rPr>
          <w:rFonts w:asciiTheme="majorEastAsia" w:hAnsiTheme="majorEastAsia" w:eastAsiaTheme="majorEastAsia"/>
          <w:color w:val="auto"/>
        </w:rPr>
      </w:pPr>
      <w:bookmarkStart w:id="463" w:name="_Toc511635844"/>
      <w:r>
        <w:rPr>
          <w:rFonts w:hint="eastAsia" w:asciiTheme="majorEastAsia" w:hAnsiTheme="majorEastAsia" w:eastAsiaTheme="majorEastAsia"/>
          <w:color w:val="auto"/>
        </w:rPr>
        <w:t>4.8 保障承包人人员的合法权益</w:t>
      </w:r>
      <w:bookmarkEnd w:id="4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4.8.1 承包人应与其雇佣的人员签订劳动合同，并按时发放工资。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4.8.2 承包人应按劳动法的规定安排工作时间，保证其雇佣人员享有休息和休假的权利。因工程施工的特殊需要占用休假日或延长工作时间的，应不超过法律规定的限度，并按法律规定给予补休或付酬。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4.8.3 承包人应为其雇佣人员提供必要的食宿条件，以及符合环境保护和卫生要求的生活环境，在远离城镇的施工场地，还应配备必要的伤病防治和急救的医务人员与医疗设施。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4.8.5 承包人应按有关法律规定和合同约定，为其雇佣人员办理保险。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4.8.6 承包人应负责处理其雇佣人员因工伤亡事故的善后事宜。</w:t>
      </w:r>
    </w:p>
    <w:p>
      <w:pPr>
        <w:pStyle w:val="5"/>
        <w:adjustRightInd w:val="0"/>
        <w:snapToGrid w:val="0"/>
        <w:spacing w:before="0" w:after="0" w:line="520" w:lineRule="exact"/>
        <w:rPr>
          <w:rFonts w:asciiTheme="majorEastAsia" w:hAnsiTheme="majorEastAsia" w:eastAsiaTheme="majorEastAsia"/>
          <w:color w:val="auto"/>
        </w:rPr>
      </w:pPr>
      <w:bookmarkStart w:id="464" w:name="_Toc511635845"/>
      <w:r>
        <w:rPr>
          <w:rFonts w:hint="eastAsia" w:asciiTheme="majorEastAsia" w:hAnsiTheme="majorEastAsia" w:eastAsiaTheme="majorEastAsia"/>
          <w:color w:val="auto"/>
        </w:rPr>
        <w:t>4.9 工程价款应专款专用</w:t>
      </w:r>
      <w:bookmarkEnd w:id="46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发包人按合同约定支付给承包人的各项价款应专用于合同工程。</w:t>
      </w:r>
    </w:p>
    <w:p>
      <w:pPr>
        <w:pStyle w:val="5"/>
        <w:adjustRightInd w:val="0"/>
        <w:snapToGrid w:val="0"/>
        <w:spacing w:before="0" w:after="0" w:line="520" w:lineRule="exact"/>
        <w:rPr>
          <w:rFonts w:asciiTheme="majorEastAsia" w:hAnsiTheme="majorEastAsia" w:eastAsiaTheme="majorEastAsia"/>
          <w:color w:val="auto"/>
        </w:rPr>
      </w:pPr>
      <w:bookmarkStart w:id="465" w:name="_Toc511635846"/>
      <w:r>
        <w:rPr>
          <w:rFonts w:hint="eastAsia" w:asciiTheme="majorEastAsia" w:hAnsiTheme="majorEastAsia" w:eastAsiaTheme="majorEastAsia"/>
          <w:color w:val="auto"/>
        </w:rPr>
        <w:t>4.10 承包人现场查勘</w:t>
      </w:r>
      <w:bookmarkEnd w:id="46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4.10.1 发包人应将其持有的现场地质勘探资料、水文气象资料提供给承包人，并对其准确性负责。但承包人应对其阅读上述有关资料后所作出的解释和推断负责。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
        <w:adjustRightInd w:val="0"/>
        <w:snapToGrid w:val="0"/>
        <w:spacing w:before="0" w:after="0" w:line="520" w:lineRule="exact"/>
        <w:rPr>
          <w:rFonts w:asciiTheme="majorEastAsia" w:hAnsiTheme="majorEastAsia" w:eastAsiaTheme="majorEastAsia"/>
          <w:color w:val="auto"/>
        </w:rPr>
      </w:pPr>
      <w:bookmarkStart w:id="466" w:name="_Toc511635847"/>
      <w:r>
        <w:rPr>
          <w:rFonts w:hint="eastAsia" w:asciiTheme="majorEastAsia" w:hAnsiTheme="majorEastAsia" w:eastAsiaTheme="majorEastAsia"/>
          <w:color w:val="auto"/>
        </w:rPr>
        <w:t>4.11 不利物质条件</w:t>
      </w:r>
      <w:bookmarkEnd w:id="4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4.11.1 除专用合同条款另有约定外，不利条件是指在施工中遭遇不可预见的外界障碍或自然条件造成施工受阻。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4.11.2 承包人遇到不利物质条件时，应采取适应不利物质条件的合理措施继续施工，并及时通知监理人。承包人应有权根据第23.1款的约定，要求延长工期及增加费用。监理人收到此类要求后，应在分析上述外界障碍或自然条件是否不可预见及不可预见程度的基础上，按照通用合同条款第15条的约定办理。</w:t>
      </w:r>
    </w:p>
    <w:p>
      <w:pPr>
        <w:pStyle w:val="4"/>
        <w:rPr>
          <w:color w:val="auto"/>
        </w:rPr>
      </w:pPr>
      <w:bookmarkStart w:id="467" w:name="_Toc516816143"/>
      <w:bookmarkStart w:id="468" w:name="_Toc516816332"/>
      <w:bookmarkStart w:id="469" w:name="_Toc511635848"/>
      <w:bookmarkStart w:id="470" w:name="_Toc515441140"/>
      <w:r>
        <w:rPr>
          <w:rFonts w:hint="eastAsia"/>
          <w:color w:val="auto"/>
        </w:rPr>
        <w:t>5 材料和工程设备</w:t>
      </w:r>
      <w:bookmarkEnd w:id="467"/>
      <w:bookmarkEnd w:id="468"/>
      <w:bookmarkEnd w:id="469"/>
      <w:bookmarkEnd w:id="470"/>
    </w:p>
    <w:p>
      <w:pPr>
        <w:pStyle w:val="5"/>
        <w:adjustRightInd w:val="0"/>
        <w:snapToGrid w:val="0"/>
        <w:spacing w:before="0" w:after="0" w:line="520" w:lineRule="exact"/>
        <w:rPr>
          <w:rFonts w:asciiTheme="majorEastAsia" w:hAnsiTheme="majorEastAsia" w:eastAsiaTheme="majorEastAsia"/>
          <w:color w:val="auto"/>
        </w:rPr>
      </w:pPr>
      <w:bookmarkStart w:id="471" w:name="_Toc511635849"/>
      <w:r>
        <w:rPr>
          <w:rFonts w:hint="eastAsia" w:asciiTheme="majorEastAsia" w:hAnsiTheme="majorEastAsia" w:eastAsiaTheme="majorEastAsia"/>
          <w:color w:val="auto"/>
        </w:rPr>
        <w:t>5.1 承包人提供的材料和工程设备</w:t>
      </w:r>
      <w:bookmarkEnd w:id="4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5.1.1 除第5.2款约定由发包人提供的材料和工程设备外，承包人负责采购、运输和保管完成本合同工作所需的材料和工程设备。承包人应对其采购的材料和工程设备负责。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
        <w:adjustRightInd w:val="0"/>
        <w:snapToGrid w:val="0"/>
        <w:spacing w:before="0" w:after="0" w:line="520" w:lineRule="exact"/>
        <w:rPr>
          <w:rFonts w:asciiTheme="majorEastAsia" w:hAnsiTheme="majorEastAsia" w:eastAsiaTheme="majorEastAsia"/>
          <w:color w:val="auto"/>
        </w:rPr>
      </w:pPr>
      <w:bookmarkStart w:id="472" w:name="_Toc511635850"/>
      <w:r>
        <w:rPr>
          <w:rFonts w:hint="eastAsia" w:asciiTheme="majorEastAsia" w:hAnsiTheme="majorEastAsia" w:eastAsiaTheme="majorEastAsia"/>
          <w:color w:val="auto"/>
        </w:rPr>
        <w:t>5.2 发包人提供的材料和工程设备</w:t>
      </w:r>
      <w:bookmarkEnd w:id="47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5.2.1 发包人提供的材料和工程设备，应在专用合同条款中写明材料和工程设备的名称、规格、数量、价格、交货方式、交货地点和计划交货日期等。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5.2.2 承包人应根据合同进度计划的安排，向监理人报送要求发包人交货的日期计划。发包人应按照监理人与合同双方当事人商定的交货日期，向承包人提交材料和工程设备。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5.2.3 发包人应在材料和工程设备到货7天前通知承包人，承包人应会同监理人在约定的时间内，赴交货地点共同进行验收。发包人提供的材料和工程设备运至交货地点验收后，由承包人负责接收、卸货、运输、仓储和保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5.2.4 发包人要求向承包人提前交货的，承包人不得拒绝，但发包人应承担承包人由此增加的费用。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5.2.5 承包人要求更改交货日期或地点的，应事先报请监理人批准。由于承包人要求更改交货时间或地点所增加的费用和（或）工期延误由承包人承担。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adjustRightInd w:val="0"/>
        <w:snapToGrid w:val="0"/>
        <w:spacing w:before="0" w:after="0" w:line="520" w:lineRule="exact"/>
        <w:rPr>
          <w:rFonts w:asciiTheme="majorEastAsia" w:hAnsiTheme="majorEastAsia" w:eastAsiaTheme="majorEastAsia"/>
          <w:color w:val="auto"/>
        </w:rPr>
      </w:pPr>
      <w:bookmarkStart w:id="473" w:name="_Toc511635851"/>
      <w:r>
        <w:rPr>
          <w:rFonts w:hint="eastAsia" w:asciiTheme="majorEastAsia" w:hAnsiTheme="majorEastAsia" w:eastAsiaTheme="majorEastAsia"/>
          <w:color w:val="auto"/>
        </w:rPr>
        <w:t>5.3 材料和工程设备专用于合同工程</w:t>
      </w:r>
      <w:bookmarkEnd w:id="47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5.3.1 运入施工场地的材料、工程设备，包括备品备件、安装专用工器具与随机资料，必须专用于合同工程，未经监理人同意，承包人不得运出施工场地或挪作他用。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adjustRightInd w:val="0"/>
        <w:snapToGrid w:val="0"/>
        <w:spacing w:before="0" w:after="0" w:line="520" w:lineRule="exact"/>
        <w:rPr>
          <w:rFonts w:asciiTheme="majorEastAsia" w:hAnsiTheme="majorEastAsia" w:eastAsiaTheme="majorEastAsia"/>
          <w:color w:val="auto"/>
        </w:rPr>
      </w:pPr>
      <w:bookmarkStart w:id="474" w:name="_Toc511635852"/>
      <w:r>
        <w:rPr>
          <w:rFonts w:hint="eastAsia" w:asciiTheme="majorEastAsia" w:hAnsiTheme="majorEastAsia" w:eastAsiaTheme="majorEastAsia"/>
          <w:color w:val="auto"/>
        </w:rPr>
        <w:t>5.4 禁止使用不合格的材料和工程设备</w:t>
      </w:r>
      <w:bookmarkEnd w:id="47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5.4.1 监理人有权拒绝承包人提供的不合格材料或工程设备，并要求承包人立即进行更换。监理人应在更换后再次进行检查和检验，由此增加的费用和（或）工期延误由承包人承担。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5.4.2 监理人发现承包人使用了不合格的材料和工程设备，应即时发出指示要求承包人立即改正，并禁止在工程中继续使用不合格的材料和工程设备。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5.4.3 发包人提供的材料或工程设备不符合合同要求的，承包人有权拒绝，并可要求发包人更换，由此增加的费用和（或）工期延误由发包人承担。</w:t>
      </w:r>
    </w:p>
    <w:p>
      <w:pPr>
        <w:pStyle w:val="4"/>
        <w:rPr>
          <w:color w:val="auto"/>
        </w:rPr>
      </w:pPr>
      <w:bookmarkStart w:id="475" w:name="_Toc516816333"/>
      <w:bookmarkStart w:id="476" w:name="_Toc516816144"/>
      <w:bookmarkStart w:id="477" w:name="_Toc511635853"/>
      <w:bookmarkStart w:id="478" w:name="_Toc515441141"/>
      <w:r>
        <w:rPr>
          <w:rFonts w:hint="eastAsia"/>
          <w:color w:val="auto"/>
        </w:rPr>
        <w:t>6 施工设备和临时设施</w:t>
      </w:r>
      <w:bookmarkEnd w:id="475"/>
      <w:bookmarkEnd w:id="476"/>
      <w:bookmarkEnd w:id="477"/>
      <w:bookmarkEnd w:id="478"/>
    </w:p>
    <w:p>
      <w:pPr>
        <w:pStyle w:val="5"/>
        <w:adjustRightInd w:val="0"/>
        <w:snapToGrid w:val="0"/>
        <w:spacing w:before="0" w:after="0" w:line="520" w:lineRule="exact"/>
        <w:rPr>
          <w:rFonts w:asciiTheme="majorEastAsia" w:hAnsiTheme="majorEastAsia" w:eastAsiaTheme="majorEastAsia"/>
          <w:color w:val="auto"/>
        </w:rPr>
      </w:pPr>
      <w:bookmarkStart w:id="479" w:name="_Toc511635854"/>
      <w:r>
        <w:rPr>
          <w:rFonts w:hint="eastAsia" w:asciiTheme="majorEastAsia" w:hAnsiTheme="majorEastAsia" w:eastAsiaTheme="majorEastAsia"/>
          <w:color w:val="auto"/>
        </w:rPr>
        <w:t>6.1 承包人提供的施工设备和临时设施</w:t>
      </w:r>
      <w:bookmarkEnd w:id="47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6.1.1 承包人应按合同进度计划的要求，及时配置施工设备和修建临时设施。进入施工场地的承包人设备需经监理人核查后才能投入使用。承包人更换合同约定的承包人设备的，应报监理人批准。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6.1.2 除专用合同条款另有约定外，承包人应自行承担修建临时设施的费用，需要临时占地的，应由发包人办理申请手续并承担相应费用。</w:t>
      </w:r>
    </w:p>
    <w:p>
      <w:pPr>
        <w:pStyle w:val="5"/>
        <w:adjustRightInd w:val="0"/>
        <w:snapToGrid w:val="0"/>
        <w:spacing w:before="0" w:after="0" w:line="520" w:lineRule="exact"/>
        <w:rPr>
          <w:rFonts w:asciiTheme="majorEastAsia" w:hAnsiTheme="majorEastAsia" w:eastAsiaTheme="majorEastAsia"/>
          <w:color w:val="auto"/>
        </w:rPr>
      </w:pPr>
      <w:bookmarkStart w:id="480" w:name="_Toc511635855"/>
      <w:r>
        <w:rPr>
          <w:rFonts w:hint="eastAsia" w:asciiTheme="majorEastAsia" w:hAnsiTheme="majorEastAsia" w:eastAsiaTheme="majorEastAsia"/>
          <w:color w:val="auto"/>
        </w:rPr>
        <w:t>6.2 发包人提供的施工设备和临时设施</w:t>
      </w:r>
      <w:bookmarkEnd w:id="48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发包人提供的施工设备或临时设施在专用合同条款中约定。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481" w:name="_Toc511635856"/>
      <w:r>
        <w:rPr>
          <w:rFonts w:hint="eastAsia" w:asciiTheme="majorEastAsia" w:hAnsiTheme="majorEastAsia" w:eastAsiaTheme="majorEastAsia"/>
          <w:color w:val="auto"/>
        </w:rPr>
        <w:t>6.3 要求承包人增加或更换施工设备</w:t>
      </w:r>
      <w:bookmarkEnd w:id="48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承包人使用的施工设备不能满足合同进度计划和（或）质量要求时，监理人有权要求承包人增加或更换施工设备，承包人应及时增加或更换，由此增加的费用和（或）工期延误由承包人承担。</w:t>
      </w:r>
    </w:p>
    <w:p>
      <w:pPr>
        <w:pStyle w:val="5"/>
        <w:adjustRightInd w:val="0"/>
        <w:snapToGrid w:val="0"/>
        <w:spacing w:before="0" w:after="0" w:line="520" w:lineRule="exact"/>
        <w:rPr>
          <w:rFonts w:asciiTheme="majorEastAsia" w:hAnsiTheme="majorEastAsia" w:eastAsiaTheme="majorEastAsia"/>
          <w:color w:val="auto"/>
        </w:rPr>
      </w:pPr>
      <w:bookmarkStart w:id="482" w:name="_Toc511635857"/>
      <w:r>
        <w:rPr>
          <w:rFonts w:hint="eastAsia" w:asciiTheme="majorEastAsia" w:hAnsiTheme="majorEastAsia" w:eastAsiaTheme="majorEastAsia"/>
          <w:color w:val="auto"/>
        </w:rPr>
        <w:t>6.4 施工设备和临时设施专用于合同工程</w:t>
      </w:r>
      <w:bookmarkEnd w:id="48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6.4.1 除合同另有约定外，运入施工场地的所有施工设备以及在施工场地建设的临时设施应专用于合同工程。未经监理人同意，不得将上述施工设备和临时设施中的任何部分运出施工场地或挪作他用。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6.4.2 经监理人同意，承包人可根据合同进度计划撤走闲置的施工设备。</w:t>
      </w:r>
    </w:p>
    <w:p>
      <w:pPr>
        <w:pStyle w:val="4"/>
        <w:rPr>
          <w:color w:val="auto"/>
        </w:rPr>
      </w:pPr>
      <w:bookmarkStart w:id="483" w:name="_Toc516816334"/>
      <w:bookmarkStart w:id="484" w:name="_Toc516816145"/>
      <w:bookmarkStart w:id="485" w:name="_Toc515441142"/>
      <w:bookmarkStart w:id="486" w:name="_Toc511635858"/>
      <w:r>
        <w:rPr>
          <w:rFonts w:hint="eastAsia"/>
          <w:color w:val="auto"/>
        </w:rPr>
        <w:t>7 交通运输</w:t>
      </w:r>
      <w:bookmarkEnd w:id="483"/>
      <w:bookmarkEnd w:id="484"/>
      <w:bookmarkEnd w:id="485"/>
      <w:bookmarkEnd w:id="486"/>
    </w:p>
    <w:p>
      <w:pPr>
        <w:pStyle w:val="5"/>
        <w:adjustRightInd w:val="0"/>
        <w:snapToGrid w:val="0"/>
        <w:spacing w:before="0" w:after="0" w:line="520" w:lineRule="exact"/>
        <w:rPr>
          <w:rFonts w:asciiTheme="majorEastAsia" w:hAnsiTheme="majorEastAsia" w:eastAsiaTheme="majorEastAsia"/>
          <w:color w:val="auto"/>
        </w:rPr>
      </w:pPr>
      <w:bookmarkStart w:id="487" w:name="_Toc511635859"/>
      <w:r>
        <w:rPr>
          <w:rFonts w:hint="eastAsia" w:asciiTheme="majorEastAsia" w:hAnsiTheme="majorEastAsia" w:eastAsiaTheme="majorEastAsia"/>
          <w:color w:val="auto"/>
        </w:rPr>
        <w:t>7.1 道路通行权和场外设施</w:t>
      </w:r>
      <w:bookmarkEnd w:id="4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Style w:val="5"/>
        <w:adjustRightInd w:val="0"/>
        <w:snapToGrid w:val="0"/>
        <w:spacing w:before="0" w:after="0" w:line="520" w:lineRule="exact"/>
        <w:rPr>
          <w:rFonts w:asciiTheme="majorEastAsia" w:hAnsiTheme="majorEastAsia" w:eastAsiaTheme="majorEastAsia"/>
          <w:color w:val="auto"/>
        </w:rPr>
      </w:pPr>
      <w:bookmarkStart w:id="488" w:name="_Toc511635860"/>
      <w:r>
        <w:rPr>
          <w:rFonts w:hint="eastAsia" w:asciiTheme="majorEastAsia" w:hAnsiTheme="majorEastAsia" w:eastAsiaTheme="majorEastAsia"/>
          <w:color w:val="auto"/>
        </w:rPr>
        <w:t>7.2 场内施工道路</w:t>
      </w:r>
      <w:bookmarkEnd w:id="48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7.2.1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7.2.2 承包人修建的临时道路和交通设施,应免费提供发包人、监理人，以及与本合同有关的其他承包人使用。</w:t>
      </w:r>
    </w:p>
    <w:p>
      <w:pPr>
        <w:pStyle w:val="5"/>
        <w:adjustRightInd w:val="0"/>
        <w:snapToGrid w:val="0"/>
        <w:spacing w:before="0" w:after="0" w:line="520" w:lineRule="exact"/>
        <w:rPr>
          <w:rFonts w:asciiTheme="majorEastAsia" w:hAnsiTheme="majorEastAsia" w:eastAsiaTheme="majorEastAsia"/>
          <w:color w:val="auto"/>
        </w:rPr>
      </w:pPr>
      <w:bookmarkStart w:id="489" w:name="_Toc511635861"/>
      <w:r>
        <w:rPr>
          <w:rFonts w:hint="eastAsia" w:asciiTheme="majorEastAsia" w:hAnsiTheme="majorEastAsia" w:eastAsiaTheme="majorEastAsia"/>
          <w:color w:val="auto"/>
        </w:rPr>
        <w:t>7.3 场外交通</w:t>
      </w:r>
      <w:bookmarkEnd w:id="48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7.3.1 承包人车辆外出行驶所需的场外公共道路的通行费、养路费和税款等由承包人承担。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7.3.2 承包人应遵守有关交通法规，严格按照道路和桥梁的限制荷重安全行驶，并服从交通管理部门的检查和监督。</w:t>
      </w:r>
    </w:p>
    <w:p>
      <w:pPr>
        <w:pStyle w:val="5"/>
        <w:adjustRightInd w:val="0"/>
        <w:snapToGrid w:val="0"/>
        <w:spacing w:before="0" w:after="0" w:line="520" w:lineRule="exact"/>
        <w:rPr>
          <w:rFonts w:asciiTheme="majorEastAsia" w:hAnsiTheme="majorEastAsia" w:eastAsiaTheme="majorEastAsia"/>
          <w:color w:val="auto"/>
        </w:rPr>
      </w:pPr>
      <w:bookmarkStart w:id="490" w:name="_Toc511635862"/>
      <w:r>
        <w:rPr>
          <w:rFonts w:hint="eastAsia" w:asciiTheme="majorEastAsia" w:hAnsiTheme="majorEastAsia" w:eastAsiaTheme="majorEastAsia"/>
          <w:color w:val="auto"/>
        </w:rPr>
        <w:t>7.4 超大件和超重件的运输</w:t>
      </w:r>
      <w:bookmarkEnd w:id="4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adjustRightInd w:val="0"/>
        <w:snapToGrid w:val="0"/>
        <w:spacing w:before="0" w:after="0" w:line="520" w:lineRule="exact"/>
        <w:rPr>
          <w:rFonts w:asciiTheme="majorEastAsia" w:hAnsiTheme="majorEastAsia" w:eastAsiaTheme="majorEastAsia"/>
          <w:color w:val="auto"/>
        </w:rPr>
      </w:pPr>
      <w:bookmarkStart w:id="491" w:name="_Toc511635863"/>
      <w:r>
        <w:rPr>
          <w:rFonts w:hint="eastAsia" w:asciiTheme="majorEastAsia" w:hAnsiTheme="majorEastAsia" w:eastAsiaTheme="majorEastAsia"/>
          <w:color w:val="auto"/>
        </w:rPr>
        <w:t>7.5 道路和桥梁的损坏责任</w:t>
      </w:r>
      <w:bookmarkEnd w:id="4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因承包人运输造成施工场地内外公共道路和桥梁损坏的，由承包人承担修复损坏的全部费用和可能引起的赔偿。</w:t>
      </w:r>
    </w:p>
    <w:p>
      <w:pPr>
        <w:pStyle w:val="5"/>
        <w:adjustRightInd w:val="0"/>
        <w:snapToGrid w:val="0"/>
        <w:spacing w:before="0" w:after="0" w:line="520" w:lineRule="exact"/>
        <w:rPr>
          <w:rFonts w:asciiTheme="majorEastAsia" w:hAnsiTheme="majorEastAsia" w:eastAsiaTheme="majorEastAsia"/>
          <w:color w:val="auto"/>
        </w:rPr>
      </w:pPr>
      <w:bookmarkStart w:id="492" w:name="_Toc511635864"/>
      <w:r>
        <w:rPr>
          <w:rFonts w:hint="eastAsia" w:asciiTheme="majorEastAsia" w:hAnsiTheme="majorEastAsia" w:eastAsiaTheme="majorEastAsia"/>
          <w:color w:val="auto"/>
        </w:rPr>
        <w:t>7.6 水路和航空运输</w:t>
      </w:r>
      <w:bookmarkEnd w:id="49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本条上述各款的内容适用于水路运输和航空运输，其中“道路”一词的涵义包括河道、航线、船闸、机场、码头、堤防以及水路或航空运输中其他相似结构物；“车辆”一词的涵义包括船舶和飞机等。</w:t>
      </w:r>
    </w:p>
    <w:p>
      <w:pPr>
        <w:pStyle w:val="4"/>
        <w:rPr>
          <w:color w:val="auto"/>
        </w:rPr>
      </w:pPr>
      <w:bookmarkStart w:id="493" w:name="_Toc516816335"/>
      <w:bookmarkStart w:id="494" w:name="_Toc516816146"/>
      <w:bookmarkStart w:id="495" w:name="_Toc515441143"/>
      <w:bookmarkStart w:id="496" w:name="_Toc511635865"/>
      <w:r>
        <w:rPr>
          <w:rFonts w:hint="eastAsia"/>
          <w:color w:val="auto"/>
        </w:rPr>
        <w:t>8 测量放线</w:t>
      </w:r>
      <w:bookmarkEnd w:id="493"/>
      <w:bookmarkEnd w:id="494"/>
      <w:bookmarkEnd w:id="495"/>
      <w:bookmarkEnd w:id="496"/>
    </w:p>
    <w:p>
      <w:pPr>
        <w:pStyle w:val="5"/>
        <w:adjustRightInd w:val="0"/>
        <w:snapToGrid w:val="0"/>
        <w:spacing w:before="0" w:after="0" w:line="520" w:lineRule="exact"/>
        <w:rPr>
          <w:rFonts w:asciiTheme="majorEastAsia" w:hAnsiTheme="majorEastAsia" w:eastAsiaTheme="majorEastAsia"/>
          <w:color w:val="auto"/>
        </w:rPr>
      </w:pPr>
      <w:bookmarkStart w:id="497" w:name="_Toc511635866"/>
      <w:r>
        <w:rPr>
          <w:rFonts w:hint="eastAsia" w:asciiTheme="majorEastAsia" w:hAnsiTheme="majorEastAsia" w:eastAsiaTheme="majorEastAsia"/>
          <w:color w:val="auto"/>
        </w:rPr>
        <w:t>8.1 施工控制网</w:t>
      </w:r>
      <w:bookmarkEnd w:id="49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8.1.1 除专用合同条款另有约定外，施工控制网由承包人负责测设，发包人应在本合同协议书签订后的14天内，向承包人提供测量基准点、基准线和水准点及其书面资料。承包人应在收到上述资料后的28天内，将施测的施工控制网资料提交监理人审批。监理人应在收到报批件后的14天内批复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8.1.2 承包人应负责管理施工控制网点。施工控制网点丢失或损坏的，承包人应及时修复。承包人应承担施工控制网点的管理与修复费用，并在工程竣工后将施工控制网点移交发包人。</w:t>
      </w:r>
    </w:p>
    <w:p>
      <w:pPr>
        <w:pStyle w:val="5"/>
        <w:adjustRightInd w:val="0"/>
        <w:snapToGrid w:val="0"/>
        <w:spacing w:before="0" w:after="0" w:line="520" w:lineRule="exact"/>
        <w:rPr>
          <w:rFonts w:asciiTheme="majorEastAsia" w:hAnsiTheme="majorEastAsia" w:eastAsiaTheme="majorEastAsia"/>
          <w:color w:val="auto"/>
        </w:rPr>
      </w:pPr>
      <w:bookmarkStart w:id="498" w:name="_Toc511635867"/>
      <w:r>
        <w:rPr>
          <w:rFonts w:hint="eastAsia" w:asciiTheme="majorEastAsia" w:hAnsiTheme="majorEastAsia" w:eastAsiaTheme="majorEastAsia"/>
          <w:color w:val="auto"/>
        </w:rPr>
        <w:t>8.2 施工测量</w:t>
      </w:r>
      <w:bookmarkEnd w:id="4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8.2.1 承包人应负责施工过程中的全部施工测量放线工作，并配置合格的人员、仪器、设备和其他物品。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8.2.2 监理人可以指示承包人进行抽样复测，当复测中发现错误或出现超过合同约定的误差时，承包人应按监理人指示进行修正或补测，并承担相应的复测费用。</w:t>
      </w:r>
    </w:p>
    <w:p>
      <w:pPr>
        <w:pStyle w:val="5"/>
        <w:adjustRightInd w:val="0"/>
        <w:snapToGrid w:val="0"/>
        <w:spacing w:before="0" w:after="0" w:line="520" w:lineRule="exact"/>
        <w:rPr>
          <w:rFonts w:asciiTheme="majorEastAsia" w:hAnsiTheme="majorEastAsia" w:eastAsiaTheme="majorEastAsia"/>
          <w:color w:val="auto"/>
        </w:rPr>
      </w:pPr>
      <w:bookmarkStart w:id="499" w:name="_Toc511635868"/>
      <w:r>
        <w:rPr>
          <w:rFonts w:hint="eastAsia" w:asciiTheme="majorEastAsia" w:hAnsiTheme="majorEastAsia" w:eastAsiaTheme="majorEastAsia"/>
          <w:color w:val="auto"/>
        </w:rPr>
        <w:t>8.3 基准资料错误的责任</w:t>
      </w:r>
      <w:bookmarkEnd w:id="4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
        <w:adjustRightInd w:val="0"/>
        <w:snapToGrid w:val="0"/>
        <w:spacing w:before="0" w:after="0" w:line="520" w:lineRule="exact"/>
        <w:rPr>
          <w:rFonts w:asciiTheme="majorEastAsia" w:hAnsiTheme="majorEastAsia" w:eastAsiaTheme="majorEastAsia"/>
          <w:color w:val="auto"/>
        </w:rPr>
      </w:pPr>
      <w:bookmarkStart w:id="500" w:name="_Toc511635869"/>
      <w:r>
        <w:rPr>
          <w:rFonts w:hint="eastAsia" w:asciiTheme="majorEastAsia" w:hAnsiTheme="majorEastAsia" w:eastAsiaTheme="majorEastAsia"/>
          <w:color w:val="auto"/>
        </w:rPr>
        <w:t>8.4 监理人使用施工控制网</w:t>
      </w:r>
      <w:bookmarkEnd w:id="50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监理人需要使用施工控制网的，承包人应提供必要的协助，发包人不再为此支付费用。</w:t>
      </w:r>
    </w:p>
    <w:p>
      <w:pPr>
        <w:pStyle w:val="5"/>
        <w:adjustRightInd w:val="0"/>
        <w:snapToGrid w:val="0"/>
        <w:spacing w:before="0" w:after="0" w:line="520" w:lineRule="exact"/>
        <w:rPr>
          <w:rFonts w:asciiTheme="majorEastAsia" w:hAnsiTheme="majorEastAsia" w:eastAsiaTheme="majorEastAsia"/>
          <w:color w:val="auto"/>
        </w:rPr>
      </w:pPr>
      <w:bookmarkStart w:id="501" w:name="_Toc511635870"/>
      <w:r>
        <w:rPr>
          <w:rFonts w:hint="eastAsia" w:asciiTheme="majorEastAsia" w:hAnsiTheme="majorEastAsia" w:eastAsiaTheme="majorEastAsia"/>
          <w:color w:val="auto"/>
        </w:rPr>
        <w:t>8.5 补充地质勘探</w:t>
      </w:r>
      <w:bookmarkEnd w:id="50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pPr>
        <w:pStyle w:val="4"/>
        <w:rPr>
          <w:color w:val="auto"/>
        </w:rPr>
      </w:pPr>
      <w:bookmarkStart w:id="502" w:name="_Toc511635871"/>
      <w:bookmarkStart w:id="503" w:name="_Toc515441144"/>
      <w:bookmarkStart w:id="504" w:name="_Toc516816147"/>
      <w:bookmarkStart w:id="505" w:name="_Toc516816336"/>
      <w:r>
        <w:rPr>
          <w:rFonts w:hint="eastAsia"/>
          <w:color w:val="auto"/>
        </w:rPr>
        <w:t>9 施工安全、治安保卫和环境保护</w:t>
      </w:r>
      <w:bookmarkEnd w:id="502"/>
      <w:bookmarkEnd w:id="503"/>
      <w:bookmarkEnd w:id="504"/>
      <w:bookmarkEnd w:id="505"/>
    </w:p>
    <w:p>
      <w:pPr>
        <w:pStyle w:val="5"/>
        <w:adjustRightInd w:val="0"/>
        <w:snapToGrid w:val="0"/>
        <w:spacing w:before="0" w:after="0" w:line="520" w:lineRule="exact"/>
        <w:rPr>
          <w:rFonts w:asciiTheme="majorEastAsia" w:hAnsiTheme="majorEastAsia" w:eastAsiaTheme="majorEastAsia"/>
          <w:color w:val="auto"/>
        </w:rPr>
      </w:pPr>
      <w:bookmarkStart w:id="506" w:name="_Toc511635872"/>
      <w:r>
        <w:rPr>
          <w:rFonts w:hint="eastAsia" w:asciiTheme="majorEastAsia" w:hAnsiTheme="majorEastAsia" w:eastAsiaTheme="majorEastAsia"/>
          <w:color w:val="auto"/>
        </w:rPr>
        <w:t>9.1 发包人的施工安全责任</w:t>
      </w:r>
      <w:bookmarkEnd w:id="50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9.1.1 发包人应按合同约定履行管理责任。发包人应委托监理人根据国家有关安全的法律、法规、强制性标准以及部门规章，对承包人的安全责任履行情况进行监督和检查。监理人的监督检查不减轻承包人应负的安全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9.1.2 发包人应对其现场机构雇佣的全部人员的工伤事故承担责任，但由于承包人原因造成发包人人员工伤的，应由承包人承担责任。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9.1.3 发包人应负责赔偿以下各种情况造成的第三者人身伤亡和财产损失：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（1）工程或工程的任何部分对土地的占用所造成的第三者财产损失。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（2）由于发包人原因在施工场地及其毗邻地带造成的第三者人身伤亡和财产损失。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9.1.4 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9.1.5 发包人按照已标价工程量清单所列金额和合同约定的计量支付规定，支付安全作业环境及安全施工所需费用。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9.1.6 发包人负责组织工程参建单位编制保证安全生产的措施方案。工程开工前，就落实保证安全生产的措施进行全面系统的布置，进一步明确承包人的安全生产责任。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9.1.7 发包人负责在拆除工程和爆破工程施工14天前向有关部门或机构报送相关备案资料。</w:t>
      </w:r>
    </w:p>
    <w:p>
      <w:pPr>
        <w:pStyle w:val="5"/>
        <w:adjustRightInd w:val="0"/>
        <w:snapToGrid w:val="0"/>
        <w:spacing w:before="0" w:after="0" w:line="520" w:lineRule="exact"/>
        <w:rPr>
          <w:rFonts w:asciiTheme="majorEastAsia" w:hAnsiTheme="majorEastAsia" w:eastAsiaTheme="majorEastAsia"/>
          <w:color w:val="auto"/>
        </w:rPr>
      </w:pPr>
      <w:bookmarkStart w:id="507" w:name="_Toc511635873"/>
      <w:r>
        <w:rPr>
          <w:rFonts w:hint="eastAsia" w:asciiTheme="majorEastAsia" w:hAnsiTheme="majorEastAsia" w:eastAsiaTheme="majorEastAsia"/>
          <w:color w:val="auto"/>
        </w:rPr>
        <w:t>9.2 承包人的施工安全责任</w:t>
      </w:r>
      <w:bookmarkEnd w:id="50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9.2.2 承包人应加强施工作业安全管理，特别应加强易燃、易爆材料、火工器材、有毒与腐蚀性材料和其他危险品的管理，以及对爆破作业和地下工程施工等危险作业的管理。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9.2.3 承包人应严格按照国家安全标准制定施工安全操作规程，配备必要的安全生产和劳动保护设施，加强对承包人人员的安全教育，并发放安全工作手册和劳动保护用具。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9.2.4 承包人应按监理人的指示制定应对灾害的紧急预案，报送监理人审批。承包人还应按预案做好安全检查，配置必要的救助物资和器材，切实保护好有关人员的人身和财产安全。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9.2.5 合同约定的安全作业环境及安全施工措施所需费用应遵守有关规定，并包括在相关工作的合同价格中。因采取合同未约定的安全作业环境及安全施工措施增加的费用，由监理人按第3.5款商定或确定。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9.2.6 承包人应对其履行合同所雇佣的全部人员，包括分包人人员的工伤事故承担责任，但由于发包人原因造成承包人人员工伤事故的，应由发包人承担责任。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9.2.7 由于承包人原因在施工场地内及其毗邻地带造成的第三者人员伤亡和财产损失，由承包人负责赔偿。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9.2.8 承包人已标价工程量清单应包含安全作业环境及安全施工措施所需费用。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9.2.9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9.2.10 承包人应设立安全生产管理机构，施工现场应有专职安全生产管理人员。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9.2.11 承包人应负责对特种作业人员进行专门的安全作业培训，并保证特种作业人员持证上岗。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9.2.12 承包人应在施工组织设计中编制安全技术措施和施工现场临时用电方案。对专用合同条款约定的规程，应编制专项施工方案报监理人批准，对专用合同条款约定的专项施工方案，还应组织专家进行论证、审查，其中专家1/2人员应经发包人同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9.2.13 承包人在使用施工起重机械和整体提升脚手架、模板等自升式架设设施前，应组织有关单位进行验收。</w:t>
      </w:r>
    </w:p>
    <w:p>
      <w:pPr>
        <w:pStyle w:val="5"/>
        <w:adjustRightInd w:val="0"/>
        <w:snapToGrid w:val="0"/>
        <w:spacing w:before="0" w:after="0" w:line="520" w:lineRule="exact"/>
        <w:rPr>
          <w:rFonts w:asciiTheme="majorEastAsia" w:hAnsiTheme="majorEastAsia" w:eastAsiaTheme="majorEastAsia"/>
          <w:color w:val="auto"/>
        </w:rPr>
      </w:pPr>
      <w:bookmarkStart w:id="508" w:name="_Toc511635874"/>
      <w:r>
        <w:rPr>
          <w:rFonts w:hint="eastAsia" w:asciiTheme="majorEastAsia" w:hAnsiTheme="majorEastAsia" w:eastAsiaTheme="majorEastAsia"/>
          <w:color w:val="auto"/>
        </w:rPr>
        <w:t>9.3 治安保卫</w:t>
      </w:r>
      <w:bookmarkEnd w:id="50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9.3.1 除合同另有约定外，发包人应与当地公安部门协商，在现场建立治安管理机构或联防组织，统一管理施工场地的治安保卫事项，履行合同工程的治安保卫职责。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9.3.2 发包人和承包人除应协助现场治安管理机构或联防组织维护施工场地的社会治安外，还应做好包括生活区在内的各自管辖区的治安保卫工作。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adjustRightInd w:val="0"/>
        <w:snapToGrid w:val="0"/>
        <w:spacing w:before="0" w:after="0" w:line="520" w:lineRule="exact"/>
        <w:rPr>
          <w:rFonts w:asciiTheme="majorEastAsia" w:hAnsiTheme="majorEastAsia" w:eastAsiaTheme="majorEastAsia"/>
          <w:color w:val="auto"/>
        </w:rPr>
      </w:pPr>
      <w:bookmarkStart w:id="509" w:name="_Toc511635875"/>
      <w:r>
        <w:rPr>
          <w:rFonts w:hint="eastAsia" w:asciiTheme="majorEastAsia" w:hAnsiTheme="majorEastAsia" w:eastAsiaTheme="majorEastAsia"/>
          <w:color w:val="auto"/>
        </w:rPr>
        <w:t>9.4 环境保护</w:t>
      </w:r>
      <w:bookmarkEnd w:id="50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9.4.1 承包人在施工过程中，应遵守有关环境保护的法律，履行合同约定的环境保护义务，并对违反法律和合同约定义务所造成的环境破坏、人身伤害和财产损失负责。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9.4.2 承包人应按合同约定的环保工作内容，编制施工环保措施计划，报送监理人审批。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9.4.4 承包人应按合同约定采取有效措施，对施工开挖的边坡及时进行支护,维护排水设施，并进行水土保护，避免因施工造成的地质灾害。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9.4.5 承包人应按国家饮用水管理标准定期对饮用水源进行监测，防止施工活动污染饮用水源。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9.4.6 承包人应按合同约定，加强对噪声、粉尘、废气、废水和废油的控制，努力降低噪声，控制粉尘和废气浓度，做好废水和废油的治理和排放。</w:t>
      </w:r>
    </w:p>
    <w:p>
      <w:pPr>
        <w:pStyle w:val="5"/>
        <w:adjustRightInd w:val="0"/>
        <w:snapToGrid w:val="0"/>
        <w:spacing w:before="0" w:after="0" w:line="520" w:lineRule="exact"/>
        <w:rPr>
          <w:rFonts w:asciiTheme="majorEastAsia" w:hAnsiTheme="majorEastAsia" w:eastAsiaTheme="majorEastAsia"/>
          <w:color w:val="auto"/>
        </w:rPr>
      </w:pPr>
      <w:bookmarkStart w:id="510" w:name="_Toc511635876"/>
      <w:r>
        <w:rPr>
          <w:rFonts w:hint="eastAsia" w:asciiTheme="majorEastAsia" w:hAnsiTheme="majorEastAsia" w:eastAsiaTheme="majorEastAsia"/>
          <w:color w:val="auto"/>
        </w:rPr>
        <w:t>9.5 事故处理</w:t>
      </w:r>
      <w:bookmarkEnd w:id="51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9.5.1 发包人负责组织参建单位制定本工程的质量与安全事故应急预案，建立质量与安全事故应急处置指挥部。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9.5.2 承包人应对施工现场易发生重大事故的部位、环节进行监控，配备救援器材、设备，并定期组织演练。</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9.5.3 工程开工前，承包人应根据本工程的特点制定施工现场施工质量与安全事故应急预案，并报发包人备案。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9.5.4 施工过程中发生事故时，发包人、承包人应立即启动应急预案。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9.5.5 事故调查处理由发包人按相关规定履行手续，承包人应配合。</w:t>
      </w:r>
    </w:p>
    <w:p>
      <w:pPr>
        <w:pStyle w:val="5"/>
        <w:adjustRightInd w:val="0"/>
        <w:snapToGrid w:val="0"/>
        <w:spacing w:before="0" w:after="0" w:line="520" w:lineRule="exact"/>
        <w:rPr>
          <w:rFonts w:asciiTheme="majorEastAsia" w:hAnsiTheme="majorEastAsia" w:eastAsiaTheme="majorEastAsia"/>
          <w:color w:val="auto"/>
        </w:rPr>
      </w:pPr>
      <w:bookmarkStart w:id="511" w:name="_Toc511635877"/>
      <w:r>
        <w:rPr>
          <w:rFonts w:hint="eastAsia" w:asciiTheme="majorEastAsia" w:hAnsiTheme="majorEastAsia" w:eastAsiaTheme="majorEastAsia"/>
          <w:color w:val="auto"/>
        </w:rPr>
        <w:t>9.6 水土保持</w:t>
      </w:r>
      <w:bookmarkEnd w:id="51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9.6.1 发包人应及时向承包人提供水土保持方案。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9.6.2 承包人在施工过程中，应遵守有关水土保持的法律法规和规章，履行合同约定的水土保持义务，并对其违反法律和合同约定义务所造成的水土流失灾害、人身伤害和财产损失负责。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9.6.3 承包人的水土保持措施计划，除应满足技术标准和要求，还应满足合同技术条款约定的要求。</w:t>
      </w:r>
    </w:p>
    <w:p>
      <w:pPr>
        <w:pStyle w:val="5"/>
        <w:adjustRightInd w:val="0"/>
        <w:snapToGrid w:val="0"/>
        <w:spacing w:before="0" w:after="0" w:line="520" w:lineRule="exact"/>
        <w:rPr>
          <w:rFonts w:asciiTheme="majorEastAsia" w:hAnsiTheme="majorEastAsia" w:eastAsiaTheme="majorEastAsia"/>
          <w:color w:val="auto"/>
        </w:rPr>
      </w:pPr>
      <w:bookmarkStart w:id="512" w:name="_Toc511635878"/>
      <w:r>
        <w:rPr>
          <w:rFonts w:hint="eastAsia" w:asciiTheme="majorEastAsia" w:hAnsiTheme="majorEastAsia" w:eastAsiaTheme="majorEastAsia"/>
          <w:color w:val="auto"/>
        </w:rPr>
        <w:t>9.7 文明工地</w:t>
      </w:r>
      <w:bookmarkEnd w:id="51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9.7.1 发包人应按专用合同条款的约定，负责建立创建文明建设工地的组织机构，制定创建文明建设工地的规划和办法。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9.7.2 承包人应按创建文明建设工地的规划和办法，履行职责，承担相应责任。所需费用应含在已标价工程量清单中。</w:t>
      </w:r>
    </w:p>
    <w:p>
      <w:pPr>
        <w:pStyle w:val="5"/>
        <w:adjustRightInd w:val="0"/>
        <w:snapToGrid w:val="0"/>
        <w:spacing w:before="0" w:after="0" w:line="520" w:lineRule="exact"/>
        <w:rPr>
          <w:rFonts w:asciiTheme="majorEastAsia" w:hAnsiTheme="majorEastAsia" w:eastAsiaTheme="majorEastAsia"/>
          <w:color w:val="auto"/>
        </w:rPr>
      </w:pPr>
      <w:bookmarkStart w:id="513" w:name="_Toc511635879"/>
      <w:r>
        <w:rPr>
          <w:rFonts w:hint="eastAsia" w:asciiTheme="majorEastAsia" w:hAnsiTheme="majorEastAsia" w:eastAsiaTheme="majorEastAsia"/>
          <w:color w:val="auto"/>
        </w:rPr>
        <w:t>9.8 防汛度汛</w:t>
      </w:r>
      <w:bookmarkEnd w:id="51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9.8.1 发包人负责组织工程参建单位编制本工程的度汛方案和措施。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9.8.2 承包人应根据发包人编制的本工程度汛方案和措施，制定相应的度汛方案，报发包人批准后实施。</w:t>
      </w:r>
    </w:p>
    <w:p>
      <w:pPr>
        <w:pStyle w:val="4"/>
        <w:rPr>
          <w:color w:val="auto"/>
        </w:rPr>
      </w:pPr>
      <w:bookmarkStart w:id="514" w:name="_Toc515441145"/>
      <w:bookmarkStart w:id="515" w:name="_Toc511635880"/>
      <w:bookmarkStart w:id="516" w:name="_Toc516816148"/>
      <w:bookmarkStart w:id="517" w:name="_Toc516816337"/>
      <w:r>
        <w:rPr>
          <w:rFonts w:hint="eastAsia"/>
          <w:color w:val="auto"/>
        </w:rPr>
        <w:t>10 进度计划</w:t>
      </w:r>
      <w:bookmarkEnd w:id="514"/>
      <w:bookmarkEnd w:id="515"/>
      <w:bookmarkEnd w:id="516"/>
      <w:bookmarkEnd w:id="517"/>
    </w:p>
    <w:p>
      <w:pPr>
        <w:pStyle w:val="5"/>
        <w:adjustRightInd w:val="0"/>
        <w:snapToGrid w:val="0"/>
        <w:spacing w:before="0" w:after="0" w:line="520" w:lineRule="exact"/>
        <w:rPr>
          <w:rFonts w:asciiTheme="majorEastAsia" w:hAnsiTheme="majorEastAsia" w:eastAsiaTheme="majorEastAsia"/>
          <w:color w:val="auto"/>
        </w:rPr>
      </w:pPr>
      <w:bookmarkStart w:id="518" w:name="_Toc511635881"/>
      <w:r>
        <w:rPr>
          <w:rFonts w:hint="eastAsia" w:asciiTheme="majorEastAsia" w:hAnsiTheme="majorEastAsia" w:eastAsiaTheme="majorEastAsia"/>
          <w:color w:val="auto"/>
        </w:rPr>
        <w:t>10.1 合同进度计划</w:t>
      </w:r>
      <w:bookmarkEnd w:id="51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pPr>
        <w:pStyle w:val="5"/>
        <w:adjustRightInd w:val="0"/>
        <w:snapToGrid w:val="0"/>
        <w:spacing w:before="0" w:after="0" w:line="520" w:lineRule="exact"/>
        <w:rPr>
          <w:color w:val="auto"/>
        </w:rPr>
      </w:pPr>
      <w:bookmarkStart w:id="519" w:name="_Toc511635882"/>
      <w:r>
        <w:rPr>
          <w:rFonts w:hint="eastAsia" w:asciiTheme="majorEastAsia" w:hAnsiTheme="majorEastAsia" w:eastAsiaTheme="majorEastAsia"/>
          <w:color w:val="auto"/>
        </w:rPr>
        <w:t>10.2 合同进度计划的修订</w:t>
      </w:r>
      <w:bookmarkEnd w:id="51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不论何种原因造成工程的实际进度与第10.1款的合同进度计划不符时，承包人均应在14天内向监理人提交修订合同进度计划的申请报告，并附有关措施和相关资料，报监理人审批，监理人应在收到该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p>
    <w:p>
      <w:pPr>
        <w:pStyle w:val="5"/>
        <w:adjustRightInd w:val="0"/>
        <w:snapToGrid w:val="0"/>
        <w:spacing w:before="0" w:after="0" w:line="520" w:lineRule="exact"/>
        <w:rPr>
          <w:rFonts w:asciiTheme="majorEastAsia" w:hAnsiTheme="majorEastAsia" w:eastAsiaTheme="majorEastAsia"/>
          <w:color w:val="auto"/>
        </w:rPr>
      </w:pPr>
      <w:bookmarkStart w:id="520" w:name="_Toc511635883"/>
      <w:r>
        <w:rPr>
          <w:rFonts w:hint="eastAsia" w:asciiTheme="majorEastAsia" w:hAnsiTheme="majorEastAsia" w:eastAsiaTheme="majorEastAsia"/>
          <w:color w:val="auto"/>
        </w:rPr>
        <w:t>10.3 单位工程进度计划</w:t>
      </w:r>
      <w:bookmarkEnd w:id="52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监理人认为有必要时，承包人应按监理人指示的内容和期限，并根据合同进度计划的进度控制要求，编制单位工程进度计划，提交监理人审批。</w:t>
      </w:r>
    </w:p>
    <w:p>
      <w:pPr>
        <w:pStyle w:val="5"/>
        <w:adjustRightInd w:val="0"/>
        <w:snapToGrid w:val="0"/>
        <w:spacing w:before="0" w:after="0" w:line="520" w:lineRule="exact"/>
        <w:rPr>
          <w:rFonts w:asciiTheme="majorEastAsia" w:hAnsiTheme="majorEastAsia" w:eastAsiaTheme="majorEastAsia"/>
          <w:color w:val="auto"/>
        </w:rPr>
      </w:pPr>
      <w:bookmarkStart w:id="521" w:name="_Toc511635884"/>
      <w:r>
        <w:rPr>
          <w:rFonts w:hint="eastAsia" w:asciiTheme="majorEastAsia" w:hAnsiTheme="majorEastAsia" w:eastAsiaTheme="majorEastAsia"/>
          <w:color w:val="auto"/>
        </w:rPr>
        <w:t>10.4 提交资金流估算表</w:t>
      </w:r>
      <w:bookmarkEnd w:id="5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widowControl/>
        <w:shd w:val="clear" w:color="auto" w:fill="FFFFFF"/>
        <w:snapToGrid w:val="0"/>
        <w:ind w:firstLine="420" w:firstLineChars="200"/>
        <w:jc w:val="center"/>
        <w:rPr>
          <w:rFonts w:asciiTheme="minorEastAsia" w:hAnsiTheme="minorEastAsia"/>
          <w:color w:val="auto"/>
          <w:szCs w:val="21"/>
        </w:rPr>
      </w:pPr>
      <w:r>
        <w:rPr>
          <w:rFonts w:hint="eastAsia" w:asciiTheme="minorEastAsia" w:hAnsiTheme="minorEastAsia"/>
          <w:color w:val="auto"/>
          <w:szCs w:val="21"/>
        </w:rPr>
        <w:t xml:space="preserve">                     </w:t>
      </w:r>
      <w:r>
        <w:rPr>
          <w:rFonts w:hint="eastAsia" w:asciiTheme="minorEastAsia" w:hAnsiTheme="minorEastAsia"/>
          <w:b/>
          <w:color w:val="auto"/>
          <w:szCs w:val="21"/>
        </w:rPr>
        <w:t>资金流估算表</w:t>
      </w:r>
      <w:r>
        <w:rPr>
          <w:rFonts w:hint="eastAsia" w:asciiTheme="minorEastAsia" w:hAnsiTheme="minorEastAsia"/>
          <w:color w:val="auto"/>
          <w:szCs w:val="21"/>
        </w:rPr>
        <w:t>（参考格式）            金额单位：</w:t>
      </w:r>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426"/>
        <w:gridCol w:w="991"/>
        <w:gridCol w:w="1134"/>
        <w:gridCol w:w="1134"/>
        <w:gridCol w:w="992"/>
        <w:gridCol w:w="993"/>
        <w:gridCol w:w="850"/>
        <w:gridCol w:w="851"/>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vAlign w:val="center"/>
          </w:tcPr>
          <w:p>
            <w:pPr>
              <w:widowControl/>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年</w:t>
            </w:r>
          </w:p>
        </w:tc>
        <w:tc>
          <w:tcPr>
            <w:tcW w:w="426"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月</w:t>
            </w:r>
          </w:p>
        </w:tc>
        <w:tc>
          <w:tcPr>
            <w:tcW w:w="991"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工程预付款</w:t>
            </w:r>
          </w:p>
        </w:tc>
        <w:tc>
          <w:tcPr>
            <w:tcW w:w="1134"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完成工作量付款</w:t>
            </w:r>
          </w:p>
        </w:tc>
        <w:tc>
          <w:tcPr>
            <w:tcW w:w="1134"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质量保证金扣留</w:t>
            </w:r>
          </w:p>
        </w:tc>
        <w:tc>
          <w:tcPr>
            <w:tcW w:w="992"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材料款</w:t>
            </w:r>
          </w:p>
          <w:p>
            <w:pPr>
              <w:widowControl/>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扣除</w:t>
            </w:r>
          </w:p>
        </w:tc>
        <w:tc>
          <w:tcPr>
            <w:tcW w:w="993"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预付款扣还</w:t>
            </w:r>
          </w:p>
        </w:tc>
        <w:tc>
          <w:tcPr>
            <w:tcW w:w="850" w:type="dxa"/>
            <w:vAlign w:val="center"/>
          </w:tcPr>
          <w:p>
            <w:pPr>
              <w:widowControl/>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其他</w:t>
            </w:r>
          </w:p>
        </w:tc>
        <w:tc>
          <w:tcPr>
            <w:tcW w:w="851"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应收款</w:t>
            </w:r>
          </w:p>
        </w:tc>
        <w:tc>
          <w:tcPr>
            <w:tcW w:w="992" w:type="dxa"/>
            <w:vAlign w:val="center"/>
          </w:tcPr>
          <w:p>
            <w:pPr>
              <w:widowControl/>
              <w:shd w:val="clear" w:color="auto" w:fill="FFFFFF"/>
              <w:snapToGrid w:val="0"/>
              <w:spacing w:line="240" w:lineRule="auto"/>
              <w:jc w:val="center"/>
              <w:rPr>
                <w:rFonts w:asciiTheme="minorEastAsia" w:hAnsiTheme="minorEastAsia"/>
                <w:color w:val="auto"/>
                <w:szCs w:val="21"/>
              </w:rPr>
            </w:pPr>
            <w:r>
              <w:rPr>
                <w:rFonts w:hint="eastAsia" w:asciiTheme="minorEastAsia" w:hAnsiTheme="minorEastAsia"/>
                <w:color w:val="auto"/>
                <w:szCs w:val="21"/>
              </w:rPr>
              <w:t>累计应收款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widowControl/>
              <w:snapToGrid w:val="0"/>
              <w:spacing w:line="240" w:lineRule="auto"/>
              <w:jc w:val="center"/>
              <w:rPr>
                <w:rFonts w:asciiTheme="minorEastAsia" w:hAnsiTheme="minorEastAsia"/>
                <w:color w:val="auto"/>
                <w:szCs w:val="21"/>
              </w:rPr>
            </w:pPr>
          </w:p>
        </w:tc>
        <w:tc>
          <w:tcPr>
            <w:tcW w:w="426" w:type="dxa"/>
          </w:tcPr>
          <w:p>
            <w:pPr>
              <w:widowControl/>
              <w:snapToGrid w:val="0"/>
              <w:spacing w:line="240" w:lineRule="auto"/>
              <w:jc w:val="center"/>
              <w:rPr>
                <w:rFonts w:asciiTheme="minorEastAsia" w:hAnsiTheme="minorEastAsia"/>
                <w:color w:val="auto"/>
                <w:szCs w:val="21"/>
              </w:rPr>
            </w:pPr>
          </w:p>
        </w:tc>
        <w:tc>
          <w:tcPr>
            <w:tcW w:w="991"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c>
          <w:tcPr>
            <w:tcW w:w="993" w:type="dxa"/>
          </w:tcPr>
          <w:p>
            <w:pPr>
              <w:widowControl/>
              <w:snapToGrid w:val="0"/>
              <w:spacing w:line="240" w:lineRule="auto"/>
              <w:jc w:val="center"/>
              <w:rPr>
                <w:rFonts w:asciiTheme="minorEastAsia" w:hAnsiTheme="minorEastAsia"/>
                <w:color w:val="auto"/>
                <w:szCs w:val="21"/>
              </w:rPr>
            </w:pPr>
          </w:p>
        </w:tc>
        <w:tc>
          <w:tcPr>
            <w:tcW w:w="850" w:type="dxa"/>
          </w:tcPr>
          <w:p>
            <w:pPr>
              <w:widowControl/>
              <w:snapToGrid w:val="0"/>
              <w:spacing w:line="240" w:lineRule="auto"/>
              <w:jc w:val="center"/>
              <w:rPr>
                <w:rFonts w:asciiTheme="minorEastAsia" w:hAnsiTheme="minorEastAsia"/>
                <w:color w:val="auto"/>
                <w:szCs w:val="21"/>
              </w:rPr>
            </w:pPr>
          </w:p>
        </w:tc>
        <w:tc>
          <w:tcPr>
            <w:tcW w:w="851"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widowControl/>
              <w:snapToGrid w:val="0"/>
              <w:spacing w:line="240" w:lineRule="auto"/>
              <w:jc w:val="center"/>
              <w:rPr>
                <w:rFonts w:asciiTheme="minorEastAsia" w:hAnsiTheme="minorEastAsia"/>
                <w:color w:val="auto"/>
                <w:szCs w:val="21"/>
              </w:rPr>
            </w:pPr>
          </w:p>
        </w:tc>
        <w:tc>
          <w:tcPr>
            <w:tcW w:w="426" w:type="dxa"/>
          </w:tcPr>
          <w:p>
            <w:pPr>
              <w:widowControl/>
              <w:snapToGrid w:val="0"/>
              <w:spacing w:line="240" w:lineRule="auto"/>
              <w:jc w:val="center"/>
              <w:rPr>
                <w:rFonts w:asciiTheme="minorEastAsia" w:hAnsiTheme="minorEastAsia"/>
                <w:color w:val="auto"/>
                <w:szCs w:val="21"/>
              </w:rPr>
            </w:pPr>
          </w:p>
        </w:tc>
        <w:tc>
          <w:tcPr>
            <w:tcW w:w="991"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c>
          <w:tcPr>
            <w:tcW w:w="993" w:type="dxa"/>
          </w:tcPr>
          <w:p>
            <w:pPr>
              <w:widowControl/>
              <w:snapToGrid w:val="0"/>
              <w:spacing w:line="240" w:lineRule="auto"/>
              <w:jc w:val="center"/>
              <w:rPr>
                <w:rFonts w:asciiTheme="minorEastAsia" w:hAnsiTheme="minorEastAsia"/>
                <w:color w:val="auto"/>
                <w:szCs w:val="21"/>
              </w:rPr>
            </w:pPr>
          </w:p>
        </w:tc>
        <w:tc>
          <w:tcPr>
            <w:tcW w:w="850" w:type="dxa"/>
          </w:tcPr>
          <w:p>
            <w:pPr>
              <w:widowControl/>
              <w:snapToGrid w:val="0"/>
              <w:spacing w:line="240" w:lineRule="auto"/>
              <w:jc w:val="center"/>
              <w:rPr>
                <w:rFonts w:asciiTheme="minorEastAsia" w:hAnsiTheme="minorEastAsia"/>
                <w:color w:val="auto"/>
                <w:szCs w:val="21"/>
              </w:rPr>
            </w:pPr>
          </w:p>
        </w:tc>
        <w:tc>
          <w:tcPr>
            <w:tcW w:w="851"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widowControl/>
              <w:snapToGrid w:val="0"/>
              <w:spacing w:line="240" w:lineRule="auto"/>
              <w:jc w:val="center"/>
              <w:rPr>
                <w:rFonts w:asciiTheme="minorEastAsia" w:hAnsiTheme="minorEastAsia"/>
                <w:color w:val="auto"/>
                <w:szCs w:val="21"/>
              </w:rPr>
            </w:pPr>
          </w:p>
        </w:tc>
        <w:tc>
          <w:tcPr>
            <w:tcW w:w="426" w:type="dxa"/>
          </w:tcPr>
          <w:p>
            <w:pPr>
              <w:widowControl/>
              <w:snapToGrid w:val="0"/>
              <w:spacing w:line="240" w:lineRule="auto"/>
              <w:jc w:val="center"/>
              <w:rPr>
                <w:rFonts w:asciiTheme="minorEastAsia" w:hAnsiTheme="minorEastAsia"/>
                <w:color w:val="auto"/>
                <w:szCs w:val="21"/>
              </w:rPr>
            </w:pPr>
          </w:p>
        </w:tc>
        <w:tc>
          <w:tcPr>
            <w:tcW w:w="991"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1134"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c>
          <w:tcPr>
            <w:tcW w:w="993" w:type="dxa"/>
          </w:tcPr>
          <w:p>
            <w:pPr>
              <w:widowControl/>
              <w:snapToGrid w:val="0"/>
              <w:spacing w:line="240" w:lineRule="auto"/>
              <w:jc w:val="center"/>
              <w:rPr>
                <w:rFonts w:asciiTheme="minorEastAsia" w:hAnsiTheme="minorEastAsia"/>
                <w:color w:val="auto"/>
                <w:szCs w:val="21"/>
              </w:rPr>
            </w:pPr>
          </w:p>
        </w:tc>
        <w:tc>
          <w:tcPr>
            <w:tcW w:w="850" w:type="dxa"/>
          </w:tcPr>
          <w:p>
            <w:pPr>
              <w:widowControl/>
              <w:snapToGrid w:val="0"/>
              <w:spacing w:line="240" w:lineRule="auto"/>
              <w:jc w:val="center"/>
              <w:rPr>
                <w:rFonts w:asciiTheme="minorEastAsia" w:hAnsiTheme="minorEastAsia"/>
                <w:color w:val="auto"/>
                <w:szCs w:val="21"/>
              </w:rPr>
            </w:pPr>
          </w:p>
        </w:tc>
        <w:tc>
          <w:tcPr>
            <w:tcW w:w="851" w:type="dxa"/>
          </w:tcPr>
          <w:p>
            <w:pPr>
              <w:widowControl/>
              <w:snapToGrid w:val="0"/>
              <w:spacing w:line="240" w:lineRule="auto"/>
              <w:jc w:val="center"/>
              <w:rPr>
                <w:rFonts w:asciiTheme="minorEastAsia" w:hAnsiTheme="minorEastAsia"/>
                <w:color w:val="auto"/>
                <w:szCs w:val="21"/>
              </w:rPr>
            </w:pPr>
          </w:p>
        </w:tc>
        <w:tc>
          <w:tcPr>
            <w:tcW w:w="992" w:type="dxa"/>
          </w:tcPr>
          <w:p>
            <w:pPr>
              <w:widowControl/>
              <w:snapToGrid w:val="0"/>
              <w:spacing w:line="240" w:lineRule="auto"/>
              <w:jc w:val="center"/>
              <w:rPr>
                <w:rFonts w:asciiTheme="minorEastAsia" w:hAnsiTheme="minorEastAsia"/>
                <w:color w:val="auto"/>
                <w:szCs w:val="21"/>
              </w:rPr>
            </w:pPr>
          </w:p>
        </w:tc>
      </w:tr>
    </w:tbl>
    <w:p>
      <w:pPr>
        <w:pStyle w:val="4"/>
        <w:rPr>
          <w:color w:val="auto"/>
        </w:rPr>
      </w:pPr>
      <w:bookmarkStart w:id="522" w:name="_Toc511635885"/>
      <w:bookmarkStart w:id="523" w:name="_Toc515441146"/>
      <w:bookmarkStart w:id="524" w:name="_Toc516816149"/>
      <w:bookmarkStart w:id="525" w:name="_Toc516816338"/>
      <w:r>
        <w:rPr>
          <w:rFonts w:hint="eastAsia"/>
          <w:color w:val="auto"/>
        </w:rPr>
        <w:t>11 开工和竣工（完工）</w:t>
      </w:r>
      <w:bookmarkEnd w:id="522"/>
      <w:bookmarkEnd w:id="523"/>
      <w:bookmarkEnd w:id="524"/>
      <w:bookmarkEnd w:id="525"/>
    </w:p>
    <w:p>
      <w:pPr>
        <w:pStyle w:val="5"/>
        <w:adjustRightInd w:val="0"/>
        <w:snapToGrid w:val="0"/>
        <w:spacing w:before="0" w:after="0" w:line="520" w:lineRule="exact"/>
        <w:rPr>
          <w:rFonts w:asciiTheme="majorEastAsia" w:hAnsiTheme="majorEastAsia" w:eastAsiaTheme="majorEastAsia"/>
          <w:color w:val="auto"/>
        </w:rPr>
      </w:pPr>
      <w:bookmarkStart w:id="526" w:name="_Toc511635886"/>
      <w:r>
        <w:rPr>
          <w:rFonts w:hint="eastAsia" w:asciiTheme="majorEastAsia" w:hAnsiTheme="majorEastAsia" w:eastAsiaTheme="majorEastAsia"/>
          <w:color w:val="auto"/>
        </w:rPr>
        <w:t>11.1 开工</w:t>
      </w:r>
      <w:bookmarkEnd w:id="52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监理人应在开工日期7天前向承包人发出开工通知。监理人在发出开工通知前应获得发包人同意。工期自监理人发出的开工通知中载明的开工日期起计算。承包人应在开工日期后尽快施工。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11.1.3 若发包人未能按合同约定向承包人提供开工的必要条件，承包人有权要求延长工期。监理人应在收到承包人的书面要求后，按第3.5款的约定，与合同双方商定或确定增加的费用和延长的工期。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11.1.4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5"/>
        <w:adjustRightInd w:val="0"/>
        <w:snapToGrid w:val="0"/>
        <w:spacing w:before="0" w:after="0" w:line="520" w:lineRule="exact"/>
        <w:rPr>
          <w:rFonts w:asciiTheme="majorEastAsia" w:hAnsiTheme="majorEastAsia" w:eastAsiaTheme="majorEastAsia"/>
          <w:color w:val="auto"/>
        </w:rPr>
      </w:pPr>
      <w:bookmarkStart w:id="527" w:name="_Toc511635887"/>
      <w:r>
        <w:rPr>
          <w:rFonts w:hint="eastAsia" w:asciiTheme="majorEastAsia" w:hAnsiTheme="majorEastAsia" w:eastAsiaTheme="majorEastAsia"/>
          <w:color w:val="auto"/>
        </w:rPr>
        <w:t>11.2 竣工（完工）</w:t>
      </w:r>
      <w:bookmarkEnd w:id="5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承包人应在第1.1.4.3目约定的期限内完成合同工程。合同工程实际完工日期在合同工程完工证书中明确。</w:t>
      </w:r>
    </w:p>
    <w:p>
      <w:pPr>
        <w:pStyle w:val="5"/>
        <w:adjustRightInd w:val="0"/>
        <w:snapToGrid w:val="0"/>
        <w:spacing w:before="0" w:after="0" w:line="520" w:lineRule="exact"/>
        <w:rPr>
          <w:rFonts w:asciiTheme="majorEastAsia" w:hAnsiTheme="majorEastAsia" w:eastAsiaTheme="majorEastAsia"/>
          <w:color w:val="auto"/>
        </w:rPr>
      </w:pPr>
      <w:bookmarkStart w:id="528" w:name="_Toc511635888"/>
      <w:r>
        <w:rPr>
          <w:rFonts w:hint="eastAsia" w:asciiTheme="majorEastAsia" w:hAnsiTheme="majorEastAsia" w:eastAsiaTheme="majorEastAsia"/>
          <w:color w:val="auto"/>
        </w:rPr>
        <w:t>11.3 发包人的工期延误</w:t>
      </w:r>
      <w:bookmarkEnd w:id="52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在履行合同过程中，由于发包人的下列原因造成工期延误的，承包人有权要求发包人延长工期和（或）增加费用，并支付合理利润。需要修订合同进度计划的，按照第10.2款的约定办理。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（1）增加合同工作内容。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（2）改变合同中任何一项工作的质量要求或其他特性。</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（3）发包人迟延提供材料、工程设备或变更交货地点的。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（4）因发包人原因导致的暂停施工。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（5）提供图纸延误。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（6）未按合同约定及时支付预付款、进度款。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（7）发包人造成工期延误的其他原因。</w:t>
      </w:r>
    </w:p>
    <w:p>
      <w:pPr>
        <w:pStyle w:val="5"/>
        <w:adjustRightInd w:val="0"/>
        <w:snapToGrid w:val="0"/>
        <w:spacing w:before="0" w:after="0" w:line="520" w:lineRule="exact"/>
        <w:rPr>
          <w:rFonts w:asciiTheme="majorEastAsia" w:hAnsiTheme="majorEastAsia" w:eastAsiaTheme="majorEastAsia"/>
          <w:color w:val="auto"/>
        </w:rPr>
      </w:pPr>
      <w:bookmarkStart w:id="529" w:name="_Toc511635889"/>
      <w:r>
        <w:rPr>
          <w:rFonts w:hint="eastAsia" w:asciiTheme="majorEastAsia" w:hAnsiTheme="majorEastAsia" w:eastAsiaTheme="majorEastAsia"/>
          <w:color w:val="auto"/>
        </w:rPr>
        <w:t>11.4 异常恶劣的气候条件</w:t>
      </w:r>
      <w:bookmarkEnd w:id="5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11.4.1 当工程所在地发生危及施工安全的异常恶劣气候时，发包人和承包人应按本合同通用合同条款第12条的约定，及时采取暂停施工或部分暂停施工措施。异常恶劣气候条件解除后，承包人应及时安排复工。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11.4.2 异常恶劣气候条件造成的工期延误和工程损坏，应由发包人与承包人参照本合同通用合同条款第21.3款的约定共同协商处理。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11.4.3 本合同工程界定异常恶劣气候条件的范围在专用合同条款中约定。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530" w:name="_Toc511635890"/>
      <w:r>
        <w:rPr>
          <w:rFonts w:hint="eastAsia" w:asciiTheme="majorEastAsia" w:hAnsiTheme="majorEastAsia" w:eastAsiaTheme="majorEastAsia"/>
          <w:color w:val="auto"/>
        </w:rPr>
        <w:t>11.5 承包人的工期延误</w:t>
      </w:r>
      <w:bookmarkEnd w:id="5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
        <w:adjustRightInd w:val="0"/>
        <w:snapToGrid w:val="0"/>
        <w:spacing w:before="0" w:after="0" w:line="520" w:lineRule="exact"/>
        <w:rPr>
          <w:rFonts w:asciiTheme="majorEastAsia" w:hAnsiTheme="majorEastAsia" w:eastAsiaTheme="majorEastAsia"/>
          <w:color w:val="auto"/>
        </w:rPr>
      </w:pPr>
      <w:bookmarkStart w:id="531" w:name="_Toc511635891"/>
      <w:r>
        <w:rPr>
          <w:rFonts w:hint="eastAsia" w:asciiTheme="majorEastAsia" w:hAnsiTheme="majorEastAsia" w:eastAsiaTheme="majorEastAsia"/>
          <w:color w:val="auto"/>
        </w:rPr>
        <w:t>11.6 工期提前</w:t>
      </w:r>
      <w:bookmarkEnd w:id="5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发包人要求提前完工的，双方协商一致后应签订提前完工协议，协议内容包括：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（1）提前的时间和修订后的进度计划。</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（2）承包人的赶工措施。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（3）发包人为赶工提供的条件。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（4）赶工费用（包括利润和奖金）。</w:t>
      </w:r>
    </w:p>
    <w:p>
      <w:pPr>
        <w:pStyle w:val="4"/>
        <w:rPr>
          <w:color w:val="auto"/>
        </w:rPr>
      </w:pPr>
      <w:bookmarkStart w:id="532" w:name="_Toc511635892"/>
      <w:bookmarkStart w:id="533" w:name="_Toc515441147"/>
      <w:bookmarkStart w:id="534" w:name="_Toc516816150"/>
      <w:bookmarkStart w:id="535" w:name="_Toc516816339"/>
      <w:r>
        <w:rPr>
          <w:rFonts w:hint="eastAsia"/>
          <w:color w:val="auto"/>
        </w:rPr>
        <w:t>12 暂停施工</w:t>
      </w:r>
      <w:bookmarkEnd w:id="532"/>
      <w:bookmarkEnd w:id="533"/>
      <w:bookmarkEnd w:id="534"/>
      <w:bookmarkEnd w:id="535"/>
    </w:p>
    <w:p>
      <w:pPr>
        <w:pStyle w:val="5"/>
        <w:adjustRightInd w:val="0"/>
        <w:snapToGrid w:val="0"/>
        <w:spacing w:before="0" w:after="0" w:line="520" w:lineRule="exact"/>
        <w:rPr>
          <w:rFonts w:asciiTheme="majorEastAsia" w:hAnsiTheme="majorEastAsia" w:eastAsiaTheme="majorEastAsia"/>
          <w:color w:val="auto"/>
        </w:rPr>
      </w:pPr>
      <w:bookmarkStart w:id="536" w:name="_Toc511635893"/>
      <w:r>
        <w:rPr>
          <w:rFonts w:hint="eastAsia" w:asciiTheme="majorEastAsia" w:hAnsiTheme="majorEastAsia" w:eastAsiaTheme="majorEastAsia"/>
          <w:color w:val="auto"/>
        </w:rPr>
        <w:t>12.1 承包人暂停施工的责任</w:t>
      </w:r>
      <w:bookmarkEnd w:id="53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因下列暂停施工增加的费用和（或）工期延误由承包人承担：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（1）承包人违约引起的暂停施工。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（2）由于承包人原因为工程合理施工和安全保障所必需的暂停施工。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（3）承包人擅自暂停施工。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（4）承包人其他原因引起的暂停施工。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（5）专用合同条款约定由承包人承担的其他暂停施工。</w:t>
      </w:r>
    </w:p>
    <w:p>
      <w:pPr>
        <w:pStyle w:val="5"/>
        <w:adjustRightInd w:val="0"/>
        <w:snapToGrid w:val="0"/>
        <w:spacing w:before="0" w:after="0" w:line="520" w:lineRule="exact"/>
        <w:rPr>
          <w:rFonts w:asciiTheme="majorEastAsia" w:hAnsiTheme="majorEastAsia" w:eastAsiaTheme="majorEastAsia"/>
          <w:color w:val="auto"/>
        </w:rPr>
      </w:pPr>
      <w:bookmarkStart w:id="537" w:name="_Toc511635894"/>
      <w:r>
        <w:rPr>
          <w:rFonts w:hint="eastAsia" w:asciiTheme="majorEastAsia" w:hAnsiTheme="majorEastAsia" w:eastAsiaTheme="majorEastAsia"/>
          <w:color w:val="auto"/>
        </w:rPr>
        <w:t>12.2 发包人暂停施工的责任</w:t>
      </w:r>
      <w:bookmarkEnd w:id="5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由于发包人原因引起的暂停施工造成工期延误的，承包人有权要求发包人延长工期和（或）增加费用，并支付合理利润。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属于下列任何一种情况引起的暂停施工，均为发包人的责任：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（1）由于发包人违约引起的暂停施工。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（2）由于不可抗力的自然或社会因素引起的暂停施工。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（3）专用合同条款中约定的其它由于发包人原因引起的暂停施工。</w:t>
      </w:r>
    </w:p>
    <w:p>
      <w:pPr>
        <w:pStyle w:val="5"/>
        <w:adjustRightInd w:val="0"/>
        <w:snapToGrid w:val="0"/>
        <w:spacing w:before="0" w:after="0" w:line="520" w:lineRule="exact"/>
        <w:rPr>
          <w:rFonts w:asciiTheme="majorEastAsia" w:hAnsiTheme="majorEastAsia" w:eastAsiaTheme="majorEastAsia"/>
          <w:color w:val="auto"/>
        </w:rPr>
      </w:pPr>
      <w:bookmarkStart w:id="538" w:name="_Toc511635895"/>
      <w:r>
        <w:rPr>
          <w:rFonts w:hint="eastAsia" w:asciiTheme="majorEastAsia" w:hAnsiTheme="majorEastAsia" w:eastAsiaTheme="majorEastAsia"/>
          <w:color w:val="auto"/>
        </w:rPr>
        <w:t>12.3 监理人暂停施工指示</w:t>
      </w:r>
      <w:bookmarkEnd w:id="5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12.3.1 监理人认为有必要时，可向承包人作出暂停施工的指示，承包人应按监理人指示暂停施工。不论由于何种原因引起的暂停施工，暂停施工期间承包人应负责妥善保护工程并提供安全保障。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
        <w:adjustRightInd w:val="0"/>
        <w:snapToGrid w:val="0"/>
        <w:spacing w:before="0" w:after="0" w:line="520" w:lineRule="exact"/>
        <w:rPr>
          <w:rFonts w:asciiTheme="majorEastAsia" w:hAnsiTheme="majorEastAsia" w:eastAsiaTheme="majorEastAsia"/>
          <w:color w:val="auto"/>
        </w:rPr>
      </w:pPr>
      <w:bookmarkStart w:id="539" w:name="_Toc511635896"/>
      <w:r>
        <w:rPr>
          <w:rFonts w:hint="eastAsia" w:asciiTheme="majorEastAsia" w:hAnsiTheme="majorEastAsia" w:eastAsiaTheme="majorEastAsia"/>
          <w:color w:val="auto"/>
        </w:rPr>
        <w:t>12.4 暂停施工后的复工</w:t>
      </w:r>
      <w:bookmarkEnd w:id="5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12.4.2 承包人无故拖延和拒绝复工的，由此增加的费用和工期延误由承包人承担；因发包人原因无法按时复工的，承包人有权要求发包人延长工期和（或）增加费用，并支付合理利润。</w:t>
      </w:r>
    </w:p>
    <w:p>
      <w:pPr>
        <w:pStyle w:val="5"/>
        <w:adjustRightInd w:val="0"/>
        <w:snapToGrid w:val="0"/>
        <w:spacing w:before="0" w:after="0" w:line="520" w:lineRule="exact"/>
        <w:rPr>
          <w:rFonts w:asciiTheme="majorEastAsia" w:hAnsiTheme="majorEastAsia" w:eastAsiaTheme="majorEastAsia"/>
          <w:color w:val="auto"/>
        </w:rPr>
      </w:pPr>
      <w:bookmarkStart w:id="540" w:name="_Toc511635897"/>
      <w:r>
        <w:rPr>
          <w:rFonts w:hint="eastAsia" w:asciiTheme="majorEastAsia" w:hAnsiTheme="majorEastAsia" w:eastAsiaTheme="majorEastAsia"/>
          <w:color w:val="auto"/>
        </w:rPr>
        <w:t>12.5 暂停施工持续56天以上</w:t>
      </w:r>
      <w:bookmarkEnd w:id="54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12.5.2 由于承包人责任引起的暂停施工，如承包人在收到监理人暂停施工指示后56天内不认真采取有效的复工措施，造成工期延误，可视为承包人违约，应按第22.1款的规定办理。</w:t>
      </w:r>
    </w:p>
    <w:p>
      <w:pPr>
        <w:pStyle w:val="4"/>
        <w:rPr>
          <w:color w:val="auto"/>
        </w:rPr>
      </w:pPr>
      <w:bookmarkStart w:id="541" w:name="_Toc511635898"/>
      <w:bookmarkStart w:id="542" w:name="_Toc515441148"/>
      <w:bookmarkStart w:id="543" w:name="_Toc516816151"/>
      <w:bookmarkStart w:id="544" w:name="_Toc516816340"/>
      <w:r>
        <w:rPr>
          <w:rFonts w:hint="eastAsia"/>
          <w:color w:val="auto"/>
        </w:rPr>
        <w:t>13 工程质量</w:t>
      </w:r>
      <w:bookmarkEnd w:id="541"/>
      <w:bookmarkEnd w:id="542"/>
      <w:bookmarkEnd w:id="543"/>
      <w:bookmarkEnd w:id="544"/>
    </w:p>
    <w:p>
      <w:pPr>
        <w:pStyle w:val="5"/>
        <w:adjustRightInd w:val="0"/>
        <w:snapToGrid w:val="0"/>
        <w:spacing w:before="0" w:after="0" w:line="520" w:lineRule="exact"/>
        <w:rPr>
          <w:rFonts w:asciiTheme="majorEastAsia" w:hAnsiTheme="majorEastAsia" w:eastAsiaTheme="majorEastAsia"/>
          <w:color w:val="auto"/>
        </w:rPr>
      </w:pPr>
      <w:bookmarkStart w:id="545" w:name="_Toc511635899"/>
      <w:r>
        <w:rPr>
          <w:rFonts w:hint="eastAsia" w:asciiTheme="majorEastAsia" w:hAnsiTheme="majorEastAsia" w:eastAsiaTheme="majorEastAsia"/>
          <w:color w:val="auto"/>
        </w:rPr>
        <w:t>13.1 工程质量要求</w:t>
      </w:r>
      <w:bookmarkEnd w:id="54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13.1.1 工程质量验收按合同约定验收标准执行。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13.1.2 因承包人原因造成工程质量达不到合同约定验收标准的，监理人有权要求承包人返工直至符合合同要求为止，由此造成的费用增加和（或）工期延误由承包人承担。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13.1.3 因发包人原因造成工程质量达不到合同约定验收标准的，发包人应承担由于承包人返工造成的费用增加和（或）工期延误，并支付承包人合理利润。</w:t>
      </w:r>
    </w:p>
    <w:p>
      <w:pPr>
        <w:pStyle w:val="5"/>
        <w:adjustRightInd w:val="0"/>
        <w:snapToGrid w:val="0"/>
        <w:spacing w:before="0" w:after="0" w:line="520" w:lineRule="exact"/>
        <w:rPr>
          <w:rFonts w:asciiTheme="majorEastAsia" w:hAnsiTheme="majorEastAsia" w:eastAsiaTheme="majorEastAsia"/>
          <w:color w:val="auto"/>
        </w:rPr>
      </w:pPr>
      <w:bookmarkStart w:id="546" w:name="_Toc511635900"/>
      <w:r>
        <w:rPr>
          <w:rFonts w:hint="eastAsia" w:asciiTheme="majorEastAsia" w:hAnsiTheme="majorEastAsia" w:eastAsiaTheme="majorEastAsia"/>
          <w:color w:val="auto"/>
        </w:rPr>
        <w:t>13.2 承包人的质量管理</w:t>
      </w:r>
      <w:bookmarkEnd w:id="5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13.2.1 承包人应在施工场地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13.2.2 承包人应加强对施工人员的质量教育和技术培训，定期考核施工人员的劳动技能，严格执行规范和操作规程。</w:t>
      </w:r>
    </w:p>
    <w:p>
      <w:pPr>
        <w:pStyle w:val="5"/>
        <w:adjustRightInd w:val="0"/>
        <w:snapToGrid w:val="0"/>
        <w:spacing w:before="0" w:after="0" w:line="520" w:lineRule="exact"/>
        <w:rPr>
          <w:rFonts w:asciiTheme="majorEastAsia" w:hAnsiTheme="majorEastAsia" w:eastAsiaTheme="majorEastAsia"/>
          <w:color w:val="auto"/>
        </w:rPr>
      </w:pPr>
      <w:bookmarkStart w:id="547" w:name="_Toc511635901"/>
      <w:r>
        <w:rPr>
          <w:rFonts w:hint="eastAsia" w:asciiTheme="majorEastAsia" w:hAnsiTheme="majorEastAsia" w:eastAsiaTheme="majorEastAsia"/>
          <w:color w:val="auto"/>
        </w:rPr>
        <w:t>13.3 承包人的质量检查</w:t>
      </w:r>
      <w:bookmarkEnd w:id="5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承包人应按合同约定对材料、工程设备以及工程的所有部位及其施工工艺进行全过程的质量检查和检验，并作详细记录，编制工程质量报表，报送监理人审查。</w:t>
      </w:r>
    </w:p>
    <w:p>
      <w:pPr>
        <w:pStyle w:val="5"/>
        <w:adjustRightInd w:val="0"/>
        <w:snapToGrid w:val="0"/>
        <w:spacing w:before="0" w:after="0" w:line="520" w:lineRule="exact"/>
        <w:rPr>
          <w:rFonts w:asciiTheme="majorEastAsia" w:hAnsiTheme="majorEastAsia" w:eastAsiaTheme="majorEastAsia"/>
          <w:color w:val="auto"/>
        </w:rPr>
      </w:pPr>
      <w:bookmarkStart w:id="548" w:name="_Toc511635902"/>
      <w:r>
        <w:rPr>
          <w:rFonts w:hint="eastAsia" w:asciiTheme="majorEastAsia" w:hAnsiTheme="majorEastAsia" w:eastAsiaTheme="majorEastAsia"/>
          <w:color w:val="auto"/>
        </w:rPr>
        <w:t>13.4 监理人的质量检查</w:t>
      </w:r>
      <w:bookmarkEnd w:id="54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adjustRightInd w:val="0"/>
        <w:snapToGrid w:val="0"/>
        <w:spacing w:before="0" w:after="0" w:line="520" w:lineRule="exact"/>
        <w:rPr>
          <w:rFonts w:asciiTheme="majorEastAsia" w:hAnsiTheme="majorEastAsia" w:eastAsiaTheme="majorEastAsia"/>
          <w:color w:val="auto"/>
        </w:rPr>
      </w:pPr>
      <w:bookmarkStart w:id="549" w:name="_Toc511635903"/>
      <w:r>
        <w:rPr>
          <w:rFonts w:hint="eastAsia" w:asciiTheme="majorEastAsia" w:hAnsiTheme="majorEastAsia" w:eastAsiaTheme="majorEastAsia"/>
          <w:color w:val="auto"/>
        </w:rPr>
        <w:t>13.5 工程隐蔽部位覆盖前的检查</w:t>
      </w:r>
      <w:bookmarkEnd w:id="54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13.5.1 通知监理人检查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13.5.2 监理人未到场检查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13.5.3 监理人重新检查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13.5.4 承包人私自覆盖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承包人未通知监理人到场检查，私自将工程隐蔽部位覆盖的，监理人有权指示承包人钻孔探测或揭开检查，由此增加的费用和（或）工期延误由承包人承担。</w:t>
      </w:r>
    </w:p>
    <w:p>
      <w:pPr>
        <w:pStyle w:val="5"/>
        <w:adjustRightInd w:val="0"/>
        <w:snapToGrid w:val="0"/>
        <w:spacing w:before="0" w:after="0" w:line="520" w:lineRule="exact"/>
        <w:rPr>
          <w:color w:val="auto"/>
        </w:rPr>
      </w:pPr>
      <w:bookmarkStart w:id="550" w:name="_Toc511635904"/>
      <w:r>
        <w:rPr>
          <w:rFonts w:hint="eastAsia" w:asciiTheme="majorEastAsia" w:hAnsiTheme="majorEastAsia" w:eastAsiaTheme="majorEastAsia"/>
          <w:color w:val="auto"/>
        </w:rPr>
        <w:t>13.6 清除不合格工程</w:t>
      </w:r>
      <w:bookmarkEnd w:id="5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13.6.2 由于发包人提供的材料或工程设备不合格造成的工程不合格，需要承包人采取措施补救的，发包人应承担由此增加的费用和（或）工期延误，并支付承包人合理利润。</w:t>
      </w:r>
    </w:p>
    <w:p>
      <w:pPr>
        <w:pStyle w:val="5"/>
        <w:adjustRightInd w:val="0"/>
        <w:snapToGrid w:val="0"/>
        <w:spacing w:before="0" w:after="0" w:line="520" w:lineRule="exact"/>
        <w:rPr>
          <w:rFonts w:asciiTheme="majorEastAsia" w:hAnsiTheme="majorEastAsia" w:eastAsiaTheme="majorEastAsia"/>
          <w:color w:val="auto"/>
        </w:rPr>
      </w:pPr>
      <w:bookmarkStart w:id="551" w:name="_Toc511635905"/>
      <w:r>
        <w:rPr>
          <w:rFonts w:hint="eastAsia" w:asciiTheme="majorEastAsia" w:hAnsiTheme="majorEastAsia" w:eastAsiaTheme="majorEastAsia"/>
          <w:color w:val="auto"/>
        </w:rPr>
        <w:t>13.7 质量评定</w:t>
      </w:r>
      <w:bookmarkEnd w:id="55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13.7.1 发包人应组织承包人进行工程项目划分，并确定单位工程、主要分部工程、重要隐蔽单元工程和关键部位单元工程。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13.7.2 工程实施过程中，单位工程、主要分部工程、重要隐蔽单元工程和关键部位单元工程的项目划分需要调整时，承包人应报发包人确认。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13.7.3 承包人应在单元（工序）工程质量自评合格后，报监理人核定质量等级并签证认可。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13.7.4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13.7.5 承包人应在分部工程质量自评合格后，报监理人复核和发包人认定。发包人负责按有关规定完成部分工程质量结论报工程质量监督机构核备（核定）手续。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13.7.6 承包人应在单位工程质量自评合格后，报监理人复核和发包人认定。发包人负责按有关规定完成单位工程质量结论报工程质量监督机构核定手续。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13.7.7 除专用合同条款另有约定外，工程质量等级分为合格和优良，应分别达到约定的标准。</w:t>
      </w:r>
    </w:p>
    <w:p>
      <w:pPr>
        <w:pStyle w:val="5"/>
        <w:adjustRightInd w:val="0"/>
        <w:snapToGrid w:val="0"/>
        <w:spacing w:before="0" w:after="0" w:line="520" w:lineRule="exact"/>
        <w:rPr>
          <w:rFonts w:asciiTheme="majorEastAsia" w:hAnsiTheme="majorEastAsia" w:eastAsiaTheme="majorEastAsia"/>
          <w:color w:val="auto"/>
        </w:rPr>
      </w:pPr>
      <w:bookmarkStart w:id="552" w:name="_Toc511635906"/>
      <w:r>
        <w:rPr>
          <w:rFonts w:hint="eastAsia" w:asciiTheme="majorEastAsia" w:hAnsiTheme="majorEastAsia" w:eastAsiaTheme="majorEastAsia"/>
          <w:color w:val="auto"/>
        </w:rPr>
        <w:t>13.8 质量事故处理</w:t>
      </w:r>
      <w:bookmarkEnd w:id="55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13.8.1 发生质量事故时，承包人应及时向发包人和监理人报告。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13.8.2 质量事故调查处理由发包人按相关规定履行手续，承包人应配合。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13.8.3 承包人应对质量缺陷进行备案。发包人委托监理人对质量缺陷备案情况进行监督检查并履行相关手续。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13.8.4 除专用合同条款另有约定外，工程竣工验收时，发包人负责向竣工验收委员会汇报并提交历次质量缺陷处理的备案资料。</w:t>
      </w:r>
    </w:p>
    <w:p>
      <w:pPr>
        <w:pStyle w:val="4"/>
        <w:rPr>
          <w:color w:val="auto"/>
        </w:rPr>
      </w:pPr>
      <w:bookmarkStart w:id="553" w:name="_Toc515441149"/>
      <w:bookmarkStart w:id="554" w:name="_Toc511635907"/>
      <w:bookmarkStart w:id="555" w:name="_Toc516816152"/>
      <w:bookmarkStart w:id="556" w:name="_Toc516816341"/>
      <w:r>
        <w:rPr>
          <w:rFonts w:hint="eastAsia"/>
          <w:color w:val="auto"/>
        </w:rPr>
        <w:t>14 试验和检验</w:t>
      </w:r>
      <w:bookmarkEnd w:id="553"/>
      <w:bookmarkEnd w:id="554"/>
      <w:bookmarkEnd w:id="555"/>
      <w:bookmarkEnd w:id="556"/>
    </w:p>
    <w:p>
      <w:pPr>
        <w:pStyle w:val="5"/>
        <w:adjustRightInd w:val="0"/>
        <w:snapToGrid w:val="0"/>
        <w:spacing w:before="0" w:after="0" w:line="520" w:lineRule="exact"/>
        <w:rPr>
          <w:rFonts w:asciiTheme="majorEastAsia" w:hAnsiTheme="majorEastAsia" w:eastAsiaTheme="majorEastAsia"/>
          <w:color w:val="auto"/>
        </w:rPr>
      </w:pPr>
      <w:bookmarkStart w:id="557" w:name="_Toc511635908"/>
      <w:r>
        <w:rPr>
          <w:rFonts w:hint="eastAsia" w:asciiTheme="majorEastAsia" w:hAnsiTheme="majorEastAsia" w:eastAsiaTheme="majorEastAsia"/>
          <w:color w:val="auto"/>
        </w:rPr>
        <w:t>14.1 材料、工程设备和工程的试验和检验</w:t>
      </w:r>
      <w:bookmarkEnd w:id="5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14.1.2 监理人未按合同约定派员参加试验和检验的，除监理人另有指示外，承包人可自行试验和检验，并应立即将试验和检验结果报送监理人，监理人应签字确认。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14.1.4 承包人应按相关规定和标准对水泥、钢材等原材料与中间产品质量进行检验，并报监理人复核。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14.1.5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14.1.6 对专用合同条款约定的试块、试件及有关材料，监理人实行见证取样。见证取样资料由承包人制备，记录应真实齐全，监理人、承包人等参与见证取样人员应在相关文件上签字。</w:t>
      </w:r>
    </w:p>
    <w:p>
      <w:pPr>
        <w:pStyle w:val="5"/>
        <w:adjustRightInd w:val="0"/>
        <w:snapToGrid w:val="0"/>
        <w:spacing w:before="0" w:after="0" w:line="520" w:lineRule="exact"/>
        <w:rPr>
          <w:rFonts w:asciiTheme="majorEastAsia" w:hAnsiTheme="majorEastAsia" w:eastAsiaTheme="majorEastAsia"/>
          <w:color w:val="auto"/>
        </w:rPr>
      </w:pPr>
      <w:bookmarkStart w:id="558" w:name="_Toc511635909"/>
      <w:r>
        <w:rPr>
          <w:rFonts w:hint="eastAsia" w:asciiTheme="majorEastAsia" w:hAnsiTheme="majorEastAsia" w:eastAsiaTheme="majorEastAsia"/>
          <w:color w:val="auto"/>
        </w:rPr>
        <w:t>14.2 现场材料试验</w:t>
      </w:r>
      <w:bookmarkEnd w:id="5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14.2.1 承包人根据合同约定或监理人指示进行的现场材料试验，应由承包人提供试验场所、试验人员、试验设备器材以及其他必要的试验条件。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14.2.2 监理人在必要时可以使用承包人的试验场所、试验设备器材以及其他试验条件，进行以工程质量检查为目的的复核性材料试验，承包人应予以协助。</w:t>
      </w:r>
    </w:p>
    <w:p>
      <w:pPr>
        <w:pStyle w:val="5"/>
        <w:adjustRightInd w:val="0"/>
        <w:snapToGrid w:val="0"/>
        <w:spacing w:before="0" w:after="0" w:line="520" w:lineRule="exact"/>
        <w:rPr>
          <w:rFonts w:asciiTheme="majorEastAsia" w:hAnsiTheme="majorEastAsia" w:eastAsiaTheme="majorEastAsia"/>
          <w:color w:val="auto"/>
        </w:rPr>
      </w:pPr>
      <w:bookmarkStart w:id="559" w:name="_Toc511635910"/>
      <w:r>
        <w:rPr>
          <w:rFonts w:hint="eastAsia" w:asciiTheme="majorEastAsia" w:hAnsiTheme="majorEastAsia" w:eastAsiaTheme="majorEastAsia"/>
          <w:color w:val="auto"/>
        </w:rPr>
        <w:t>14.3 现场工艺试验</w:t>
      </w:r>
      <w:bookmarkEnd w:id="55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承包人应按合同约定或监理人指示进行现场工艺试验。对大型的现场工艺试验，监理人认为必要时，应由承包人根据监理人提出的工艺试验要求，编制工艺试验措施计划，报送监理人审批。</w:t>
      </w:r>
    </w:p>
    <w:p>
      <w:pPr>
        <w:pStyle w:val="4"/>
        <w:rPr>
          <w:color w:val="auto"/>
        </w:rPr>
      </w:pPr>
      <w:bookmarkStart w:id="560" w:name="_Toc511635911"/>
      <w:bookmarkStart w:id="561" w:name="_Toc515441150"/>
      <w:bookmarkStart w:id="562" w:name="_Toc516816153"/>
      <w:bookmarkStart w:id="563" w:name="_Toc516816342"/>
      <w:r>
        <w:rPr>
          <w:rFonts w:hint="eastAsia"/>
          <w:color w:val="auto"/>
        </w:rPr>
        <w:t>15 变更</w:t>
      </w:r>
      <w:bookmarkEnd w:id="560"/>
      <w:bookmarkEnd w:id="561"/>
      <w:bookmarkEnd w:id="562"/>
      <w:bookmarkEnd w:id="563"/>
    </w:p>
    <w:p>
      <w:pPr>
        <w:pStyle w:val="5"/>
        <w:adjustRightInd w:val="0"/>
        <w:snapToGrid w:val="0"/>
        <w:spacing w:before="0" w:after="0" w:line="520" w:lineRule="exact"/>
        <w:rPr>
          <w:rFonts w:asciiTheme="majorEastAsia" w:hAnsiTheme="majorEastAsia" w:eastAsiaTheme="majorEastAsia"/>
          <w:color w:val="auto"/>
        </w:rPr>
      </w:pPr>
      <w:bookmarkStart w:id="564" w:name="_Toc511635912"/>
      <w:r>
        <w:rPr>
          <w:rFonts w:hint="eastAsia" w:asciiTheme="majorEastAsia" w:hAnsiTheme="majorEastAsia" w:eastAsiaTheme="majorEastAsia"/>
          <w:color w:val="auto"/>
        </w:rPr>
        <w:t>15.1 变更的范围和内容</w:t>
      </w:r>
      <w:bookmarkEnd w:id="56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在履行合同发生以下情形之一，应按照本款规定进行变更：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（1）取消合同中任何一项工作，但被取消的工作不能转由发包人或其它人实施。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（2）改变合同中任何一项工作的质量或其它特性。</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（3）改变合同工程的基线、标高、位置或尺寸。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（4）改变合同中任何一项工作的施工时间或改变已批准的施工工艺或顺序。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（5）为完成工程需要追加的额外工作。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（6）增加或减少专用合同条款中约定的关键项目工程量超过其工程总量的一定数量百分比。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上述第（1）～（6）目的变更内容引起工程施工组织和进度计划发生实质性变动和影响其原定的价格时，才予调整该项目的单价。第（6）目情形下单价调整方式在专用合同条款中约定。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565" w:name="_Toc511635913"/>
      <w:r>
        <w:rPr>
          <w:rFonts w:hint="eastAsia" w:asciiTheme="majorEastAsia" w:hAnsiTheme="majorEastAsia" w:eastAsiaTheme="majorEastAsia"/>
          <w:color w:val="auto"/>
        </w:rPr>
        <w:t>15.2 变更权</w:t>
      </w:r>
      <w:bookmarkEnd w:id="56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在履行合同过程中，经发包人同意，监理人可按第15.3款约定的变更程序向承包人作出变更指示，承包人应遵照执行。没有监理人的变更指示，承包人不得擅自变更。</w:t>
      </w:r>
    </w:p>
    <w:p>
      <w:pPr>
        <w:pStyle w:val="5"/>
        <w:adjustRightInd w:val="0"/>
        <w:snapToGrid w:val="0"/>
        <w:spacing w:before="0" w:after="0" w:line="520" w:lineRule="exact"/>
        <w:rPr>
          <w:rFonts w:asciiTheme="majorEastAsia" w:hAnsiTheme="majorEastAsia" w:eastAsiaTheme="majorEastAsia"/>
          <w:color w:val="auto"/>
        </w:rPr>
      </w:pPr>
      <w:bookmarkStart w:id="566" w:name="_Toc511635914"/>
      <w:r>
        <w:rPr>
          <w:rFonts w:hint="eastAsia" w:asciiTheme="majorEastAsia" w:hAnsiTheme="majorEastAsia" w:eastAsiaTheme="majorEastAsia"/>
          <w:color w:val="auto"/>
        </w:rPr>
        <w:t>15.3 变更程序</w:t>
      </w:r>
      <w:bookmarkEnd w:id="5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15.3.1 变更的提出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（2）在合同履行过程中，发生第15.1款约定情形的，监理人应按照第15.3.3项约定向承包人发出变更指示。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同意作为变更的，应由监理人书面答复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（4）若承包人收到监理人的变更意向书后认为难以实施此项变更，应立即通知监理人，说明原因并附详细依据。监理人与承包人和发包人协商后确定撤销、改变或不改变原变更意向书。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15.3.2 变更估价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（2）变更工作影响工期的，承包人应提出调整工期的具体细节。监理人认为有必要时，可要求承包人提交要求提前或延长工期的施工进度计划及相应施工措施等详细资料。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（3）除专用合同条款对期限另有约定外，监理人收到承包人变更报价书后的14天内，根据第15.4款约定的估价原则，按照第3.5款商定或确定变更价格。</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15.3.3 变更指示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（1）变更指示只能由监理人发出。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（2）变更指示应说明变更的目的、范围、变更内容以及变更的工程量及其进度和技术要求，并附有关图纸和文件。承包人收到变更指示后，应按变更指示进行变更工作。</w:t>
      </w:r>
    </w:p>
    <w:p>
      <w:pPr>
        <w:pStyle w:val="5"/>
        <w:adjustRightInd w:val="0"/>
        <w:snapToGrid w:val="0"/>
        <w:spacing w:before="0" w:after="0" w:line="520" w:lineRule="exact"/>
        <w:rPr>
          <w:rFonts w:asciiTheme="majorEastAsia" w:hAnsiTheme="majorEastAsia" w:eastAsiaTheme="majorEastAsia"/>
          <w:color w:val="auto"/>
        </w:rPr>
      </w:pPr>
      <w:bookmarkStart w:id="567" w:name="_Toc511635915"/>
      <w:r>
        <w:rPr>
          <w:rFonts w:hint="eastAsia" w:asciiTheme="majorEastAsia" w:hAnsiTheme="majorEastAsia" w:eastAsiaTheme="majorEastAsia"/>
          <w:color w:val="auto"/>
        </w:rPr>
        <w:t>15.4 变更的估价原则</w:t>
      </w:r>
      <w:bookmarkEnd w:id="56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除专用合同条款另有约定外，因变更引起的价格调整按照本款约定处理。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15.4.1 已标价工程量清单中有适用于变更工作的子目的，采用该子目的单价。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15.4.2 已标价工程量清单中无适用于变更工作的子目，但有类似子目的，可在合理范围内参照类似子目的单价，由监理人按第3.5款商定或确定变更工作的单价。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15.4.3 已标价工程量清单中无适用或类似子目的单价，可按照成本加利润的原则，由监理人按第3.5款商定或确定变更工作的单价。</w:t>
      </w:r>
    </w:p>
    <w:p>
      <w:pPr>
        <w:pStyle w:val="5"/>
        <w:adjustRightInd w:val="0"/>
        <w:snapToGrid w:val="0"/>
        <w:spacing w:before="0" w:after="0" w:line="520" w:lineRule="exact"/>
        <w:rPr>
          <w:rFonts w:asciiTheme="majorEastAsia" w:hAnsiTheme="majorEastAsia" w:eastAsiaTheme="majorEastAsia"/>
          <w:color w:val="auto"/>
        </w:rPr>
      </w:pPr>
      <w:bookmarkStart w:id="568" w:name="_Toc511635916"/>
      <w:r>
        <w:rPr>
          <w:rFonts w:hint="eastAsia" w:asciiTheme="majorEastAsia" w:hAnsiTheme="majorEastAsia" w:eastAsiaTheme="majorEastAsia"/>
          <w:color w:val="auto"/>
        </w:rPr>
        <w:t>15.5 承包人的合理化建议</w:t>
      </w:r>
      <w:bookmarkEnd w:id="56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15.5.2 承包人提出的合理化建议降低了合同价格、缩短了工期或者提高了工程经济效益的，发包人可按国家有关规定在专用合同条款中约定给予奖励。</w:t>
      </w:r>
    </w:p>
    <w:p>
      <w:pPr>
        <w:pStyle w:val="5"/>
        <w:adjustRightInd w:val="0"/>
        <w:snapToGrid w:val="0"/>
        <w:spacing w:before="0" w:after="0" w:line="520" w:lineRule="exact"/>
        <w:rPr>
          <w:rFonts w:asciiTheme="majorEastAsia" w:hAnsiTheme="majorEastAsia" w:eastAsiaTheme="majorEastAsia"/>
          <w:color w:val="auto"/>
        </w:rPr>
      </w:pPr>
      <w:bookmarkStart w:id="569" w:name="_Toc511635917"/>
      <w:r>
        <w:rPr>
          <w:rFonts w:hint="eastAsia" w:asciiTheme="majorEastAsia" w:hAnsiTheme="majorEastAsia" w:eastAsiaTheme="majorEastAsia"/>
          <w:color w:val="auto"/>
        </w:rPr>
        <w:t>15.6 暂列金额</w:t>
      </w:r>
      <w:bookmarkEnd w:id="56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暂列金额只能按照监理人的指示使用，并对合同价格进行相应调整。</w:t>
      </w:r>
    </w:p>
    <w:p>
      <w:pPr>
        <w:pStyle w:val="5"/>
        <w:adjustRightInd w:val="0"/>
        <w:snapToGrid w:val="0"/>
        <w:spacing w:before="0" w:after="0" w:line="520" w:lineRule="exact"/>
        <w:rPr>
          <w:rFonts w:asciiTheme="majorEastAsia" w:hAnsiTheme="majorEastAsia" w:eastAsiaTheme="majorEastAsia"/>
          <w:color w:val="auto"/>
        </w:rPr>
      </w:pPr>
      <w:bookmarkStart w:id="570" w:name="_Toc511635918"/>
      <w:r>
        <w:rPr>
          <w:rFonts w:hint="eastAsia" w:asciiTheme="majorEastAsia" w:hAnsiTheme="majorEastAsia" w:eastAsiaTheme="majorEastAsia"/>
          <w:color w:val="auto"/>
        </w:rPr>
        <w:t>15.7 计日工</w:t>
      </w:r>
      <w:bookmarkEnd w:id="5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15.7.1 发包人认为有必要时，由监理人通知承包人以计日工方式实施变更的零星工作。其价款按列入已标价工程量清单中的计日工计价子目及其单价进行计算。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15.7.2 采用计日工计价的任何一项变更工作，应从暂列金额中支付，承包人应在该项变更的实施过程中，每天提交以下报表和有关凭证报送监理人审批：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（1）工作名称、内容和数量。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（2）投入该工作所有人员的姓名、工种、级别和耗用工时。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（3）投入该工作的材料类别和数量。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（4）投入该工作的施工设备型号、台数和耗用台时。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（5）监理人要求提交的其他资料和凭证。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15.7.3 计日工由承包人汇总后，按第17.3.2项的约定列入进度付款申请单，由监理人复核并经发包人同意后列入进度付款。</w:t>
      </w:r>
    </w:p>
    <w:p>
      <w:pPr>
        <w:pStyle w:val="5"/>
        <w:adjustRightInd w:val="0"/>
        <w:snapToGrid w:val="0"/>
        <w:spacing w:before="0" w:after="0" w:line="520" w:lineRule="exact"/>
        <w:rPr>
          <w:rFonts w:asciiTheme="majorEastAsia" w:hAnsiTheme="majorEastAsia" w:eastAsiaTheme="majorEastAsia"/>
          <w:color w:val="auto"/>
        </w:rPr>
      </w:pPr>
      <w:bookmarkStart w:id="571" w:name="_Toc511635919"/>
      <w:r>
        <w:rPr>
          <w:rFonts w:hint="eastAsia" w:asciiTheme="majorEastAsia" w:hAnsiTheme="majorEastAsia" w:eastAsiaTheme="majorEastAsia"/>
          <w:color w:val="auto"/>
        </w:rPr>
        <w:t>15.8 暂估价</w:t>
      </w:r>
      <w:bookmarkEnd w:id="5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15.8.1 发包人在工程量清单中给定暂估价的材料、工程设备和专业工程属于依法必须招标的范围并达到规定的规模标准的，若承包人不具备承担暂估价项目的能力或具备承担暂估价的能力但明确不参与投标的，由发包人和承包人组织招标；若承包人具备承担暂估价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bookmarkStart w:id="572" w:name="_Toc221950944"/>
      <w:bookmarkStart w:id="573" w:name="_Toc222029517"/>
      <w:bookmarkStart w:id="574" w:name="_Toc222031019"/>
      <w:bookmarkStart w:id="575" w:name="_Toc222032686"/>
      <w:bookmarkStart w:id="576" w:name="_Toc229305377"/>
      <w:bookmarkStart w:id="577" w:name="_Toc262659514"/>
      <w:bookmarkStart w:id="578" w:name="_Toc222033868"/>
      <w:bookmarkStart w:id="579" w:name="_Toc487489965"/>
    </w:p>
    <w:p>
      <w:pPr>
        <w:pStyle w:val="4"/>
        <w:rPr>
          <w:color w:val="auto"/>
        </w:rPr>
      </w:pPr>
      <w:bookmarkStart w:id="580" w:name="_Toc511635920"/>
      <w:bookmarkStart w:id="581" w:name="_Toc515441151"/>
      <w:bookmarkStart w:id="582" w:name="_Toc516816154"/>
      <w:bookmarkStart w:id="583" w:name="_Toc516816343"/>
      <w:r>
        <w:rPr>
          <w:rFonts w:hint="eastAsia"/>
          <w:color w:val="auto"/>
        </w:rPr>
        <w:t>16 价格调整</w:t>
      </w:r>
      <w:bookmarkEnd w:id="572"/>
      <w:bookmarkEnd w:id="573"/>
      <w:bookmarkEnd w:id="574"/>
      <w:bookmarkEnd w:id="575"/>
      <w:bookmarkEnd w:id="576"/>
      <w:bookmarkEnd w:id="577"/>
      <w:bookmarkEnd w:id="578"/>
      <w:bookmarkEnd w:id="579"/>
      <w:bookmarkEnd w:id="580"/>
      <w:bookmarkEnd w:id="581"/>
      <w:bookmarkEnd w:id="582"/>
      <w:bookmarkEnd w:id="583"/>
    </w:p>
    <w:p>
      <w:pPr>
        <w:pStyle w:val="5"/>
        <w:adjustRightInd w:val="0"/>
        <w:snapToGrid w:val="0"/>
        <w:spacing w:before="0" w:after="0" w:line="520" w:lineRule="exact"/>
        <w:rPr>
          <w:rFonts w:asciiTheme="majorEastAsia" w:hAnsiTheme="majorEastAsia" w:eastAsiaTheme="majorEastAsia"/>
          <w:color w:val="auto"/>
        </w:rPr>
      </w:pPr>
      <w:bookmarkStart w:id="584" w:name="_Toc221950945"/>
      <w:bookmarkStart w:id="585" w:name="_Toc262637919"/>
      <w:bookmarkStart w:id="586" w:name="_Toc511635921"/>
      <w:r>
        <w:rPr>
          <w:rFonts w:asciiTheme="majorEastAsia" w:hAnsiTheme="majorEastAsia" w:eastAsiaTheme="majorEastAsia"/>
          <w:color w:val="auto"/>
        </w:rPr>
        <w:t xml:space="preserve">16.1 </w:t>
      </w:r>
      <w:r>
        <w:rPr>
          <w:rFonts w:hint="eastAsia" w:asciiTheme="majorEastAsia" w:hAnsiTheme="majorEastAsia" w:eastAsiaTheme="majorEastAsia"/>
          <w:color w:val="auto"/>
        </w:rPr>
        <w:t>物价波动引起的价格调整</w:t>
      </w:r>
      <w:bookmarkEnd w:id="584"/>
      <w:bookmarkEnd w:id="585"/>
      <w:bookmarkEnd w:id="58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由于物价波动原因引起合同价格需要调整的，其价格调整方式在专用合同条款中约定。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16.1.1 采用价格指数调整价格差额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16.1.1.1 价格调整公式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因人工、材料和设备等价格波动影响合同价格时，根据投标函附录中的价格指数和权重表约定的数据，按以下公式计算差额并调整合同价格。</w:t>
      </w:r>
    </w:p>
    <w:p>
      <w:pPr>
        <w:autoSpaceDE w:val="0"/>
        <w:autoSpaceDN w:val="0"/>
        <w:adjustRightInd w:val="0"/>
        <w:spacing w:line="1200" w:lineRule="exact"/>
        <w:ind w:right="248" w:firstLine="759" w:firstLineChars="398"/>
        <w:rPr>
          <w:rFonts w:ascii="宋体" w:hAnsi="宋体"/>
          <w:color w:val="auto"/>
        </w:rPr>
      </w:pPr>
      <w:r>
        <w:rPr>
          <w:rFonts w:hint="eastAsia" w:ascii="宋体" w:hAnsi="宋体"/>
          <w:b/>
          <w:bCs/>
          <w:color w:val="auto"/>
          <w:kern w:val="0"/>
          <w:sz w:val="19"/>
          <w:szCs w:val="19"/>
          <w:lang w:val="zh-CN"/>
        </w:rPr>
        <w:t xml:space="preserve">        </w:t>
      </w:r>
      <w:r>
        <w:rPr>
          <w:rFonts w:ascii="宋体" w:hAnsi="宋体"/>
          <w:color w:val="auto"/>
          <w:position w:val="-34"/>
        </w:rPr>
        <w:object>
          <v:shape id="_x0000_i1025" o:spt="75" type="#_x0000_t75" style="height:39.85pt;width:306.4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tabs>
          <w:tab w:val="left" w:pos="1260"/>
        </w:tabs>
        <w:spacing w:line="400" w:lineRule="exact"/>
        <w:ind w:firstLine="420" w:firstLineChars="200"/>
        <w:rPr>
          <w:rFonts w:ascii="宋体" w:hAnsi="宋体"/>
          <w:color w:val="auto"/>
        </w:rPr>
      </w:pPr>
      <w:r>
        <w:rPr>
          <w:rFonts w:hint="eastAsia" w:ascii="宋体" w:hAnsi="宋体"/>
          <w:color w:val="auto"/>
        </w:rPr>
        <w:t xml:space="preserve"> </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式中：△P－—需调整的价格差额；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Po－—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widowControl/>
        <w:shd w:val="clear" w:color="auto" w:fill="FFFFFF"/>
        <w:snapToGrid w:val="0"/>
        <w:ind w:firstLine="420" w:firstLineChars="200"/>
        <w:jc w:val="left"/>
        <w:rPr>
          <w:rFonts w:asciiTheme="minorEastAsia" w:hAnsiTheme="minorEastAsia"/>
          <w:color w:val="auto"/>
          <w:szCs w:val="21"/>
        </w:rPr>
      </w:pPr>
      <w:bookmarkStart w:id="587" w:name="_Toc152042495"/>
      <w:bookmarkStart w:id="588" w:name="_Toc144974686"/>
      <w:r>
        <w:rPr>
          <w:rFonts w:hint="eastAsia" w:asciiTheme="minorEastAsia" w:hAnsiTheme="minorEastAsia"/>
          <w:color w:val="auto"/>
          <w:szCs w:val="21"/>
        </w:rPr>
        <w:t xml:space="preserve">     A－—定值权重(即不调部分的权重)；</w:t>
      </w:r>
      <w:bookmarkEnd w:id="587"/>
      <w:bookmarkEnd w:id="58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r>
        <w:rPr>
          <w:rFonts w:hint="eastAsia" w:asciiTheme="minorEastAsia" w:hAnsiTheme="minorEastAsia"/>
          <w:color w:val="auto"/>
        </w:rPr>
        <w:t>B</w:t>
      </w:r>
      <w:r>
        <w:rPr>
          <w:rFonts w:hint="eastAsia" w:asciiTheme="minorEastAsia" w:hAnsiTheme="minorEastAsia"/>
          <w:color w:val="auto"/>
          <w:szCs w:val="21"/>
          <w:vertAlign w:val="subscript"/>
        </w:rPr>
        <w:t>1</w:t>
      </w:r>
      <w:r>
        <w:rPr>
          <w:rFonts w:hint="eastAsia" w:asciiTheme="minorEastAsia" w:hAnsiTheme="minorEastAsia"/>
          <w:color w:val="auto"/>
          <w:szCs w:val="21"/>
        </w:rPr>
        <w:t>；</w:t>
      </w:r>
      <w:r>
        <w:rPr>
          <w:rFonts w:hint="eastAsia" w:asciiTheme="minorEastAsia" w:hAnsiTheme="minorEastAsia"/>
          <w:color w:val="auto"/>
        </w:rPr>
        <w:t>B</w:t>
      </w:r>
      <w:r>
        <w:rPr>
          <w:rFonts w:hint="eastAsia" w:asciiTheme="minorEastAsia" w:hAnsiTheme="minorEastAsia"/>
          <w:color w:val="auto"/>
          <w:szCs w:val="21"/>
          <w:vertAlign w:val="subscript"/>
        </w:rPr>
        <w:t>2</w:t>
      </w:r>
      <w:r>
        <w:rPr>
          <w:rFonts w:hint="eastAsia" w:asciiTheme="minorEastAsia" w:hAnsiTheme="minorEastAsia"/>
          <w:color w:val="auto"/>
          <w:szCs w:val="21"/>
        </w:rPr>
        <w:t>；</w:t>
      </w:r>
      <w:r>
        <w:rPr>
          <w:rFonts w:hint="eastAsia" w:asciiTheme="minorEastAsia" w:hAnsiTheme="minorEastAsia"/>
          <w:color w:val="auto"/>
        </w:rPr>
        <w:t>B</w:t>
      </w:r>
      <w:r>
        <w:rPr>
          <w:rFonts w:hint="eastAsia" w:asciiTheme="minorEastAsia" w:hAnsiTheme="minorEastAsia"/>
          <w:color w:val="auto"/>
          <w:szCs w:val="21"/>
          <w:vertAlign w:val="subscript"/>
        </w:rPr>
        <w:t>3</w:t>
      </w:r>
      <w:r>
        <w:rPr>
          <w:rFonts w:hint="eastAsia" w:asciiTheme="minorEastAsia" w:hAnsiTheme="minorEastAsia"/>
          <w:color w:val="auto"/>
          <w:szCs w:val="21"/>
        </w:rPr>
        <w:t>·····Bn－—各可调因子的变值权重(即可调部分的权重)为各可调因子在投标函投标总报价中所占的比例；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r>
        <w:rPr>
          <w:rFonts w:hint="eastAsia" w:asciiTheme="minorEastAsia" w:hAnsiTheme="minorEastAsia"/>
          <w:color w:val="auto"/>
        </w:rPr>
        <w:t>F</w:t>
      </w:r>
      <w:r>
        <w:rPr>
          <w:rFonts w:hint="eastAsia" w:asciiTheme="minorEastAsia" w:hAnsiTheme="minorEastAsia"/>
          <w:color w:val="auto"/>
          <w:szCs w:val="21"/>
          <w:vertAlign w:val="subscript"/>
        </w:rPr>
        <w:t>t1</w:t>
      </w:r>
      <w:r>
        <w:rPr>
          <w:rFonts w:hint="eastAsia" w:asciiTheme="minorEastAsia" w:hAnsiTheme="minorEastAsia"/>
          <w:color w:val="auto"/>
          <w:szCs w:val="21"/>
        </w:rPr>
        <w:t>；</w:t>
      </w:r>
      <w:r>
        <w:rPr>
          <w:rFonts w:hint="eastAsia" w:asciiTheme="minorEastAsia" w:hAnsiTheme="minorEastAsia"/>
          <w:color w:val="auto"/>
        </w:rPr>
        <w:t>F</w:t>
      </w:r>
      <w:r>
        <w:rPr>
          <w:rFonts w:hint="eastAsia" w:asciiTheme="minorEastAsia" w:hAnsiTheme="minorEastAsia"/>
          <w:color w:val="auto"/>
          <w:szCs w:val="21"/>
          <w:vertAlign w:val="subscript"/>
        </w:rPr>
        <w:t>t2</w:t>
      </w:r>
      <w:r>
        <w:rPr>
          <w:rFonts w:hint="eastAsia" w:asciiTheme="minorEastAsia" w:hAnsiTheme="minorEastAsia"/>
          <w:color w:val="auto"/>
          <w:szCs w:val="21"/>
        </w:rPr>
        <w:t>；</w:t>
      </w:r>
      <w:r>
        <w:rPr>
          <w:rFonts w:hint="eastAsia" w:asciiTheme="minorEastAsia" w:hAnsiTheme="minorEastAsia"/>
          <w:color w:val="auto"/>
        </w:rPr>
        <w:t>F</w:t>
      </w:r>
      <w:r>
        <w:rPr>
          <w:rFonts w:hint="eastAsia" w:asciiTheme="minorEastAsia" w:hAnsiTheme="minorEastAsia"/>
          <w:color w:val="auto"/>
          <w:szCs w:val="21"/>
          <w:vertAlign w:val="subscript"/>
        </w:rPr>
        <w:t>t3</w:t>
      </w:r>
      <w:r>
        <w:rPr>
          <w:rFonts w:hint="eastAsia" w:asciiTheme="minorEastAsia" w:hAnsiTheme="minorEastAsia"/>
          <w:color w:val="auto"/>
          <w:szCs w:val="21"/>
        </w:rPr>
        <w:t>·····Ftn－— 各可调因子的现行价格指数，指第17.3.3项、第17.5.2项和第17.6.2项约定的付款证书相关周期最后一天的前42天的各可调因子的价格指数；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r>
        <w:rPr>
          <w:rFonts w:hint="eastAsia" w:asciiTheme="minorEastAsia" w:hAnsiTheme="minorEastAsia"/>
          <w:color w:val="auto"/>
        </w:rPr>
        <w:t>F</w:t>
      </w:r>
      <w:r>
        <w:rPr>
          <w:rFonts w:hint="eastAsia" w:asciiTheme="minorEastAsia" w:hAnsiTheme="minorEastAsia"/>
          <w:color w:val="auto"/>
          <w:szCs w:val="21"/>
          <w:vertAlign w:val="subscript"/>
        </w:rPr>
        <w:t>o1</w:t>
      </w:r>
      <w:r>
        <w:rPr>
          <w:rFonts w:hint="eastAsia" w:asciiTheme="minorEastAsia" w:hAnsiTheme="minorEastAsia"/>
          <w:color w:val="auto"/>
          <w:szCs w:val="21"/>
        </w:rPr>
        <w:t>；</w:t>
      </w:r>
      <w:r>
        <w:rPr>
          <w:rFonts w:hint="eastAsia" w:asciiTheme="minorEastAsia" w:hAnsiTheme="minorEastAsia"/>
          <w:color w:val="auto"/>
        </w:rPr>
        <w:t>F</w:t>
      </w:r>
      <w:r>
        <w:rPr>
          <w:rFonts w:hint="eastAsia" w:asciiTheme="minorEastAsia" w:hAnsiTheme="minorEastAsia"/>
          <w:color w:val="auto"/>
          <w:szCs w:val="21"/>
          <w:vertAlign w:val="subscript"/>
        </w:rPr>
        <w:t>o2</w:t>
      </w:r>
      <w:r>
        <w:rPr>
          <w:rFonts w:hint="eastAsia" w:asciiTheme="minorEastAsia" w:hAnsiTheme="minorEastAsia"/>
          <w:color w:val="auto"/>
          <w:szCs w:val="21"/>
        </w:rPr>
        <w:t>；</w:t>
      </w:r>
      <w:r>
        <w:rPr>
          <w:rFonts w:hint="eastAsia" w:asciiTheme="minorEastAsia" w:hAnsiTheme="minorEastAsia"/>
          <w:color w:val="auto"/>
        </w:rPr>
        <w:t>F</w:t>
      </w:r>
      <w:r>
        <w:rPr>
          <w:rFonts w:hint="eastAsia" w:asciiTheme="minorEastAsia" w:hAnsiTheme="minorEastAsia"/>
          <w:color w:val="auto"/>
          <w:szCs w:val="21"/>
          <w:vertAlign w:val="subscript"/>
        </w:rPr>
        <w:t>o3</w:t>
      </w:r>
      <w:r>
        <w:rPr>
          <w:rFonts w:hint="eastAsia" w:asciiTheme="minorEastAsia" w:hAnsiTheme="minorEastAsia"/>
          <w:color w:val="auto"/>
          <w:szCs w:val="21"/>
        </w:rPr>
        <w:t>·····Fon－—各可调因子的基本价格指数，指基准日期的各可调因子的价格指数。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16.1.1.2 暂时确定调整差额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在计算调整差额时得不到现行价格指数的，可暂用上一次价格指数计算，并在以后的付款中再按实际价格指数进行调整。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16.1.1.3 权重的调整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按第15.1款约定的变更导致原定合同中的权重不合理时，由监理人与承包人和发包人协商后进行调整。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16.1.1.4 承包人工期延误后的价格调整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16.1.2采用造价信息调整价格差额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工程造价信息的来源以及价格调整的项目和系数在专用合同条款中约定。  </w:t>
      </w:r>
    </w:p>
    <w:p>
      <w:pPr>
        <w:pStyle w:val="5"/>
        <w:adjustRightInd w:val="0"/>
        <w:snapToGrid w:val="0"/>
        <w:spacing w:before="0" w:after="0" w:line="520" w:lineRule="exact"/>
        <w:rPr>
          <w:rFonts w:asciiTheme="majorEastAsia" w:hAnsiTheme="majorEastAsia" w:eastAsiaTheme="majorEastAsia"/>
          <w:color w:val="auto"/>
        </w:rPr>
      </w:pPr>
      <w:bookmarkStart w:id="589" w:name="_Toc152042496"/>
      <w:bookmarkStart w:id="590" w:name="_Toc152045717"/>
      <w:bookmarkStart w:id="591" w:name="_Toc179632735"/>
      <w:bookmarkStart w:id="592" w:name="_Toc262637920"/>
      <w:bookmarkStart w:id="593" w:name="_Toc511635922"/>
      <w:bookmarkStart w:id="594" w:name="_Toc144974688"/>
      <w:r>
        <w:rPr>
          <w:rFonts w:hint="eastAsia" w:asciiTheme="majorEastAsia" w:hAnsiTheme="majorEastAsia" w:eastAsiaTheme="majorEastAsia"/>
          <w:color w:val="auto"/>
        </w:rPr>
        <w:t>16.2 法律变化引起的价格调整</w:t>
      </w:r>
      <w:bookmarkEnd w:id="589"/>
      <w:bookmarkEnd w:id="590"/>
      <w:bookmarkEnd w:id="591"/>
      <w:bookmarkEnd w:id="592"/>
      <w:bookmarkEnd w:id="593"/>
      <w:bookmarkEnd w:id="59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4"/>
        <w:rPr>
          <w:color w:val="auto"/>
        </w:rPr>
      </w:pPr>
      <w:bookmarkStart w:id="595" w:name="_Toc511635923"/>
      <w:bookmarkStart w:id="596" w:name="_Toc515441152"/>
      <w:bookmarkStart w:id="597" w:name="_Toc516816155"/>
      <w:bookmarkStart w:id="598" w:name="_Toc516816344"/>
      <w:r>
        <w:rPr>
          <w:rFonts w:hint="eastAsia"/>
          <w:color w:val="auto"/>
        </w:rPr>
        <w:t>17 计量与支付</w:t>
      </w:r>
      <w:bookmarkEnd w:id="595"/>
      <w:bookmarkEnd w:id="596"/>
      <w:bookmarkEnd w:id="597"/>
      <w:bookmarkEnd w:id="598"/>
    </w:p>
    <w:p>
      <w:pPr>
        <w:pStyle w:val="5"/>
        <w:adjustRightInd w:val="0"/>
        <w:snapToGrid w:val="0"/>
        <w:spacing w:before="0" w:after="0" w:line="520" w:lineRule="exact"/>
        <w:rPr>
          <w:rFonts w:asciiTheme="majorEastAsia" w:hAnsiTheme="majorEastAsia" w:eastAsiaTheme="majorEastAsia"/>
          <w:color w:val="auto"/>
        </w:rPr>
      </w:pPr>
      <w:bookmarkStart w:id="599" w:name="_Toc511635924"/>
      <w:r>
        <w:rPr>
          <w:rFonts w:hint="eastAsia" w:asciiTheme="majorEastAsia" w:hAnsiTheme="majorEastAsia" w:eastAsiaTheme="majorEastAsia"/>
          <w:color w:val="auto"/>
        </w:rPr>
        <w:t>17.1 计量</w:t>
      </w:r>
      <w:bookmarkEnd w:id="5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17.1.1 计量单位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计量采用国家法定的计量单位。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17.1.2 计量方法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结算工程量应按工程量清单中约定的方法计量。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17.1.3 计量周期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除专用合同条款另有约定外，单价子目已完成工程量按月计量，总价子目的计量周期按批准的支付分解报告确定。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17.1.4 单价子目的计量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（1）已标价工程量清单中的单价子目工程量为估算工程量。结算工程量是承包人实际完成的，并按合同约定的计量方法进行计量的工程量。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（2）承包人对已完成的工程进行计量，向监理人提交进度付款申请单、已完成工程量报表和有关计量资料。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（4）监理人认为有必要时，可通知承包人共同进行联合测量、计量，承包人应遵照执行。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（6）监理人应在收到承包人提交的工程量报表后的7天内进行复核，监理人未在约定时间内复核的，承包人提交的工程量报表中的工程量视为承包人实际完成的工程量，据此计算工程价款。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17.1.5 总价子目的计量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总价子目的分解和计量按照下述约定进行。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（1）总价子目的计量和支付应以总价为基础，不因第16.1款的因素而进行调整。承包人实际完成的工程量，是进行工程目标管理和控制进度支付的依据。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应按工程量清单的要求中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（3）监理人对承包人提交的上述资料进行复核，以确定分阶段实际完成的工程量和工程形象目标。对其有异议的，可要求承包人按第8.2款约定进行共同复核和抽样复测。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（4）除按照第15条约定的变更外，总价子目的工程量是承包人用于结算的最终工程量。</w:t>
      </w:r>
    </w:p>
    <w:p>
      <w:pPr>
        <w:pStyle w:val="5"/>
        <w:adjustRightInd w:val="0"/>
        <w:snapToGrid w:val="0"/>
        <w:spacing w:before="0" w:after="0" w:line="520" w:lineRule="exact"/>
        <w:rPr>
          <w:rFonts w:asciiTheme="majorEastAsia" w:hAnsiTheme="majorEastAsia" w:eastAsiaTheme="majorEastAsia"/>
          <w:color w:val="auto"/>
        </w:rPr>
      </w:pPr>
      <w:bookmarkStart w:id="600" w:name="_Toc511635925"/>
      <w:r>
        <w:rPr>
          <w:rFonts w:hint="eastAsia" w:asciiTheme="majorEastAsia" w:hAnsiTheme="majorEastAsia" w:eastAsiaTheme="majorEastAsia"/>
          <w:color w:val="auto"/>
        </w:rPr>
        <w:t>17.2 预付款</w:t>
      </w:r>
      <w:bookmarkEnd w:id="60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17.2.1 预付款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17.2.2 预付款保函（担保）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（1）承包人应在收到第一次工程预付款的同时向发包人提交工程预付款担保，担保金额应与第一次工程预付款金额相同，工程预付款担保在第一次工程预付款被发包人扣回前一直有效。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（2）工程材料预付款的担保在专用合同条款中约定。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（3）预付款担保的担保金额可根据预付款扣回的金额相应递减。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17.2.3 预付款的扣回与还清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预付款在进度款中扣回，扣回与还清办法在专用合同条款中约定。在颁发合同工程完工证书前，由于不可抗力或其它原因解除合同时，预付款尚未扣清的，尚未扣清的预付款余额应作为承包人的到期应付款。</w:t>
      </w:r>
    </w:p>
    <w:p>
      <w:pPr>
        <w:pStyle w:val="5"/>
        <w:adjustRightInd w:val="0"/>
        <w:snapToGrid w:val="0"/>
        <w:spacing w:before="0" w:after="0" w:line="520" w:lineRule="exact"/>
        <w:rPr>
          <w:rFonts w:asciiTheme="majorEastAsia" w:hAnsiTheme="majorEastAsia" w:eastAsiaTheme="majorEastAsia"/>
          <w:color w:val="auto"/>
        </w:rPr>
      </w:pPr>
      <w:bookmarkStart w:id="601" w:name="_Toc511635926"/>
      <w:r>
        <w:rPr>
          <w:rFonts w:hint="eastAsia" w:asciiTheme="majorEastAsia" w:hAnsiTheme="majorEastAsia" w:eastAsiaTheme="majorEastAsia"/>
          <w:color w:val="auto"/>
        </w:rPr>
        <w:t>17.3 工程进度付款</w:t>
      </w:r>
      <w:bookmarkEnd w:id="60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17.3.1 付款周期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付款周期同计量周期。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17.3.2 进度付款申请单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（1）截至本次付款周期末已实施工程的价款。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（2）根据第15条应增加和扣减的变更金额。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（3）根据第23条应增加和扣减的索赔金额。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（4）根据第17.2款约定应支付的预付款和扣减的返还预付款。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（5）根据第17.4.1项约定应扣减的质量保证金。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（6）根据合同应增加和扣减的其他金额。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17.3.3 进度付款证书和支付时间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（2）发包人应在监理人收到进度付款申请单后的28天内，将进度应付款支付给承包人。发包人不按期支付的，按专用合同条款的约定支付逾期付款违约金。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（3）监理人出具进度付款证书，不应视为监理人已同意、批准或接受了承包人完成的该部分工作。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（4）进度付款涉及政府投资资金的，按照国库集中支付等国家相关规定和专用合同条款的约定办理。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17.3.4 工程进度付款的修正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在对以往历次已签发的进度付款证书进行汇总和复核中发现错、漏或重复的，监理人有权予以修正，承包人也有权提出修正申请。经双方复核同意的修正，应在本次进度付款中支付或扣除。</w:t>
      </w:r>
    </w:p>
    <w:p>
      <w:pPr>
        <w:pStyle w:val="5"/>
        <w:adjustRightInd w:val="0"/>
        <w:snapToGrid w:val="0"/>
        <w:spacing w:before="0" w:after="0" w:line="520" w:lineRule="exact"/>
        <w:rPr>
          <w:rFonts w:asciiTheme="majorEastAsia" w:hAnsiTheme="majorEastAsia" w:eastAsiaTheme="majorEastAsia"/>
          <w:color w:val="auto"/>
        </w:rPr>
      </w:pPr>
      <w:bookmarkStart w:id="602" w:name="_Toc511635927"/>
      <w:r>
        <w:rPr>
          <w:rFonts w:hint="eastAsia" w:asciiTheme="majorEastAsia" w:hAnsiTheme="majorEastAsia" w:eastAsiaTheme="majorEastAsia"/>
          <w:color w:val="auto"/>
        </w:rPr>
        <w:t>17.4 质量保证金</w:t>
      </w:r>
      <w:bookmarkEnd w:id="6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17.4.1 监理人应从第一个工程进度付款周期开始，在发包人的进度款中，按专用合同条款的约定扣留质量保证金，直至扣留的质量保证金总额达到专用合同条款约定的金额或比例为止。质量保证金的计算额度不包括预付款的支付与扣回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17.4.2 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17.4.3 在第1.1.4.5目约定的缺陷责任期满时，承包人没有完成缺陷责任的，发包人有权扣留与未履行责任剩余工作所需金额相应的质量保证金余额，并有权根据第19.3款约定要求延长缺陷责任期，直至完成剩余工作为止。</w:t>
      </w:r>
    </w:p>
    <w:p>
      <w:pPr>
        <w:pStyle w:val="5"/>
        <w:adjustRightInd w:val="0"/>
        <w:snapToGrid w:val="0"/>
        <w:spacing w:before="0" w:after="0" w:line="520" w:lineRule="exact"/>
        <w:rPr>
          <w:rFonts w:asciiTheme="majorEastAsia" w:hAnsiTheme="majorEastAsia" w:eastAsiaTheme="majorEastAsia"/>
          <w:color w:val="auto"/>
        </w:rPr>
      </w:pPr>
      <w:bookmarkStart w:id="603" w:name="_Toc511635928"/>
      <w:r>
        <w:rPr>
          <w:rFonts w:hint="eastAsia" w:asciiTheme="majorEastAsia" w:hAnsiTheme="majorEastAsia" w:eastAsiaTheme="majorEastAsia"/>
          <w:color w:val="auto"/>
        </w:rPr>
        <w:t>17.5 竣工结算（完工结算）</w:t>
      </w:r>
      <w:bookmarkEnd w:id="60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17.5.1 竣工（完工）付款申请单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（2）监理人对完工付款申请单持有异议的，有权要求承包人进行修正和提供补充资料。经监理人和承包人协商后，由承包人向监理人提交修正后的完工付款申请单。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17.5.2 竣工（完工）付款证书及支付时间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（2）发包人应在监理人出具完工付款证书后的14天内，将应支付款支付给承包人。发包人不按期支付的，按第17.3.3（2）目的约定，将逾期付款违约金支付给承包人。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（3）承包人对发包人签认的完工付款证书持有异议的，发包人可出具完工付款申请单中承包人已同意部分的临时付款证书。存在争议的部分，按第24条的约定办理。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（4）完工付款申请涉及政府投资资金的，按第17.3.3（4）目的约定办理。</w:t>
      </w:r>
    </w:p>
    <w:p>
      <w:pPr>
        <w:pStyle w:val="5"/>
        <w:adjustRightInd w:val="0"/>
        <w:snapToGrid w:val="0"/>
        <w:spacing w:before="0" w:after="0" w:line="520" w:lineRule="exact"/>
        <w:rPr>
          <w:rFonts w:asciiTheme="majorEastAsia" w:hAnsiTheme="majorEastAsia" w:eastAsiaTheme="majorEastAsia"/>
          <w:color w:val="auto"/>
        </w:rPr>
      </w:pPr>
      <w:bookmarkStart w:id="604" w:name="_Toc511635929"/>
      <w:r>
        <w:rPr>
          <w:rFonts w:hint="eastAsia" w:asciiTheme="majorEastAsia" w:hAnsiTheme="majorEastAsia" w:eastAsiaTheme="majorEastAsia"/>
          <w:color w:val="auto"/>
        </w:rPr>
        <w:t>17.6 最终结清</w:t>
      </w:r>
      <w:bookmarkEnd w:id="60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17.6.1 最终结清申请单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（1）工程质量保修责任终止证书签发后，承包人应按监理人批准的格式提交最终结清申请单。提交最终结清申请单的份数在专用合同条款中约定。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（2）发包人对最终结清申请单内容有异议的，有权要求承包人进行修正和提供补充资料，由承包人向监理人提交修正后的最终结清申请单。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17.6.2 最终结清证书和支付时间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（2）发包人应在监理人出具最终结清证书后的14天内，将应支付款支付给承包人。发包人不按期支付的，按第17.3.3（2）目的约定，将逾期付款违约金支付给承包人。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（3）承包人对发包人签认的最终结清证书有异议的，按第24条的约定办理。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（4）最终结清付款涉及政府投资资金的，按第17.3.3（4）目的约定办理。</w:t>
      </w:r>
    </w:p>
    <w:p>
      <w:pPr>
        <w:pStyle w:val="5"/>
        <w:adjustRightInd w:val="0"/>
        <w:snapToGrid w:val="0"/>
        <w:spacing w:before="0" w:after="0" w:line="520" w:lineRule="exact"/>
        <w:rPr>
          <w:rFonts w:asciiTheme="majorEastAsia" w:hAnsiTheme="majorEastAsia" w:eastAsiaTheme="majorEastAsia"/>
          <w:color w:val="auto"/>
        </w:rPr>
      </w:pPr>
      <w:bookmarkStart w:id="605" w:name="_Toc511635930"/>
      <w:r>
        <w:rPr>
          <w:rFonts w:hint="eastAsia" w:asciiTheme="majorEastAsia" w:hAnsiTheme="majorEastAsia" w:eastAsiaTheme="majorEastAsia"/>
          <w:color w:val="auto"/>
        </w:rPr>
        <w:t>17.7 竣工财务决算</w:t>
      </w:r>
      <w:bookmarkEnd w:id="60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发包人负责编制本工程项目竣工财务决算，承包人应按专用合同条款的约定提供竣工财务决算编制所需的相关材料。</w:t>
      </w:r>
    </w:p>
    <w:p>
      <w:pPr>
        <w:pStyle w:val="5"/>
        <w:adjustRightInd w:val="0"/>
        <w:snapToGrid w:val="0"/>
        <w:spacing w:before="0" w:after="0" w:line="520" w:lineRule="exact"/>
        <w:rPr>
          <w:rFonts w:asciiTheme="majorEastAsia" w:hAnsiTheme="majorEastAsia" w:eastAsiaTheme="majorEastAsia"/>
          <w:color w:val="auto"/>
        </w:rPr>
      </w:pPr>
      <w:bookmarkStart w:id="606" w:name="_Toc511635931"/>
      <w:r>
        <w:rPr>
          <w:rFonts w:hint="eastAsia" w:asciiTheme="majorEastAsia" w:hAnsiTheme="majorEastAsia" w:eastAsiaTheme="majorEastAsia"/>
          <w:color w:val="auto"/>
        </w:rPr>
        <w:t>17.8 竣工审计</w:t>
      </w:r>
      <w:bookmarkEnd w:id="60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发包人负责完成本工程竣工审计手续，承包人应完成相关配合工作。</w:t>
      </w:r>
    </w:p>
    <w:p>
      <w:pPr>
        <w:pStyle w:val="4"/>
        <w:rPr>
          <w:color w:val="auto"/>
        </w:rPr>
      </w:pPr>
      <w:bookmarkStart w:id="607" w:name="_Toc511635932"/>
      <w:bookmarkStart w:id="608" w:name="_Toc515441153"/>
      <w:bookmarkStart w:id="609" w:name="_Toc516816156"/>
      <w:bookmarkStart w:id="610" w:name="_Toc516816345"/>
      <w:r>
        <w:rPr>
          <w:rFonts w:hint="eastAsia"/>
          <w:color w:val="auto"/>
        </w:rPr>
        <w:t>18 竣工验收（验收）</w:t>
      </w:r>
      <w:bookmarkEnd w:id="607"/>
      <w:bookmarkEnd w:id="608"/>
      <w:bookmarkEnd w:id="609"/>
      <w:bookmarkEnd w:id="610"/>
    </w:p>
    <w:p>
      <w:pPr>
        <w:pStyle w:val="5"/>
        <w:adjustRightInd w:val="0"/>
        <w:snapToGrid w:val="0"/>
        <w:spacing w:before="0" w:after="0" w:line="520" w:lineRule="exact"/>
        <w:rPr>
          <w:rFonts w:asciiTheme="majorEastAsia" w:hAnsiTheme="majorEastAsia" w:eastAsiaTheme="majorEastAsia"/>
          <w:color w:val="auto"/>
        </w:rPr>
      </w:pPr>
      <w:bookmarkStart w:id="611" w:name="_Toc511635933"/>
      <w:r>
        <w:rPr>
          <w:rFonts w:hint="eastAsia" w:asciiTheme="majorEastAsia" w:hAnsiTheme="majorEastAsia" w:eastAsiaTheme="majorEastAsia"/>
          <w:color w:val="auto"/>
        </w:rPr>
        <w:t>18.1 验收工作分类</w:t>
      </w:r>
      <w:bookmarkEnd w:id="61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工程验收工作按主持单位分为法人验收和政府验收。法人验收和政府验收的类别在专用合同条款中约定。除专用合同条款另有约定外，法人验收由发包人主持。承包人应按完成法人验收和政府验收的配合工作，所需费用应含在已标价工程量清单中。</w:t>
      </w:r>
    </w:p>
    <w:p>
      <w:pPr>
        <w:pStyle w:val="5"/>
        <w:adjustRightInd w:val="0"/>
        <w:snapToGrid w:val="0"/>
        <w:spacing w:before="0" w:after="0" w:line="520" w:lineRule="exact"/>
        <w:rPr>
          <w:rFonts w:asciiTheme="majorEastAsia" w:hAnsiTheme="majorEastAsia" w:eastAsiaTheme="majorEastAsia"/>
          <w:color w:val="auto"/>
        </w:rPr>
      </w:pPr>
      <w:bookmarkStart w:id="612" w:name="_Toc511635934"/>
      <w:r>
        <w:rPr>
          <w:rFonts w:hint="eastAsia" w:asciiTheme="majorEastAsia" w:hAnsiTheme="majorEastAsia" w:eastAsiaTheme="majorEastAsia"/>
          <w:color w:val="auto"/>
        </w:rPr>
        <w:t>18.2 分部工程验收</w:t>
      </w:r>
      <w:bookmarkEnd w:id="61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18.2.1 分部工程具备验收条件时，承包人应向发包人提交验收申请报告，发包人应在收到验收申请报告之日起10个工作日内决定是否同意进行验收。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18.2.2 除专用合同条款另有约定外，监理人主持分部工程验收，承包人应派符合条件的代表参加验收工作组。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18.2.3 分部工程验收通过后，发包人向承包人发送分部工程验收鉴定书。承包人应及时完成分部工程验收鉴定书载明应由承包人处理的遗留问题。</w:t>
      </w:r>
    </w:p>
    <w:p>
      <w:pPr>
        <w:pStyle w:val="5"/>
        <w:adjustRightInd w:val="0"/>
        <w:snapToGrid w:val="0"/>
        <w:spacing w:before="0" w:after="0" w:line="520" w:lineRule="exact"/>
        <w:rPr>
          <w:rFonts w:asciiTheme="majorEastAsia" w:hAnsiTheme="majorEastAsia" w:eastAsiaTheme="majorEastAsia"/>
          <w:color w:val="auto"/>
        </w:rPr>
      </w:pPr>
      <w:bookmarkStart w:id="613" w:name="_Toc511635935"/>
      <w:r>
        <w:rPr>
          <w:rFonts w:hint="eastAsia" w:asciiTheme="majorEastAsia" w:hAnsiTheme="majorEastAsia" w:eastAsiaTheme="majorEastAsia"/>
          <w:color w:val="auto"/>
        </w:rPr>
        <w:t>18.3 单位工程验收</w:t>
      </w:r>
      <w:bookmarkEnd w:id="61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18.3.1 单位工程具备验收提交时，承包人应向发包人提交验收申请报告，发包人应在收到验收申请报告之日起10个工作日内决定是否同意进行验收。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18.3.2 发包人主持单位工程验收，承包人应派符合条件的代表参加验收工作组。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18.3.3 单位工程验收通过后，发包人向承包人发送单位工程验收鉴定书。承包人应及时完成单位工程验收鉴定书载明应由承包人处理的遗留问题。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18.3.4 需提前投入使用的单位工程在专用合同条款中明确。</w:t>
      </w:r>
    </w:p>
    <w:p>
      <w:pPr>
        <w:pStyle w:val="5"/>
        <w:adjustRightInd w:val="0"/>
        <w:snapToGrid w:val="0"/>
        <w:spacing w:before="0" w:after="0" w:line="520" w:lineRule="exact"/>
        <w:rPr>
          <w:rFonts w:asciiTheme="majorEastAsia" w:hAnsiTheme="majorEastAsia" w:eastAsiaTheme="majorEastAsia"/>
          <w:color w:val="auto"/>
        </w:rPr>
      </w:pPr>
      <w:bookmarkStart w:id="614" w:name="_Toc511635936"/>
      <w:r>
        <w:rPr>
          <w:rFonts w:hint="eastAsia" w:asciiTheme="majorEastAsia" w:hAnsiTheme="majorEastAsia" w:eastAsiaTheme="majorEastAsia"/>
          <w:color w:val="auto"/>
        </w:rPr>
        <w:t>18.4 合同工程完工验收</w:t>
      </w:r>
      <w:bookmarkEnd w:id="61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18.4.1 合同工程具备验收条件时，承包人应向发包人提交验收申请报告，发包人应在收到验收申请报告之日起20个工作日内决定是否同意进行验收。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18.4.2 发包人主持合同工程完工验收，承包人应派代表参加验收工作组。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18.4.3 合同工程完工验收通过后，发包人向承包人发送合同工程完工验收鉴定书。承包人应及时完成合同工程完工验收鉴定书载明应由承包人处理的遗留问题。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18.4.4 合同工程完工验收通过后，发包人与承包人应在30个工作日内组织专人负责工程交接，双方交接负责人应在交接记录上签字。承包人应按验收鉴定书约定的时间及时移交工程及其挡案资料。工程移交时，承包人应向发包人递交工程质量保修书。在承包人递交了工程质量保修书、完成施工场地清理以及提交有关资料后，发包人应在30个工作日内向承包人颁发合同工程完工证书。</w:t>
      </w:r>
    </w:p>
    <w:p>
      <w:pPr>
        <w:pStyle w:val="5"/>
        <w:adjustRightInd w:val="0"/>
        <w:snapToGrid w:val="0"/>
        <w:spacing w:before="0" w:after="0" w:line="520" w:lineRule="exact"/>
        <w:rPr>
          <w:rFonts w:asciiTheme="majorEastAsia" w:hAnsiTheme="majorEastAsia" w:eastAsiaTheme="majorEastAsia"/>
          <w:color w:val="auto"/>
        </w:rPr>
      </w:pPr>
      <w:bookmarkStart w:id="615" w:name="_Toc511635937"/>
      <w:r>
        <w:rPr>
          <w:rFonts w:hint="eastAsia" w:asciiTheme="majorEastAsia" w:hAnsiTheme="majorEastAsia" w:eastAsiaTheme="majorEastAsia"/>
          <w:color w:val="auto"/>
        </w:rPr>
        <w:t>18.5 阶段验收</w:t>
      </w:r>
      <w:bookmarkEnd w:id="61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18.5.1 工程建设具备阶段验收条件时，发包人负责提出阶段验收申请报告。承包人应派代表参加阶段验收，并作为被验收单位在验收鉴定书上签字。阶段验收的具体类别在专用合同条款中约定。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18.5.2 承包人应及时完成阶段验收鉴定书载明应由承包人处理的遗留问题。</w:t>
      </w:r>
    </w:p>
    <w:p>
      <w:pPr>
        <w:pStyle w:val="5"/>
        <w:adjustRightInd w:val="0"/>
        <w:snapToGrid w:val="0"/>
        <w:spacing w:before="0" w:after="0" w:line="520" w:lineRule="exact"/>
        <w:rPr>
          <w:rFonts w:asciiTheme="majorEastAsia" w:hAnsiTheme="majorEastAsia" w:eastAsiaTheme="majorEastAsia"/>
          <w:color w:val="auto"/>
        </w:rPr>
      </w:pPr>
      <w:bookmarkStart w:id="616" w:name="_Toc511635938"/>
      <w:r>
        <w:rPr>
          <w:rFonts w:hint="eastAsia" w:asciiTheme="majorEastAsia" w:hAnsiTheme="majorEastAsia" w:eastAsiaTheme="majorEastAsia"/>
          <w:color w:val="auto"/>
        </w:rPr>
        <w:t>18.6 专项验收</w:t>
      </w:r>
      <w:bookmarkEnd w:id="61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18.6.1 发包人负责提出专项验收申请报告。承包人应按专项验收的相关规定参加专项验收。专项验收的具体类别在专用合同条款中约定。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18.6.2 承包人应及时完成专项验收成果性文件载明应由承包人处理的遗留问题。</w:t>
      </w:r>
    </w:p>
    <w:p>
      <w:pPr>
        <w:pStyle w:val="5"/>
        <w:adjustRightInd w:val="0"/>
        <w:snapToGrid w:val="0"/>
        <w:spacing w:before="0" w:after="0" w:line="520" w:lineRule="exact"/>
        <w:rPr>
          <w:rFonts w:asciiTheme="majorEastAsia" w:hAnsiTheme="majorEastAsia" w:eastAsiaTheme="majorEastAsia"/>
          <w:color w:val="auto"/>
        </w:rPr>
      </w:pPr>
      <w:bookmarkStart w:id="617" w:name="_Toc511635939"/>
      <w:r>
        <w:rPr>
          <w:rFonts w:hint="eastAsia" w:asciiTheme="majorEastAsia" w:hAnsiTheme="majorEastAsia" w:eastAsiaTheme="majorEastAsia"/>
          <w:color w:val="auto"/>
        </w:rPr>
        <w:t>18.7 竣工验收</w:t>
      </w:r>
      <w:bookmarkEnd w:id="61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18.7.1 申请竣工验收前，发包人组织竣工验收自查，承包人应派代表参加。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18.7.2 竣工验收分为竣工技术预验收和竣工验收两个阶段。发包人应通知承包人派代表参加技术预验收和竣工验收。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18.7.3 专用合同条款约定工程需要进行技术鉴定的，承包人应提交有关资料并完成配合工作。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18.7.4 竣工验收需要进行质量检测的，所需费用由发包人承担，但因承包人原因造成质量不合格的除外。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18.7.5 工程质量保修期满以及竣工验收遗留问题和尾工处理完成并通过验收后，发包人负责将处理情况和验收成果报送竣工验收主持单位，申请领取工程竣工证书，并发送承包人。</w:t>
      </w:r>
    </w:p>
    <w:p>
      <w:pPr>
        <w:pStyle w:val="5"/>
        <w:adjustRightInd w:val="0"/>
        <w:snapToGrid w:val="0"/>
        <w:spacing w:before="0" w:after="0" w:line="520" w:lineRule="exact"/>
        <w:rPr>
          <w:color w:val="auto"/>
        </w:rPr>
      </w:pPr>
      <w:bookmarkStart w:id="618" w:name="_Toc511635940"/>
      <w:r>
        <w:rPr>
          <w:rFonts w:hint="eastAsia" w:asciiTheme="majorEastAsia" w:hAnsiTheme="majorEastAsia" w:eastAsiaTheme="majorEastAsia"/>
          <w:color w:val="auto"/>
        </w:rPr>
        <w:t>18.8 施工期运行</w:t>
      </w:r>
      <w:bookmarkEnd w:id="61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18.8.1 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18.8.2 在施工期运行中发现工程或工程设备损坏或存在缺陷的，由承包人按第19.2款约定进行修复。</w:t>
      </w:r>
    </w:p>
    <w:p>
      <w:pPr>
        <w:pStyle w:val="5"/>
        <w:adjustRightInd w:val="0"/>
        <w:snapToGrid w:val="0"/>
        <w:spacing w:before="0" w:after="0" w:line="520" w:lineRule="exact"/>
        <w:rPr>
          <w:rFonts w:asciiTheme="majorEastAsia" w:hAnsiTheme="majorEastAsia" w:eastAsiaTheme="majorEastAsia"/>
          <w:color w:val="auto"/>
        </w:rPr>
      </w:pPr>
      <w:bookmarkStart w:id="619" w:name="_Toc511635941"/>
      <w:r>
        <w:rPr>
          <w:rFonts w:hint="eastAsia" w:asciiTheme="majorEastAsia" w:hAnsiTheme="majorEastAsia" w:eastAsiaTheme="majorEastAsia"/>
          <w:color w:val="auto"/>
        </w:rPr>
        <w:t>18.9 试运行</w:t>
      </w:r>
      <w:bookmarkEnd w:id="61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18.9.1 除专用合同条款另有约定外，承包人应按规定进行工程及工程设备试运行，负责提供试运行所需的人员、器材和必要的条件，并承担全部试运行费用。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5"/>
        <w:adjustRightInd w:val="0"/>
        <w:snapToGrid w:val="0"/>
        <w:spacing w:before="0" w:after="0" w:line="520" w:lineRule="exact"/>
        <w:rPr>
          <w:rFonts w:asciiTheme="majorEastAsia" w:hAnsiTheme="majorEastAsia" w:eastAsiaTheme="majorEastAsia"/>
          <w:color w:val="auto"/>
        </w:rPr>
      </w:pPr>
      <w:bookmarkStart w:id="620" w:name="_Toc511635942"/>
      <w:r>
        <w:rPr>
          <w:rFonts w:hint="eastAsia" w:asciiTheme="majorEastAsia" w:hAnsiTheme="majorEastAsia" w:eastAsiaTheme="majorEastAsia"/>
          <w:color w:val="auto"/>
        </w:rPr>
        <w:t>18.10 竣工（完工）清场</w:t>
      </w:r>
      <w:bookmarkEnd w:id="62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18.10.1 工程项目竣工（完工）清场的工作范围和内容在技术标准和要求（合同技术条款）中约定。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18.10.2 承包人未按监理人的要求恢复临时占地，或者场地清理未达到合同约定的，发包人有权委托其他人恢复或清理，所发生的金额从拟支付给承包人的款项中扣除。</w:t>
      </w:r>
    </w:p>
    <w:p>
      <w:pPr>
        <w:pStyle w:val="5"/>
        <w:adjustRightInd w:val="0"/>
        <w:snapToGrid w:val="0"/>
        <w:spacing w:before="0" w:after="0" w:line="520" w:lineRule="exact"/>
        <w:rPr>
          <w:rFonts w:asciiTheme="majorEastAsia" w:hAnsiTheme="majorEastAsia" w:eastAsiaTheme="majorEastAsia"/>
          <w:color w:val="auto"/>
        </w:rPr>
      </w:pPr>
      <w:bookmarkStart w:id="621" w:name="_Toc511635943"/>
      <w:r>
        <w:rPr>
          <w:rFonts w:hint="eastAsia" w:asciiTheme="majorEastAsia" w:hAnsiTheme="majorEastAsia" w:eastAsiaTheme="majorEastAsia"/>
          <w:color w:val="auto"/>
        </w:rPr>
        <w:t>18.11 施工队伍的撤离</w:t>
      </w:r>
      <w:bookmarkEnd w:id="6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pPr>
        <w:pStyle w:val="4"/>
        <w:rPr>
          <w:color w:val="auto"/>
        </w:rPr>
      </w:pPr>
      <w:bookmarkStart w:id="622" w:name="_Toc515441154"/>
      <w:bookmarkStart w:id="623" w:name="_Toc511635944"/>
      <w:bookmarkStart w:id="624" w:name="_Toc516816157"/>
      <w:bookmarkStart w:id="625" w:name="_Toc516816346"/>
      <w:r>
        <w:rPr>
          <w:rFonts w:hint="eastAsia"/>
          <w:color w:val="auto"/>
        </w:rPr>
        <w:t>19 缺陷责任与保修责任</w:t>
      </w:r>
      <w:bookmarkEnd w:id="622"/>
      <w:bookmarkEnd w:id="623"/>
      <w:bookmarkEnd w:id="624"/>
      <w:bookmarkEnd w:id="625"/>
    </w:p>
    <w:p>
      <w:pPr>
        <w:pStyle w:val="5"/>
        <w:adjustRightInd w:val="0"/>
        <w:snapToGrid w:val="0"/>
        <w:spacing w:before="0" w:after="0" w:line="520" w:lineRule="exact"/>
        <w:rPr>
          <w:rFonts w:asciiTheme="majorEastAsia" w:hAnsiTheme="majorEastAsia" w:eastAsiaTheme="majorEastAsia"/>
          <w:color w:val="auto"/>
        </w:rPr>
      </w:pPr>
      <w:bookmarkStart w:id="626" w:name="_Toc511635945"/>
      <w:r>
        <w:rPr>
          <w:rFonts w:hint="eastAsia" w:asciiTheme="majorEastAsia" w:hAnsiTheme="majorEastAsia" w:eastAsiaTheme="majorEastAsia"/>
          <w:color w:val="auto"/>
        </w:rPr>
        <w:t>19.1 缺陷责任期（工程质量保修期）的起算时间</w:t>
      </w:r>
      <w:bookmarkEnd w:id="62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缺陷责任期（工程质量保修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其缺陷责任期（工程质量保修期）的期限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627" w:name="_Toc511635946"/>
      <w:r>
        <w:rPr>
          <w:rFonts w:hint="eastAsia" w:asciiTheme="majorEastAsia" w:hAnsiTheme="majorEastAsia" w:eastAsiaTheme="majorEastAsia"/>
          <w:color w:val="auto"/>
        </w:rPr>
        <w:t>19.2 缺陷责任</w:t>
      </w:r>
      <w:bookmarkEnd w:id="6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19.2.1 承包人应在缺陷责任期内对已交付使用的工程承担缺陷责任。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19.2.4 承包人不能在合理时间内修复缺陷的，发包人可自行修复或委托其他人修复，所需费用和利润的承担，按第19.2.3项约定办理。</w:t>
      </w:r>
    </w:p>
    <w:p>
      <w:pPr>
        <w:pStyle w:val="5"/>
        <w:adjustRightInd w:val="0"/>
        <w:snapToGrid w:val="0"/>
        <w:spacing w:before="0" w:after="0" w:line="520" w:lineRule="exact"/>
        <w:rPr>
          <w:rFonts w:asciiTheme="majorEastAsia" w:hAnsiTheme="majorEastAsia" w:eastAsiaTheme="majorEastAsia"/>
          <w:color w:val="auto"/>
        </w:rPr>
      </w:pPr>
      <w:bookmarkStart w:id="628" w:name="_Toc511635947"/>
      <w:r>
        <w:rPr>
          <w:rFonts w:hint="eastAsia" w:asciiTheme="majorEastAsia" w:hAnsiTheme="majorEastAsia" w:eastAsiaTheme="majorEastAsia"/>
          <w:color w:val="auto"/>
        </w:rPr>
        <w:t>19.3 缺陷责任期的延长</w:t>
      </w:r>
      <w:bookmarkEnd w:id="62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5"/>
        <w:adjustRightInd w:val="0"/>
        <w:snapToGrid w:val="0"/>
        <w:spacing w:before="0" w:after="0" w:line="520" w:lineRule="exact"/>
        <w:rPr>
          <w:rFonts w:asciiTheme="majorEastAsia" w:hAnsiTheme="majorEastAsia" w:eastAsiaTheme="majorEastAsia"/>
          <w:color w:val="auto"/>
        </w:rPr>
      </w:pPr>
      <w:bookmarkStart w:id="629" w:name="_Toc511635948"/>
      <w:r>
        <w:rPr>
          <w:rFonts w:hint="eastAsia" w:asciiTheme="majorEastAsia" w:hAnsiTheme="majorEastAsia" w:eastAsiaTheme="majorEastAsia"/>
          <w:color w:val="auto"/>
        </w:rPr>
        <w:t>19.4 进一步试验和试运行</w:t>
      </w:r>
      <w:bookmarkEnd w:id="6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任何一项缺陷或损坏修复后，经检查证明其影响了工程或工程设备的使用性能，承包人应重新进行合同约定的试验和试运行，试验和试运行的全部费用应由责任方承担。</w:t>
      </w:r>
    </w:p>
    <w:p>
      <w:pPr>
        <w:pStyle w:val="5"/>
        <w:adjustRightInd w:val="0"/>
        <w:snapToGrid w:val="0"/>
        <w:spacing w:before="0" w:after="0" w:line="520" w:lineRule="exact"/>
        <w:rPr>
          <w:rFonts w:asciiTheme="majorEastAsia" w:hAnsiTheme="majorEastAsia" w:eastAsiaTheme="majorEastAsia"/>
          <w:color w:val="auto"/>
        </w:rPr>
      </w:pPr>
      <w:bookmarkStart w:id="630" w:name="_Toc511635949"/>
      <w:r>
        <w:rPr>
          <w:rFonts w:hint="eastAsia" w:asciiTheme="majorEastAsia" w:hAnsiTheme="majorEastAsia" w:eastAsiaTheme="majorEastAsia"/>
          <w:color w:val="auto"/>
        </w:rPr>
        <w:t>19.5 承包人的进入权</w:t>
      </w:r>
      <w:bookmarkEnd w:id="6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缺陷责任期内承包人为缺陷修复工作需要，有权进入工程现场，但应遵守发包人的保安和保密规定。</w:t>
      </w:r>
    </w:p>
    <w:p>
      <w:pPr>
        <w:pStyle w:val="5"/>
        <w:adjustRightInd w:val="0"/>
        <w:snapToGrid w:val="0"/>
        <w:spacing w:before="0" w:after="0" w:line="520" w:lineRule="exact"/>
        <w:rPr>
          <w:rFonts w:asciiTheme="majorEastAsia" w:hAnsiTheme="majorEastAsia" w:eastAsiaTheme="majorEastAsia"/>
          <w:color w:val="auto"/>
        </w:rPr>
      </w:pPr>
      <w:bookmarkStart w:id="631" w:name="_Toc511635950"/>
      <w:r>
        <w:rPr>
          <w:rFonts w:hint="eastAsia" w:asciiTheme="majorEastAsia" w:hAnsiTheme="majorEastAsia" w:eastAsiaTheme="majorEastAsia"/>
          <w:color w:val="auto"/>
        </w:rPr>
        <w:t>19.6 其缺陷责任期终止证书（工程质量保修责任期终止证书）</w:t>
      </w:r>
      <w:bookmarkEnd w:id="6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合同工程完工验收或投入使用验收后，发包人与承包人应办理工程交接手续，承包人应向发包人递交工程质量保修书。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缺陷责任期（工程质量保修期）满后30个工作日内，发包人应向承包人颁发工程质量保修责任终止证书，并退还剩余的质量保证金，但保修责任范围内的质量缺陷未处理完成的应除外。</w:t>
      </w:r>
    </w:p>
    <w:p>
      <w:pPr>
        <w:pStyle w:val="5"/>
        <w:adjustRightInd w:val="0"/>
        <w:snapToGrid w:val="0"/>
        <w:spacing w:before="0" w:after="0" w:line="520" w:lineRule="exact"/>
        <w:rPr>
          <w:rFonts w:asciiTheme="majorEastAsia" w:hAnsiTheme="majorEastAsia" w:eastAsiaTheme="majorEastAsia"/>
          <w:color w:val="auto"/>
        </w:rPr>
      </w:pPr>
      <w:bookmarkStart w:id="632" w:name="_Toc511635951"/>
      <w:r>
        <w:rPr>
          <w:rFonts w:hint="eastAsia" w:asciiTheme="majorEastAsia" w:hAnsiTheme="majorEastAsia" w:eastAsiaTheme="majorEastAsia"/>
          <w:color w:val="auto"/>
        </w:rPr>
        <w:t>19.7 保修责任</w:t>
      </w:r>
      <w:bookmarkEnd w:id="63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4"/>
        <w:rPr>
          <w:color w:val="auto"/>
        </w:rPr>
      </w:pPr>
      <w:bookmarkStart w:id="633" w:name="_Toc511635952"/>
      <w:bookmarkStart w:id="634" w:name="_Toc515441155"/>
      <w:bookmarkStart w:id="635" w:name="_Toc516816158"/>
      <w:bookmarkStart w:id="636" w:name="_Toc516816347"/>
      <w:r>
        <w:rPr>
          <w:rFonts w:hint="eastAsia"/>
          <w:color w:val="auto"/>
        </w:rPr>
        <w:t>20 保险</w:t>
      </w:r>
      <w:bookmarkEnd w:id="633"/>
      <w:bookmarkEnd w:id="634"/>
      <w:bookmarkEnd w:id="635"/>
      <w:bookmarkEnd w:id="636"/>
    </w:p>
    <w:p>
      <w:pPr>
        <w:pStyle w:val="5"/>
        <w:adjustRightInd w:val="0"/>
        <w:snapToGrid w:val="0"/>
        <w:spacing w:before="0" w:after="0" w:line="520" w:lineRule="exact"/>
        <w:rPr>
          <w:rFonts w:asciiTheme="majorEastAsia" w:hAnsiTheme="majorEastAsia" w:eastAsiaTheme="majorEastAsia"/>
          <w:color w:val="auto"/>
        </w:rPr>
      </w:pPr>
      <w:bookmarkStart w:id="637" w:name="_Toc511635953"/>
      <w:r>
        <w:rPr>
          <w:rFonts w:hint="eastAsia" w:asciiTheme="majorEastAsia" w:hAnsiTheme="majorEastAsia" w:eastAsiaTheme="majorEastAsia"/>
          <w:color w:val="auto"/>
        </w:rPr>
        <w:t>20.1 工程保险</w:t>
      </w:r>
      <w:bookmarkEnd w:id="6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638" w:name="_Toc511635954"/>
      <w:r>
        <w:rPr>
          <w:rFonts w:hint="eastAsia" w:asciiTheme="majorEastAsia" w:hAnsiTheme="majorEastAsia" w:eastAsiaTheme="majorEastAsia"/>
          <w:color w:val="auto"/>
        </w:rPr>
        <w:t>20.2 人员工伤事故的保险</w:t>
      </w:r>
      <w:bookmarkEnd w:id="6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20.2.1 承包人员工伤事故的保险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承包人应依照有关法律规定参加工伤保险，为其履行合同所雇佣的全部人员，缴纳工伤保险费，并要求其分包人也进行此项保险。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20.2.2 发包人员工伤事故的保险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发包人应依照有关法律规定参加工伤保险，为其现场机构雇佣的全部人员，缴纳工伤保险费，并要求其监理人也进行此项保险。</w:t>
      </w:r>
    </w:p>
    <w:p>
      <w:pPr>
        <w:pStyle w:val="5"/>
        <w:adjustRightInd w:val="0"/>
        <w:snapToGrid w:val="0"/>
        <w:spacing w:before="0" w:after="0" w:line="520" w:lineRule="exact"/>
        <w:rPr>
          <w:rFonts w:asciiTheme="majorEastAsia" w:hAnsiTheme="majorEastAsia" w:eastAsiaTheme="majorEastAsia"/>
          <w:color w:val="auto"/>
        </w:rPr>
      </w:pPr>
      <w:bookmarkStart w:id="639" w:name="_Toc511635955"/>
      <w:r>
        <w:rPr>
          <w:rFonts w:hint="eastAsia" w:asciiTheme="majorEastAsia" w:hAnsiTheme="majorEastAsia" w:eastAsiaTheme="majorEastAsia"/>
          <w:color w:val="auto"/>
        </w:rPr>
        <w:t>20.3 人身意外伤害险</w:t>
      </w:r>
      <w:bookmarkEnd w:id="6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20.3.1 发包人应在整个施工期间为其现场机构雇用的全部人员，投保人身意外伤害险，缴纳保险费，并要求其监理人也进行此项保险。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20.3.2 承包人应在整个施工期间为其现场机构雇用的全部人员，投保人身意外伤害险，缴纳保险费，并要求其分包人也进行此项保险。</w:t>
      </w:r>
    </w:p>
    <w:p>
      <w:pPr>
        <w:pStyle w:val="5"/>
        <w:adjustRightInd w:val="0"/>
        <w:snapToGrid w:val="0"/>
        <w:spacing w:before="0" w:after="0" w:line="520" w:lineRule="exact"/>
        <w:rPr>
          <w:rFonts w:asciiTheme="majorEastAsia" w:hAnsiTheme="majorEastAsia" w:eastAsiaTheme="majorEastAsia"/>
          <w:color w:val="auto"/>
        </w:rPr>
      </w:pPr>
      <w:bookmarkStart w:id="640" w:name="_Toc511635956"/>
      <w:r>
        <w:rPr>
          <w:rFonts w:hint="eastAsia" w:asciiTheme="majorEastAsia" w:hAnsiTheme="majorEastAsia" w:eastAsiaTheme="majorEastAsia"/>
          <w:color w:val="auto"/>
        </w:rPr>
        <w:t>20.4 第三者责任险</w:t>
      </w:r>
      <w:bookmarkEnd w:id="64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20.4.2 在缺陷责任期终止证书颁发前，承包人应以承包人和发包人的共同名义，投保第20.4.1项约定的第三者责任险，其保险费率、保险金额等有关内容在专用合同条款中约定。</w:t>
      </w:r>
    </w:p>
    <w:p>
      <w:pPr>
        <w:pStyle w:val="5"/>
        <w:adjustRightInd w:val="0"/>
        <w:snapToGrid w:val="0"/>
        <w:spacing w:before="0" w:after="0" w:line="520" w:lineRule="exact"/>
        <w:rPr>
          <w:rFonts w:asciiTheme="majorEastAsia" w:hAnsiTheme="majorEastAsia" w:eastAsiaTheme="majorEastAsia"/>
          <w:color w:val="auto"/>
        </w:rPr>
      </w:pPr>
      <w:bookmarkStart w:id="641" w:name="_Toc511635957"/>
      <w:r>
        <w:rPr>
          <w:rFonts w:hint="eastAsia" w:asciiTheme="majorEastAsia" w:hAnsiTheme="majorEastAsia" w:eastAsiaTheme="majorEastAsia"/>
          <w:color w:val="auto"/>
        </w:rPr>
        <w:t>20.5 其他保险</w:t>
      </w:r>
      <w:bookmarkEnd w:id="64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除专用合同条款另有约定外，承包人应为其施工设备、进场的材料和工程设备等办理保险。</w:t>
      </w:r>
    </w:p>
    <w:p>
      <w:pPr>
        <w:pStyle w:val="5"/>
        <w:adjustRightInd w:val="0"/>
        <w:snapToGrid w:val="0"/>
        <w:spacing w:before="0" w:after="0" w:line="520" w:lineRule="exact"/>
        <w:rPr>
          <w:rFonts w:asciiTheme="majorEastAsia" w:hAnsiTheme="majorEastAsia" w:eastAsiaTheme="majorEastAsia"/>
          <w:color w:val="auto"/>
        </w:rPr>
      </w:pPr>
      <w:bookmarkStart w:id="642" w:name="_Toc511635958"/>
      <w:r>
        <w:rPr>
          <w:rFonts w:hint="eastAsia" w:asciiTheme="majorEastAsia" w:hAnsiTheme="majorEastAsia" w:eastAsiaTheme="majorEastAsia"/>
          <w:color w:val="auto"/>
        </w:rPr>
        <w:t>20.6 对各项保险的一般要求</w:t>
      </w:r>
      <w:bookmarkEnd w:id="64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20.6.1 保险凭证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承包人应在专用合同条款约定的期限内向发包人提交各项保险生效的证据和保险单副本，保险单必须与专用合同条款约定的条件保持一致。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20.6.2 保险合同条款的变动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承包人需要变动保险合同条款时，应事先征得发包人同意，并通知监理人。保险人作出变动的，承包人应在收到保险人通知后立即通知发包人和监理人。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20.6.3 持续保险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承包人应与保险人保持联系，使保险人能够随时了解工程实施中的变动，并确保按保险合同条款要求持续保险。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20.6.4 保险金不足以补偿损失时，应由承包人和发包人各自负责补偿的范围和金额在专用合同条款中约定。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20.6.5 未按约定投保的补救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（1）由于负有投保义务的一方当事人未按合同约定办理保险，或未能使保险持续有效的，另一方当事人可代为办理，所需费用由对方当事人承担。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（2）由于负有投保义务的一方当事人未按合同约定办理某项保险，导致受益人未能得到保险人的赔偿，原应从该项保险得到的保险金应由负有投保义务的一方当事人支付。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20.6.6 报告义务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当保险事故发生时，投保人应按照保险单规定的条件和期限及时向保险人报告。</w:t>
      </w:r>
    </w:p>
    <w:p>
      <w:pPr>
        <w:pStyle w:val="5"/>
        <w:adjustRightInd w:val="0"/>
        <w:snapToGrid w:val="0"/>
        <w:spacing w:before="0" w:after="0" w:line="520" w:lineRule="exact"/>
        <w:rPr>
          <w:rFonts w:asciiTheme="majorEastAsia" w:hAnsiTheme="majorEastAsia" w:eastAsiaTheme="majorEastAsia"/>
          <w:color w:val="auto"/>
        </w:rPr>
      </w:pPr>
      <w:bookmarkStart w:id="643" w:name="_Toc511635959"/>
      <w:r>
        <w:rPr>
          <w:rFonts w:hint="eastAsia" w:asciiTheme="majorEastAsia" w:hAnsiTheme="majorEastAsia" w:eastAsiaTheme="majorEastAsia"/>
          <w:color w:val="auto"/>
        </w:rPr>
        <w:t>20.7 风险责任的转移</w:t>
      </w:r>
      <w:bookmarkEnd w:id="64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工程通过合同工程完工验收并移交给发包人后，原由承包人应承担的风险责任，以及保险的责任、权利和义务同时转移给发包人，但承包人在缺陷责任期（工程质量保修期）前造成损失和损坏情形除外。</w:t>
      </w:r>
    </w:p>
    <w:p>
      <w:pPr>
        <w:pStyle w:val="4"/>
        <w:rPr>
          <w:color w:val="auto"/>
        </w:rPr>
      </w:pPr>
      <w:bookmarkStart w:id="644" w:name="_Toc511635960"/>
      <w:bookmarkStart w:id="645" w:name="_Toc515441156"/>
      <w:bookmarkStart w:id="646" w:name="_Toc516816159"/>
      <w:bookmarkStart w:id="647" w:name="_Toc516816348"/>
      <w:r>
        <w:rPr>
          <w:rFonts w:hint="eastAsia"/>
          <w:color w:val="auto"/>
        </w:rPr>
        <w:t>21 不可抗力</w:t>
      </w:r>
      <w:bookmarkEnd w:id="644"/>
      <w:bookmarkEnd w:id="645"/>
      <w:bookmarkEnd w:id="646"/>
      <w:bookmarkEnd w:id="647"/>
    </w:p>
    <w:p>
      <w:pPr>
        <w:pStyle w:val="5"/>
        <w:adjustRightInd w:val="0"/>
        <w:snapToGrid w:val="0"/>
        <w:spacing w:before="0" w:after="0" w:line="520" w:lineRule="exact"/>
        <w:rPr>
          <w:rFonts w:asciiTheme="majorEastAsia" w:hAnsiTheme="majorEastAsia" w:eastAsiaTheme="majorEastAsia"/>
          <w:color w:val="auto"/>
        </w:rPr>
      </w:pPr>
      <w:bookmarkStart w:id="648" w:name="_Toc511635961"/>
      <w:r>
        <w:rPr>
          <w:rFonts w:hint="eastAsia" w:asciiTheme="majorEastAsia" w:hAnsiTheme="majorEastAsia" w:eastAsiaTheme="majorEastAsia"/>
          <w:color w:val="auto"/>
        </w:rPr>
        <w:t>21.1 不可抗力的确认</w:t>
      </w:r>
      <w:bookmarkEnd w:id="64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
        <w:adjustRightInd w:val="0"/>
        <w:snapToGrid w:val="0"/>
        <w:spacing w:before="0" w:after="0" w:line="520" w:lineRule="exact"/>
        <w:rPr>
          <w:rFonts w:asciiTheme="majorEastAsia" w:hAnsiTheme="majorEastAsia" w:eastAsiaTheme="majorEastAsia"/>
          <w:color w:val="auto"/>
        </w:rPr>
      </w:pPr>
      <w:bookmarkStart w:id="649" w:name="_Toc511635962"/>
      <w:r>
        <w:rPr>
          <w:rFonts w:hint="eastAsia" w:asciiTheme="majorEastAsia" w:hAnsiTheme="majorEastAsia" w:eastAsiaTheme="majorEastAsia"/>
          <w:color w:val="auto"/>
        </w:rPr>
        <w:t>21.2 不可抗力的通知</w:t>
      </w:r>
      <w:bookmarkEnd w:id="64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21.2.1 合同一方当事人遇到不可抗力事件，使其履行合同义务受到阻碍时，应立即通知合同另一方当事人和监理人，书面说明不可抗力和受阻碍的详细情况，并提供必要的证明。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21.2.2 如不可抗力持续发生，合同一方当事人应及时向合同另一方当事人和监理人提交中间报告，说明不可抗力和履行合同受阻的情况，并于不可抗力事件结束后28天内提交最终报告及有关资料。</w:t>
      </w:r>
    </w:p>
    <w:p>
      <w:pPr>
        <w:pStyle w:val="5"/>
        <w:adjustRightInd w:val="0"/>
        <w:snapToGrid w:val="0"/>
        <w:spacing w:before="0" w:after="0" w:line="520" w:lineRule="exact"/>
        <w:rPr>
          <w:rFonts w:asciiTheme="majorEastAsia" w:hAnsiTheme="majorEastAsia" w:eastAsiaTheme="majorEastAsia"/>
          <w:color w:val="auto"/>
        </w:rPr>
      </w:pPr>
      <w:bookmarkStart w:id="650" w:name="_Toc511635963"/>
      <w:r>
        <w:rPr>
          <w:rFonts w:hint="eastAsia" w:asciiTheme="majorEastAsia" w:hAnsiTheme="majorEastAsia" w:eastAsiaTheme="majorEastAsia"/>
          <w:color w:val="auto"/>
        </w:rPr>
        <w:t>21.3 不可抗力后果及其处理</w:t>
      </w:r>
      <w:bookmarkEnd w:id="6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21.3.1 不可抗力造成损害的责任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除专用合同条款另有约定外，不可抗力导致的人员伤亡、财产损失、费用增加和（或）工期延误等后果，由合同双方按以下原则承担：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（1）永久工程，包括已运至施工场地的材料和工程设备的损害，以及因工程损害造成的第三者人员伤亡和财产损失由发包人承担。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（2）承包人设备的损坏由承包人承担。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（3）发包人和承包人各自承担其人员伤亡和其他财产损失及其相关费用。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（4）承包人的停工损失由承包人承担，但停工期间应监理人要求照管工程和清理、修复工程的金额由发包人承担。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（5）不能按期竣工的，应合理延长工期，承包人不需支付逾期竣工违约金。发包人要求赶工的，承包人应采取赶工措施，赶工费用由发包人承担。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21.3.2 延迟履行期间发生的不可抗力</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合同一方当事人延迟履行，在延迟履行期间发生不可抗力的，不免除其责任。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21.3.3 避免和减少不可抗力损失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不可抗力发生后，发包人和承包人均应采取措施尽量避免和减少损失的扩大，任何一方没有采取有效措施导致损失扩大的，应对扩大的损失承担责任。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21.3.4 因不可抗力解除合同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4"/>
        <w:rPr>
          <w:color w:val="auto"/>
        </w:rPr>
      </w:pPr>
      <w:bookmarkStart w:id="651" w:name="_Toc516816160"/>
      <w:bookmarkStart w:id="652" w:name="_Toc515441157"/>
      <w:bookmarkStart w:id="653" w:name="_Toc511635964"/>
      <w:bookmarkStart w:id="654" w:name="_Toc516816349"/>
      <w:r>
        <w:rPr>
          <w:rFonts w:hint="eastAsia"/>
          <w:color w:val="auto"/>
        </w:rPr>
        <w:t>22 违约</w:t>
      </w:r>
      <w:bookmarkEnd w:id="651"/>
      <w:bookmarkEnd w:id="652"/>
      <w:bookmarkEnd w:id="653"/>
      <w:bookmarkEnd w:id="654"/>
    </w:p>
    <w:p>
      <w:pPr>
        <w:pStyle w:val="5"/>
        <w:adjustRightInd w:val="0"/>
        <w:snapToGrid w:val="0"/>
        <w:spacing w:before="0" w:after="0" w:line="520" w:lineRule="exact"/>
        <w:rPr>
          <w:rFonts w:asciiTheme="majorEastAsia" w:hAnsiTheme="majorEastAsia" w:eastAsiaTheme="majorEastAsia"/>
          <w:color w:val="auto"/>
        </w:rPr>
      </w:pPr>
      <w:bookmarkStart w:id="655" w:name="_Toc511635965"/>
      <w:r>
        <w:rPr>
          <w:rFonts w:hint="eastAsia" w:asciiTheme="majorEastAsia" w:hAnsiTheme="majorEastAsia" w:eastAsiaTheme="majorEastAsia"/>
          <w:color w:val="auto"/>
        </w:rPr>
        <w:t>22.1 承包人违约</w:t>
      </w:r>
      <w:bookmarkEnd w:id="6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22.1.1 承包人违约的情形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在履行合同过程中发生的下列情况属承包人违约：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（1）承包人违反第1.8款或第4.3款的约定，私自将合同的全部或部分权利转让给其他人，或私自将合同的全部或部分义务转移给其他人。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承包人违反第5.3款或第6.4款的约定，未经监理人批准，私自将已按合同约定进入施工场地的施工设备、临时设施或材料撤离施工场地。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（3）承包人违反第5.4款的约定使用了不合格材料或工程设备，工程质量达不到标准要求，又拒绝清楚不合格工程。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（4）承包人未能按合同进度计划及时完成合同约定的工作，已造成或预期造成工期延误。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（5）承包人在缺陷责任期（工程质量保修期）内，未能对合同工程完工验收鉴定书所列的缺陷清单的内容或缺陷责任期（工程质量保修期）内发生的缺陷进行修复，而又拒绝按监理人指示再进行修补。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（6）承包人无法继续履行或明确表示不履行或实质上已停止履行合同。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（7）承包人不按合同约定履行义务的其它情况。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22.1.2 对承包人违约的处理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（1）承包人发生第22.1.1（6）目约定的违约情况时，发包人可通知承包人立即解除合同，并按有关法律处理。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（2）承包人发生除第22.1.1（6）目约定以外的其他违约情况时，监理人可向承包人发出整改通知，要求其在指定的期限内改正。承包人应承担其违约所引起的费用增加和（或）工期延误。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（3）经检查证明承包人已采取了有效措施纠正违约行为，具备复工条件的，可由监理人签发复工通知复工。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22.1.3 承包人违约解除合同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22.1.4 合同解除后的估价、付款和结清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（1）合同解除后，监理人按第3.5款商定或确定承包人实际完成工作的价值，以及承包人已提供的材料、施工设备、工程设备和临时工程等的价值。</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（2）合同解除后，发包人应暂停对承包人的一切付款，查清各项付款和已扣款金额，包括承包人应支付的违约金。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（3）合同解除后，发包人应按第23.4款的约定向承包人索赔由于解除合同给发包人造成的损失。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（4）合同双方确认上述往来款项后，出具最终结清付款证书，结清全部合同款项。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（5）发包人和承包人未能就解除合同后的结清达成一致而形成争议的，按第24条的约定办理。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22.1.5 协议利益的转让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因承包人违约解除合同的，发包人有权要求承包人将其为实施合同而签订的材料和设备的订货协议或任何服务协议利益转让给发包人，并在解除合同后的14天内，依法办理转让手续。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22.1.6 紧急情况下无能力或不愿进行抢救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adjustRightInd w:val="0"/>
        <w:snapToGrid w:val="0"/>
        <w:spacing w:before="0" w:after="0" w:line="520" w:lineRule="exact"/>
        <w:rPr>
          <w:rFonts w:asciiTheme="majorEastAsia" w:hAnsiTheme="majorEastAsia" w:eastAsiaTheme="majorEastAsia"/>
          <w:color w:val="auto"/>
        </w:rPr>
      </w:pPr>
      <w:bookmarkStart w:id="656" w:name="_Toc511635966"/>
      <w:r>
        <w:rPr>
          <w:rFonts w:hint="eastAsia" w:asciiTheme="majorEastAsia" w:hAnsiTheme="majorEastAsia" w:eastAsiaTheme="majorEastAsia"/>
          <w:color w:val="auto"/>
        </w:rPr>
        <w:t>22.2 发包人违约</w:t>
      </w:r>
      <w:bookmarkEnd w:id="65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22.2.1 发包人违约的情形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在履行合同过程中发生的下列情形，属发包人违约：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（1）发包人未能按合同约定支付预付款或合同价款，或拖延、拒绝批准付款申请和支付凭证，导致付款延误的。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（2）发包人原因造成停工的。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（3）监理人无正当理由没有在约定期限内发出复工指示，导致承包人无法复工的。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（4）发包人无法继续履行或明确表示不履行或实质上已停止履行合同的。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（5）发包人不履行合同约定其他义务的。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22.2.2 承包人有权暂停施工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22.2.3 发包人违约解除合同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（1）发生第22.2.1（4）目的违约情况时，承包人可书面通知发包人解除合同。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（2）承包人按22.2.2项暂停施工28天后，发包人仍不纠正违约行为的，承包人可向发包人发出解除合同通知。但承包人的这一行动不免除发包人承担的违约责任，也不影响承包人根据合同约定享有的索赔权利。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22.2.4 解除合同后的付款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因发包人违约解除合同的，发包人应在解除合同后28天内向承包人支付下列金额，承包人应在此期限内及时向发包人提交要求支付下列金额的有关资料和凭证：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（1）合同解除日以前所完成工作的价款。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（2）承包人为该工程施工订购并已付款的材料、工程设备和其他物品的金额。发包人付还后，该材料、工程设备和其他物品归发包人所有。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（3）承包人为完成工程所发生的，而发包人未支付的金额。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（4）承包人撤离施工场地以及遣散承包人人员的金额。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（5）由于解除合同应赔偿的承包人损失。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（6）按合同约定在合同解除日前应支付给承包人的其他金额。发包人应按本项约定支付上述金额并退还质量保证金和履约担保，但有权要求承包人支付应偿还给发包人的各项金额。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22.2.5 解除合同后的承包人撤离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
        <w:adjustRightInd w:val="0"/>
        <w:snapToGrid w:val="0"/>
        <w:spacing w:before="0" w:after="0" w:line="520" w:lineRule="exact"/>
        <w:rPr>
          <w:rFonts w:asciiTheme="majorEastAsia" w:hAnsiTheme="majorEastAsia" w:eastAsiaTheme="majorEastAsia"/>
          <w:color w:val="auto"/>
        </w:rPr>
      </w:pPr>
      <w:bookmarkStart w:id="657" w:name="_Toc511635967"/>
      <w:r>
        <w:rPr>
          <w:rFonts w:hint="eastAsia" w:asciiTheme="majorEastAsia" w:hAnsiTheme="majorEastAsia" w:eastAsiaTheme="majorEastAsia"/>
          <w:color w:val="auto"/>
        </w:rPr>
        <w:t>22.3 第三人造成的违约</w:t>
      </w:r>
      <w:bookmarkEnd w:id="6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在履行合同过程中，一方当事人因第三人的原因造成违约的，应当向对方当事人承担违约责任。一方当事人和第三人之间的纠纷，依照法律规定或者按照约定解决。</w:t>
      </w:r>
    </w:p>
    <w:p>
      <w:pPr>
        <w:pStyle w:val="4"/>
        <w:rPr>
          <w:color w:val="auto"/>
        </w:rPr>
      </w:pPr>
      <w:bookmarkStart w:id="658" w:name="_Toc511635968"/>
      <w:bookmarkStart w:id="659" w:name="_Toc515441158"/>
      <w:bookmarkStart w:id="660" w:name="_Toc516816161"/>
      <w:bookmarkStart w:id="661" w:name="_Toc516816350"/>
      <w:r>
        <w:rPr>
          <w:rFonts w:hint="eastAsia"/>
          <w:color w:val="auto"/>
        </w:rPr>
        <w:t>23 索赔</w:t>
      </w:r>
      <w:bookmarkEnd w:id="658"/>
      <w:bookmarkEnd w:id="659"/>
      <w:bookmarkEnd w:id="660"/>
      <w:bookmarkEnd w:id="661"/>
    </w:p>
    <w:p>
      <w:pPr>
        <w:pStyle w:val="5"/>
        <w:adjustRightInd w:val="0"/>
        <w:snapToGrid w:val="0"/>
        <w:spacing w:before="0" w:after="0" w:line="520" w:lineRule="exact"/>
        <w:rPr>
          <w:rFonts w:asciiTheme="majorEastAsia" w:hAnsiTheme="majorEastAsia" w:eastAsiaTheme="majorEastAsia"/>
          <w:color w:val="auto"/>
        </w:rPr>
      </w:pPr>
      <w:bookmarkStart w:id="662" w:name="_Toc511635969"/>
      <w:r>
        <w:rPr>
          <w:rFonts w:hint="eastAsia" w:asciiTheme="majorEastAsia" w:hAnsiTheme="majorEastAsia" w:eastAsiaTheme="majorEastAsia"/>
          <w:color w:val="auto"/>
        </w:rPr>
        <w:t>23.1 承包人索赔的提出</w:t>
      </w:r>
      <w:bookmarkEnd w:id="66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根据合同约定，承包人认为有权得到追加付款和（或）延长工期的，应按以下程序向发包人提出索赔：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（2）承包人应在发出索赔意向通知书后28天内，向监理人正式递交索赔通知书。索赔通知书应详细说明索赔理由以及要求追加的付款金额和（或）延长的工期，并附必要的记录和证明材料。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（3）索赔事件具有连续影响的，承包人应按合理时间间隔继续递交延续索赔通知，说明连续影响的实际情况和记录，列出累计的追加付款金额和（或）工期延长天数。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（4）在索赔事件影响结束后的28天内，承包人应向监理人递交最终索赔通知书，说明最终要求索赔的追加付款金额和延长的工期，并附必要的记录和证明材料。</w:t>
      </w:r>
    </w:p>
    <w:p>
      <w:pPr>
        <w:pStyle w:val="5"/>
        <w:adjustRightInd w:val="0"/>
        <w:snapToGrid w:val="0"/>
        <w:spacing w:before="0" w:after="0" w:line="520" w:lineRule="exact"/>
        <w:rPr>
          <w:rFonts w:asciiTheme="majorEastAsia" w:hAnsiTheme="majorEastAsia" w:eastAsiaTheme="majorEastAsia"/>
          <w:color w:val="auto"/>
        </w:rPr>
      </w:pPr>
      <w:bookmarkStart w:id="663" w:name="_Toc511635970"/>
      <w:r>
        <w:rPr>
          <w:rFonts w:hint="eastAsia" w:asciiTheme="majorEastAsia" w:hAnsiTheme="majorEastAsia" w:eastAsiaTheme="majorEastAsia"/>
          <w:color w:val="auto"/>
        </w:rPr>
        <w:t>23.2 承包人索赔处理程序</w:t>
      </w:r>
      <w:bookmarkEnd w:id="6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（1）监理人收到承包人提交的索赔通知书后，应及时审查索赔通知书的内容、查验承包人的记录和证明材料，必要时监理人可要求承包人提交全部原始记录副本。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（2）监理人应按第3.5款商定或确定追加的付款和（或）延长的工期，并在收到上述索赔通知书或有关索赔的进一步证明材料后的42天内，将索赔处理结果答复承包人。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（3）承包人接受索赔处理结果的，发包人应在作出索赔处理结果答复后28天内完成赔付。承包人不接受索赔处理结果的，按第24条的约定办理。</w:t>
      </w:r>
    </w:p>
    <w:p>
      <w:pPr>
        <w:pStyle w:val="5"/>
        <w:adjustRightInd w:val="0"/>
        <w:snapToGrid w:val="0"/>
        <w:spacing w:before="0" w:after="0" w:line="520" w:lineRule="exact"/>
        <w:rPr>
          <w:rFonts w:asciiTheme="majorEastAsia" w:hAnsiTheme="majorEastAsia" w:eastAsiaTheme="majorEastAsia"/>
          <w:color w:val="auto"/>
        </w:rPr>
      </w:pPr>
      <w:bookmarkStart w:id="664" w:name="_Toc511635971"/>
      <w:r>
        <w:rPr>
          <w:rFonts w:hint="eastAsia" w:asciiTheme="majorEastAsia" w:hAnsiTheme="majorEastAsia" w:eastAsiaTheme="majorEastAsia"/>
          <w:color w:val="auto"/>
        </w:rPr>
        <w:t>23.3 承包人提出索赔的期限</w:t>
      </w:r>
      <w:bookmarkEnd w:id="66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23.3.1 承包人按第17.5款的约定接受了完工付款证书后，应被认为已无权再提出在合同工程完工证书颁发前所发生的任何索赔。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23.3.2 承包人按第17.6款的约定提交的最终结清申请单中，只限于提出合同工程完工证书颁发后发生的索赔。提出索赔的期限自接受最终结清证书时终止。</w:t>
      </w:r>
    </w:p>
    <w:p>
      <w:pPr>
        <w:pStyle w:val="5"/>
        <w:adjustRightInd w:val="0"/>
        <w:snapToGrid w:val="0"/>
        <w:spacing w:before="0" w:after="0" w:line="520" w:lineRule="exact"/>
        <w:rPr>
          <w:rFonts w:asciiTheme="majorEastAsia" w:hAnsiTheme="majorEastAsia" w:eastAsiaTheme="majorEastAsia"/>
          <w:color w:val="auto"/>
        </w:rPr>
      </w:pPr>
      <w:bookmarkStart w:id="665" w:name="_Toc511635972"/>
      <w:r>
        <w:rPr>
          <w:rFonts w:hint="eastAsia" w:asciiTheme="majorEastAsia" w:hAnsiTheme="majorEastAsia" w:eastAsiaTheme="majorEastAsia"/>
          <w:color w:val="auto"/>
        </w:rPr>
        <w:t>23.4 发包人的索赔</w:t>
      </w:r>
      <w:bookmarkEnd w:id="66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23.4.2 监理人按第3.5款商定或确定发包人从承包人处得到赔付的金额和（或）缺陷责任期的延长期。承包人应付给发包人的金额可从拟支付给承包人的合同价款中扣除，或由承包人以其他方式支付给发包人。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Style w:val="4"/>
        <w:rPr>
          <w:color w:val="auto"/>
        </w:rPr>
      </w:pPr>
      <w:bookmarkStart w:id="666" w:name="_Toc515441159"/>
      <w:bookmarkStart w:id="667" w:name="_Toc511635973"/>
      <w:bookmarkStart w:id="668" w:name="_Toc516816162"/>
      <w:bookmarkStart w:id="669" w:name="_Toc516816351"/>
      <w:r>
        <w:rPr>
          <w:rFonts w:hint="eastAsia"/>
          <w:color w:val="auto"/>
        </w:rPr>
        <w:t>24 争议的解决</w:t>
      </w:r>
      <w:bookmarkEnd w:id="666"/>
      <w:bookmarkEnd w:id="667"/>
      <w:bookmarkEnd w:id="668"/>
      <w:bookmarkEnd w:id="669"/>
    </w:p>
    <w:p>
      <w:pPr>
        <w:pStyle w:val="5"/>
        <w:adjustRightInd w:val="0"/>
        <w:snapToGrid w:val="0"/>
        <w:spacing w:before="0" w:after="0" w:line="520" w:lineRule="exact"/>
        <w:rPr>
          <w:rFonts w:asciiTheme="majorEastAsia" w:hAnsiTheme="majorEastAsia" w:eastAsiaTheme="majorEastAsia"/>
          <w:color w:val="auto"/>
        </w:rPr>
      </w:pPr>
      <w:bookmarkStart w:id="670" w:name="_Toc511635974"/>
      <w:r>
        <w:rPr>
          <w:rFonts w:hint="eastAsia" w:asciiTheme="majorEastAsia" w:hAnsiTheme="majorEastAsia" w:eastAsiaTheme="majorEastAsia"/>
          <w:color w:val="auto"/>
        </w:rPr>
        <w:t>24.1 争议的解决方式</w:t>
      </w:r>
      <w:bookmarkEnd w:id="6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（1）向约定的仲裁委员会申请仲裁。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（2）向有管辖权的人民法院提起诉讼。</w:t>
      </w:r>
    </w:p>
    <w:p>
      <w:pPr>
        <w:pStyle w:val="5"/>
        <w:adjustRightInd w:val="0"/>
        <w:snapToGrid w:val="0"/>
        <w:spacing w:before="0" w:after="0" w:line="520" w:lineRule="exact"/>
        <w:rPr>
          <w:rFonts w:asciiTheme="majorEastAsia" w:hAnsiTheme="majorEastAsia" w:eastAsiaTheme="majorEastAsia"/>
          <w:color w:val="auto"/>
        </w:rPr>
      </w:pPr>
      <w:bookmarkStart w:id="671" w:name="_Toc511635975"/>
      <w:r>
        <w:rPr>
          <w:rFonts w:hint="eastAsia" w:asciiTheme="majorEastAsia" w:hAnsiTheme="majorEastAsia" w:eastAsiaTheme="majorEastAsia"/>
          <w:color w:val="auto"/>
        </w:rPr>
        <w:t>24.2 友好解决</w:t>
      </w:r>
      <w:bookmarkEnd w:id="6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在提请争议评审、仲裁或者诉讼前，以及在争议评审、仲裁或诉讼过程中，发包人和承包人均可共同努力友好协商解决争议。</w:t>
      </w:r>
    </w:p>
    <w:p>
      <w:pPr>
        <w:pStyle w:val="5"/>
        <w:adjustRightInd w:val="0"/>
        <w:snapToGrid w:val="0"/>
        <w:spacing w:before="0" w:after="0" w:line="520" w:lineRule="exact"/>
        <w:rPr>
          <w:rFonts w:asciiTheme="majorEastAsia" w:hAnsiTheme="majorEastAsia" w:eastAsiaTheme="majorEastAsia"/>
          <w:color w:val="auto"/>
        </w:rPr>
      </w:pPr>
      <w:bookmarkStart w:id="672" w:name="_Toc511635976"/>
      <w:r>
        <w:rPr>
          <w:rFonts w:hint="eastAsia" w:asciiTheme="majorEastAsia" w:hAnsiTheme="majorEastAsia" w:eastAsiaTheme="majorEastAsia"/>
          <w:color w:val="auto"/>
        </w:rPr>
        <w:t>24.3 争议评审</w:t>
      </w:r>
      <w:bookmarkEnd w:id="67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24.3.1 采用争议评审的，发包人和承包人应在开工日后的28天内或在争议发生后，协商成立争议评审组。争议评审组由有合同管理和工程实践经验的专家组成。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24.3.2 合同双方的争议，应首先由申请人向争议评审组提交一份详细的评审申请报告，并附必要的文件、图纸和证明材料，申请人还应将上述报告的副本同时提交给被申请人和监理人。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24.3.3 被申请人在收到申请人评审申请报告副本后的28天内，向争议评审组提交一份答辩报告，并附证明材料。被申请人应将答辩报告的副本同时提交给申请人和监理人。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24.3.4 除专用合同条款另有约定外，争议评审组在收到合同双方报告后的14天内，邀请双方代表和有关人员举行调查会，向双方调查争议细节；必要时争议评审组可要求双方进一步提供补充材料。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24.3.6 发包人和承包人接受评审意见的，由监理人根据评审意见拟定执行协议，经争议双方签字后作为合同的补充文件，并遵照执行。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5"/>
        <w:adjustRightInd w:val="0"/>
        <w:snapToGrid w:val="0"/>
        <w:spacing w:before="0" w:after="0" w:line="520" w:lineRule="exact"/>
        <w:rPr>
          <w:rFonts w:asciiTheme="majorEastAsia" w:hAnsiTheme="majorEastAsia" w:eastAsiaTheme="majorEastAsia"/>
          <w:color w:val="auto"/>
        </w:rPr>
      </w:pPr>
      <w:bookmarkStart w:id="673" w:name="_Toc511635977"/>
      <w:r>
        <w:rPr>
          <w:rFonts w:hint="eastAsia" w:asciiTheme="majorEastAsia" w:hAnsiTheme="majorEastAsia" w:eastAsiaTheme="majorEastAsia"/>
          <w:color w:val="auto"/>
        </w:rPr>
        <w:t>24.4 仲裁</w:t>
      </w:r>
      <w:bookmarkEnd w:id="67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24.4.1 若合同双方商定直接向仲裁机构申请仲裁，应签订仲裁协议并约定仲裁机构。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24.4.2 若合同双方未能达成仲裁协议，则本合同的仲裁条款无效，任一方均有权向人民法院提起诉讼。</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3"/>
        <w:adjustRightInd w:val="0"/>
        <w:snapToGrid w:val="0"/>
        <w:spacing w:before="0" w:after="0" w:line="520" w:lineRule="exact"/>
        <w:jc w:val="center"/>
        <w:rPr>
          <w:rFonts w:asciiTheme="majorEastAsia" w:hAnsiTheme="majorEastAsia" w:eastAsiaTheme="majorEastAsia"/>
          <w:color w:val="auto"/>
          <w:sz w:val="36"/>
          <w:szCs w:val="36"/>
        </w:rPr>
      </w:pPr>
      <w:bookmarkStart w:id="674" w:name="_Toc511635978"/>
      <w:bookmarkStart w:id="675" w:name="_Toc515441160"/>
      <w:bookmarkStart w:id="676" w:name="_Toc516816163"/>
      <w:bookmarkStart w:id="677" w:name="_Toc516816352"/>
      <w:r>
        <w:rPr>
          <w:rFonts w:hint="eastAsia" w:asciiTheme="majorEastAsia" w:hAnsiTheme="majorEastAsia" w:eastAsiaTheme="majorEastAsia"/>
          <w:color w:val="auto"/>
          <w:sz w:val="36"/>
          <w:szCs w:val="36"/>
        </w:rPr>
        <w:t>第二节 专用合同条款</w:t>
      </w:r>
      <w:bookmarkEnd w:id="674"/>
      <w:bookmarkEnd w:id="675"/>
      <w:bookmarkEnd w:id="676"/>
      <w:bookmarkEnd w:id="677"/>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本招标项目专用合同条款如下：</w:t>
      </w:r>
    </w:p>
    <w:p>
      <w:pPr>
        <w:pStyle w:val="4"/>
        <w:rPr>
          <w:color w:val="auto"/>
        </w:rPr>
      </w:pPr>
      <w:bookmarkStart w:id="678" w:name="_Toc221951111"/>
      <w:bookmarkStart w:id="679" w:name="_Toc222029527"/>
      <w:bookmarkStart w:id="680" w:name="_Toc222031029"/>
      <w:bookmarkStart w:id="681" w:name="_Toc222032696"/>
      <w:bookmarkStart w:id="682" w:name="_Toc222033878"/>
      <w:bookmarkStart w:id="683" w:name="_Toc229305387"/>
      <w:bookmarkStart w:id="684" w:name="_Toc487489975"/>
      <w:bookmarkStart w:id="685" w:name="_Toc511635979"/>
      <w:bookmarkStart w:id="686" w:name="_Toc515441161"/>
      <w:bookmarkStart w:id="687" w:name="_Toc516816164"/>
      <w:bookmarkStart w:id="688" w:name="_Toc516816353"/>
      <w:r>
        <w:rPr>
          <w:rFonts w:hint="eastAsia"/>
          <w:color w:val="auto"/>
        </w:rPr>
        <w:t>1 一般约定</w:t>
      </w:r>
      <w:bookmarkEnd w:id="678"/>
      <w:bookmarkEnd w:id="679"/>
      <w:bookmarkEnd w:id="680"/>
      <w:bookmarkEnd w:id="681"/>
      <w:bookmarkEnd w:id="682"/>
      <w:bookmarkEnd w:id="683"/>
      <w:bookmarkEnd w:id="684"/>
      <w:bookmarkEnd w:id="685"/>
      <w:bookmarkEnd w:id="686"/>
      <w:bookmarkEnd w:id="687"/>
      <w:bookmarkEnd w:id="688"/>
    </w:p>
    <w:p>
      <w:pPr>
        <w:pStyle w:val="5"/>
        <w:adjustRightInd w:val="0"/>
        <w:snapToGrid w:val="0"/>
        <w:spacing w:before="0" w:after="0" w:line="520" w:lineRule="exact"/>
        <w:rPr>
          <w:rFonts w:asciiTheme="majorEastAsia" w:hAnsiTheme="majorEastAsia" w:eastAsiaTheme="majorEastAsia"/>
          <w:color w:val="auto"/>
        </w:rPr>
      </w:pPr>
      <w:bookmarkStart w:id="689" w:name="_Toc221951112"/>
      <w:bookmarkStart w:id="690" w:name="_Toc262637965"/>
      <w:bookmarkStart w:id="691" w:name="_Toc262659526"/>
      <w:bookmarkStart w:id="692" w:name="_Toc511635980"/>
      <w:bookmarkStart w:id="693" w:name="_Toc221951113"/>
      <w:r>
        <w:rPr>
          <w:rFonts w:asciiTheme="majorEastAsia" w:hAnsiTheme="majorEastAsia" w:eastAsiaTheme="majorEastAsia"/>
          <w:color w:val="auto"/>
        </w:rPr>
        <w:t>1.1</w:t>
      </w:r>
      <w:r>
        <w:rPr>
          <w:rFonts w:hint="eastAsia" w:asciiTheme="majorEastAsia" w:hAnsiTheme="majorEastAsia" w:eastAsiaTheme="majorEastAsia"/>
          <w:color w:val="auto"/>
        </w:rPr>
        <w:t xml:space="preserve"> 词语定义</w:t>
      </w:r>
      <w:bookmarkEnd w:id="689"/>
      <w:bookmarkEnd w:id="690"/>
      <w:bookmarkEnd w:id="691"/>
      <w:bookmarkEnd w:id="692"/>
    </w:p>
    <w:p>
      <w:pPr>
        <w:widowControl/>
        <w:shd w:val="clear" w:color="auto" w:fill="FFFFFF"/>
        <w:snapToGrid w:val="0"/>
        <w:ind w:firstLine="420" w:firstLineChars="200"/>
        <w:jc w:val="left"/>
        <w:rPr>
          <w:rFonts w:asciiTheme="minorEastAsia" w:hAnsiTheme="minorEastAsia"/>
          <w:color w:val="auto"/>
          <w:szCs w:val="21"/>
        </w:rPr>
      </w:pPr>
      <w:bookmarkStart w:id="694" w:name="_Toc262637966"/>
      <w:bookmarkStart w:id="695" w:name="_Toc262659527"/>
      <w:r>
        <w:rPr>
          <w:rFonts w:hint="eastAsia" w:asciiTheme="minorEastAsia" w:hAnsiTheme="minorEastAsia"/>
          <w:color w:val="auto"/>
          <w:szCs w:val="21"/>
        </w:rPr>
        <w:t>1.1.2 合同当事人和人员</w:t>
      </w:r>
      <w:bookmarkEnd w:id="693"/>
      <w:bookmarkEnd w:id="694"/>
      <w:bookmarkEnd w:id="695"/>
    </w:p>
    <w:p>
      <w:pPr>
        <w:widowControl/>
        <w:shd w:val="clear" w:color="auto" w:fill="FFFFFF"/>
        <w:snapToGrid w:val="0"/>
        <w:ind w:firstLine="420" w:firstLineChars="200"/>
        <w:jc w:val="left"/>
        <w:rPr>
          <w:rFonts w:asciiTheme="minorEastAsia" w:hAnsiTheme="minorEastAsia"/>
          <w:color w:val="auto"/>
          <w:szCs w:val="21"/>
        </w:rPr>
      </w:pPr>
      <w:bookmarkStart w:id="696" w:name="_Toc221951114"/>
      <w:bookmarkStart w:id="697" w:name="_Toc262637967"/>
      <w:bookmarkStart w:id="698" w:name="_Toc262659528"/>
      <w:r>
        <w:rPr>
          <w:rFonts w:hint="eastAsia" w:asciiTheme="minorEastAsia" w:hAnsiTheme="minorEastAsia"/>
          <w:color w:val="auto"/>
          <w:szCs w:val="21"/>
        </w:rPr>
        <w:t>1.1.2.2 发包人：</w:t>
      </w:r>
      <w:bookmarkEnd w:id="696"/>
      <w:bookmarkEnd w:id="697"/>
      <w:bookmarkEnd w:id="698"/>
      <w:r>
        <w:rPr>
          <w:rFonts w:hint="eastAsia" w:asciiTheme="minorEastAsia" w:hAnsiTheme="minorEastAsia"/>
          <w:color w:val="auto"/>
          <w:szCs w:val="21"/>
        </w:rPr>
        <w:t>_____________________________</w:t>
      </w:r>
    </w:p>
    <w:p>
      <w:pPr>
        <w:widowControl/>
        <w:shd w:val="clear" w:color="auto" w:fill="FFFFFF"/>
        <w:snapToGrid w:val="0"/>
        <w:ind w:firstLine="420" w:firstLineChars="200"/>
        <w:jc w:val="left"/>
        <w:rPr>
          <w:rFonts w:asciiTheme="minorEastAsia" w:hAnsiTheme="minorEastAsia"/>
          <w:color w:val="auto"/>
          <w:szCs w:val="21"/>
        </w:rPr>
      </w:pPr>
      <w:bookmarkStart w:id="699" w:name="_Toc221951115"/>
      <w:bookmarkStart w:id="700" w:name="_Toc262637968"/>
      <w:bookmarkStart w:id="701" w:name="_Toc262659529"/>
      <w:r>
        <w:rPr>
          <w:rFonts w:hint="eastAsia" w:asciiTheme="minorEastAsia" w:hAnsiTheme="minorEastAsia"/>
          <w:color w:val="auto"/>
          <w:szCs w:val="21"/>
        </w:rPr>
        <w:t>1.1.2.3 承包人：</w:t>
      </w:r>
      <w:bookmarkEnd w:id="699"/>
      <w:bookmarkEnd w:id="700"/>
      <w:bookmarkEnd w:id="701"/>
      <w:r>
        <w:rPr>
          <w:rFonts w:hint="eastAsia" w:asciiTheme="minorEastAsia" w:hAnsiTheme="minorEastAsia"/>
          <w:color w:val="auto"/>
          <w:szCs w:val="21"/>
        </w:rPr>
        <w:t>_____________________________</w:t>
      </w:r>
    </w:p>
    <w:p>
      <w:pPr>
        <w:widowControl/>
        <w:shd w:val="clear" w:color="auto" w:fill="FFFFFF"/>
        <w:snapToGrid w:val="0"/>
        <w:ind w:firstLine="420" w:firstLineChars="200"/>
        <w:jc w:val="left"/>
        <w:rPr>
          <w:rFonts w:asciiTheme="minorEastAsia" w:hAnsiTheme="minorEastAsia"/>
          <w:color w:val="auto"/>
          <w:szCs w:val="21"/>
        </w:rPr>
      </w:pPr>
      <w:bookmarkStart w:id="702" w:name="_Toc221951116"/>
      <w:bookmarkStart w:id="703" w:name="_Toc262637969"/>
      <w:bookmarkStart w:id="704" w:name="_Toc262659530"/>
      <w:r>
        <w:rPr>
          <w:rFonts w:hint="eastAsia" w:asciiTheme="minorEastAsia" w:hAnsiTheme="minorEastAsia"/>
          <w:color w:val="auto"/>
          <w:szCs w:val="21"/>
        </w:rPr>
        <w:t>1.1.2.5 分包人：</w:t>
      </w:r>
      <w:bookmarkEnd w:id="702"/>
      <w:bookmarkEnd w:id="703"/>
      <w:bookmarkEnd w:id="704"/>
      <w:r>
        <w:rPr>
          <w:rFonts w:hint="eastAsia" w:asciiTheme="minorEastAsia" w:hAnsiTheme="minorEastAsia"/>
          <w:color w:val="auto"/>
          <w:szCs w:val="21"/>
        </w:rPr>
        <w:t>_____________________________</w:t>
      </w:r>
    </w:p>
    <w:p>
      <w:pPr>
        <w:widowControl/>
        <w:shd w:val="clear" w:color="auto" w:fill="FFFFFF"/>
        <w:snapToGrid w:val="0"/>
        <w:ind w:firstLine="420" w:firstLineChars="200"/>
        <w:jc w:val="left"/>
        <w:rPr>
          <w:rFonts w:asciiTheme="minorEastAsia" w:hAnsiTheme="minorEastAsia"/>
          <w:color w:val="auto"/>
          <w:szCs w:val="21"/>
        </w:rPr>
      </w:pPr>
      <w:bookmarkStart w:id="705" w:name="_Toc221951117"/>
      <w:bookmarkStart w:id="706" w:name="_Toc262637970"/>
      <w:bookmarkStart w:id="707" w:name="_Toc262659531"/>
      <w:r>
        <w:rPr>
          <w:rFonts w:hint="eastAsia" w:asciiTheme="minorEastAsia" w:hAnsiTheme="minorEastAsia"/>
          <w:color w:val="auto"/>
          <w:szCs w:val="21"/>
        </w:rPr>
        <w:t>1.1.2.6 监理人：</w:t>
      </w:r>
      <w:bookmarkEnd w:id="705"/>
      <w:bookmarkEnd w:id="706"/>
      <w:bookmarkEnd w:id="707"/>
      <w:r>
        <w:rPr>
          <w:rFonts w:hint="eastAsia" w:asciiTheme="minorEastAsia" w:hAnsiTheme="minorEastAsia"/>
          <w:color w:val="auto"/>
          <w:szCs w:val="21"/>
        </w:rPr>
        <w:t>_____________________________</w:t>
      </w:r>
    </w:p>
    <w:p>
      <w:pPr>
        <w:widowControl/>
        <w:shd w:val="clear" w:color="auto" w:fill="FFFFFF"/>
        <w:snapToGrid w:val="0"/>
        <w:ind w:firstLine="420" w:firstLineChars="200"/>
        <w:jc w:val="left"/>
        <w:rPr>
          <w:rFonts w:asciiTheme="minorEastAsia" w:hAnsiTheme="minorEastAsia"/>
          <w:color w:val="auto"/>
          <w:szCs w:val="21"/>
        </w:rPr>
      </w:pPr>
      <w:bookmarkStart w:id="708" w:name="_Toc221951125"/>
      <w:bookmarkStart w:id="709" w:name="_Toc262637971"/>
      <w:bookmarkStart w:id="710" w:name="_Toc262659532"/>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 xml:space="preserve">4 </w:t>
      </w:r>
      <w:r>
        <w:rPr>
          <w:rFonts w:hint="eastAsia" w:asciiTheme="minorEastAsia" w:hAnsiTheme="minorEastAsia"/>
          <w:color w:val="auto"/>
          <w:szCs w:val="21"/>
        </w:rPr>
        <w:t>日期</w:t>
      </w:r>
      <w:bookmarkEnd w:id="708"/>
      <w:bookmarkEnd w:id="709"/>
      <w:bookmarkEnd w:id="710"/>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4</w:t>
      </w:r>
      <w:r>
        <w:rPr>
          <w:rFonts w:hint="eastAsia" w:asciiTheme="minorEastAsia" w:hAnsiTheme="minorEastAsia"/>
          <w:color w:val="auto"/>
          <w:szCs w:val="21"/>
        </w:rPr>
        <w:t>.3 工期：_________日历天（</w:t>
      </w:r>
      <w:r>
        <w:rPr>
          <w:rFonts w:hint="eastAsia" w:ascii="宋体" w:hAnsi="宋体"/>
          <w:color w:val="auto"/>
          <w:szCs w:val="21"/>
        </w:rPr>
        <w:t>其中各关键节点的工期：</w:t>
      </w:r>
      <w:r>
        <w:rPr>
          <w:rFonts w:hint="eastAsia" w:asciiTheme="minorEastAsia" w:hAnsiTheme="minorEastAsia"/>
          <w:color w:val="auto"/>
          <w:szCs w:val="21"/>
        </w:rPr>
        <w:t>__________</w:t>
      </w:r>
      <w:r>
        <w:rPr>
          <w:rFonts w:hint="eastAsia" w:ascii="宋体" w:hAnsi="宋体"/>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711" w:name="_Toc262659533"/>
      <w:bookmarkStart w:id="712" w:name="_Toc221951126"/>
      <w:bookmarkStart w:id="713" w:name="_Toc262637972"/>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5</w:t>
      </w:r>
      <w:r>
        <w:rPr>
          <w:rFonts w:hint="eastAsia" w:asciiTheme="minorEastAsia" w:hAnsiTheme="minorEastAsia"/>
          <w:color w:val="auto"/>
          <w:szCs w:val="21"/>
        </w:rPr>
        <w:t xml:space="preserve"> 缺陷责任期（工程质量保修期）：</w:t>
      </w:r>
      <w:bookmarkEnd w:id="711"/>
      <w:bookmarkEnd w:id="712"/>
      <w:bookmarkEnd w:id="713"/>
      <w:bookmarkStart w:id="714" w:name="_Toc221951127"/>
      <w:r>
        <w:rPr>
          <w:rFonts w:hint="eastAsia" w:asciiTheme="minorEastAsia" w:hAnsiTheme="minorEastAsia"/>
          <w:color w:val="auto"/>
          <w:szCs w:val="21"/>
        </w:rPr>
        <w:t>_____________________________</w:t>
      </w:r>
    </w:p>
    <w:p>
      <w:pPr>
        <w:pStyle w:val="5"/>
        <w:adjustRightInd w:val="0"/>
        <w:snapToGrid w:val="0"/>
        <w:spacing w:before="0" w:after="0" w:line="520" w:lineRule="exact"/>
        <w:rPr>
          <w:rFonts w:asciiTheme="majorEastAsia" w:hAnsiTheme="majorEastAsia" w:eastAsiaTheme="majorEastAsia"/>
          <w:color w:val="auto"/>
        </w:rPr>
      </w:pPr>
      <w:bookmarkStart w:id="715" w:name="_Toc511635981"/>
      <w:bookmarkStart w:id="716" w:name="_Toc262637973"/>
      <w:bookmarkStart w:id="717" w:name="_Toc262659534"/>
      <w:r>
        <w:rPr>
          <w:rFonts w:hint="eastAsia" w:asciiTheme="majorEastAsia" w:hAnsiTheme="majorEastAsia" w:eastAsiaTheme="majorEastAsia"/>
          <w:color w:val="auto"/>
        </w:rPr>
        <w:t>1.4 合同文件的优先顺序</w:t>
      </w:r>
      <w:bookmarkEnd w:id="714"/>
      <w:bookmarkEnd w:id="715"/>
      <w:bookmarkEnd w:id="716"/>
      <w:bookmarkEnd w:id="717"/>
    </w:p>
    <w:p>
      <w:pPr>
        <w:widowControl/>
        <w:shd w:val="clear" w:color="auto" w:fill="FFFFFF"/>
        <w:snapToGrid w:val="0"/>
        <w:ind w:firstLine="420" w:firstLineChars="200"/>
        <w:jc w:val="left"/>
        <w:rPr>
          <w:rFonts w:asciiTheme="minorEastAsia" w:hAnsiTheme="minorEastAsia"/>
          <w:color w:val="auto"/>
          <w:szCs w:val="21"/>
        </w:rPr>
      </w:pPr>
      <w:bookmarkStart w:id="718" w:name="_Toc262637974"/>
      <w:bookmarkStart w:id="719" w:name="_Toc262659535"/>
      <w:r>
        <w:rPr>
          <w:rFonts w:hint="eastAsia" w:asciiTheme="minorEastAsia" w:hAnsiTheme="minorEastAsia"/>
          <w:color w:val="auto"/>
          <w:szCs w:val="21"/>
        </w:rPr>
        <w:t>进入合同文件的各项文件及其优先顺序是_____________________________。</w:t>
      </w:r>
      <w:bookmarkEnd w:id="718"/>
      <w:bookmarkEnd w:id="719"/>
      <w:bookmarkStart w:id="720" w:name="_Toc221951129"/>
    </w:p>
    <w:p>
      <w:pPr>
        <w:pStyle w:val="5"/>
        <w:adjustRightInd w:val="0"/>
        <w:snapToGrid w:val="0"/>
        <w:spacing w:before="0" w:after="0" w:line="520" w:lineRule="exact"/>
        <w:rPr>
          <w:rFonts w:asciiTheme="majorEastAsia" w:hAnsiTheme="majorEastAsia" w:eastAsiaTheme="majorEastAsia"/>
          <w:color w:val="auto"/>
        </w:rPr>
      </w:pPr>
      <w:bookmarkStart w:id="721" w:name="_Toc262637975"/>
      <w:bookmarkStart w:id="722" w:name="_Toc262659536"/>
      <w:bookmarkStart w:id="723" w:name="_Toc511635982"/>
      <w:r>
        <w:rPr>
          <w:rFonts w:hint="eastAsia" w:asciiTheme="majorEastAsia" w:hAnsiTheme="majorEastAsia" w:eastAsiaTheme="majorEastAsia"/>
          <w:color w:val="auto"/>
        </w:rPr>
        <w:t>1.7 联络</w:t>
      </w:r>
      <w:bookmarkEnd w:id="720"/>
      <w:bookmarkEnd w:id="721"/>
      <w:bookmarkEnd w:id="722"/>
      <w:bookmarkEnd w:id="723"/>
    </w:p>
    <w:p>
      <w:pPr>
        <w:widowControl/>
        <w:shd w:val="clear" w:color="auto" w:fill="FFFFFF"/>
        <w:snapToGrid w:val="0"/>
        <w:jc w:val="left"/>
        <w:rPr>
          <w:rFonts w:asciiTheme="minorEastAsia" w:hAnsiTheme="minorEastAsia"/>
          <w:color w:val="auto"/>
          <w:szCs w:val="21"/>
        </w:rPr>
      </w:pPr>
      <w:bookmarkStart w:id="724" w:name="_Toc221951130"/>
      <w:bookmarkStart w:id="725" w:name="_Toc262637976"/>
      <w:bookmarkStart w:id="726" w:name="_Toc262659537"/>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7</w:t>
      </w:r>
      <w:r>
        <w:rPr>
          <w:rFonts w:hint="eastAsia" w:asciiTheme="minorEastAsia" w:hAnsiTheme="minorEastAsia"/>
          <w:color w:val="auto"/>
          <w:szCs w:val="21"/>
        </w:rPr>
        <w:t>.</w:t>
      </w:r>
      <w:r>
        <w:rPr>
          <w:rFonts w:asciiTheme="minorEastAsia" w:hAnsiTheme="minorEastAsia"/>
          <w:color w:val="auto"/>
          <w:szCs w:val="21"/>
        </w:rPr>
        <w:t>2</w:t>
      </w:r>
      <w:bookmarkEnd w:id="724"/>
      <w:r>
        <w:rPr>
          <w:rFonts w:hint="eastAsia" w:asciiTheme="minorEastAsia" w:hAnsiTheme="minorEastAsia"/>
          <w:color w:val="auto"/>
          <w:szCs w:val="21"/>
        </w:rPr>
        <w:t xml:space="preserve"> 来往函件均应按技术标准和要求（合同技术条款）约定的期限送达</w:t>
      </w:r>
      <w:bookmarkEnd w:id="725"/>
      <w:bookmarkEnd w:id="726"/>
      <w:bookmarkStart w:id="727" w:name="_Toc221951131"/>
      <w:bookmarkStart w:id="728" w:name="_Toc222029528"/>
      <w:bookmarkStart w:id="729" w:name="_Toc222031030"/>
      <w:bookmarkStart w:id="730" w:name="_Toc222032697"/>
      <w:bookmarkStart w:id="731" w:name="_Toc222033879"/>
      <w:bookmarkStart w:id="732" w:name="_Toc229305388"/>
      <w:bookmarkStart w:id="733" w:name="_Toc487489976"/>
      <w:r>
        <w:rPr>
          <w:rFonts w:hint="eastAsia" w:asciiTheme="minorEastAsia" w:hAnsiTheme="minorEastAsia"/>
          <w:color w:val="auto"/>
          <w:szCs w:val="21"/>
        </w:rPr>
        <w:t>__________________。</w:t>
      </w:r>
    </w:p>
    <w:p>
      <w:pPr>
        <w:pStyle w:val="4"/>
        <w:rPr>
          <w:color w:val="auto"/>
        </w:rPr>
      </w:pPr>
      <w:bookmarkStart w:id="734" w:name="_Toc511635983"/>
      <w:bookmarkStart w:id="735" w:name="_Toc515441162"/>
      <w:bookmarkStart w:id="736" w:name="_Toc516816165"/>
      <w:bookmarkStart w:id="737" w:name="_Toc516816354"/>
      <w:r>
        <w:rPr>
          <w:rFonts w:hint="eastAsia"/>
          <w:color w:val="auto"/>
        </w:rPr>
        <w:t>2 发包人义务</w:t>
      </w:r>
      <w:bookmarkEnd w:id="727"/>
      <w:bookmarkEnd w:id="728"/>
      <w:bookmarkEnd w:id="729"/>
      <w:bookmarkEnd w:id="730"/>
      <w:bookmarkEnd w:id="731"/>
      <w:bookmarkEnd w:id="732"/>
      <w:bookmarkEnd w:id="733"/>
      <w:bookmarkEnd w:id="734"/>
      <w:bookmarkEnd w:id="735"/>
      <w:bookmarkEnd w:id="736"/>
      <w:bookmarkEnd w:id="737"/>
      <w:bookmarkStart w:id="738" w:name="_Toc221951132"/>
    </w:p>
    <w:p>
      <w:pPr>
        <w:pStyle w:val="5"/>
        <w:adjustRightInd w:val="0"/>
        <w:snapToGrid w:val="0"/>
        <w:spacing w:before="0" w:after="0" w:line="520" w:lineRule="exact"/>
        <w:rPr>
          <w:rFonts w:asciiTheme="majorEastAsia" w:hAnsiTheme="majorEastAsia" w:eastAsiaTheme="majorEastAsia"/>
          <w:color w:val="auto"/>
        </w:rPr>
      </w:pPr>
      <w:bookmarkStart w:id="739" w:name="_Toc262637978"/>
      <w:bookmarkStart w:id="740" w:name="_Toc511635984"/>
      <w:r>
        <w:rPr>
          <w:rFonts w:hint="eastAsia" w:asciiTheme="majorEastAsia" w:hAnsiTheme="majorEastAsia" w:eastAsiaTheme="majorEastAsia"/>
          <w:color w:val="auto"/>
        </w:rPr>
        <w:t>2.3 提供施工场地</w:t>
      </w:r>
      <w:bookmarkEnd w:id="738"/>
      <w:bookmarkEnd w:id="739"/>
      <w:bookmarkEnd w:id="740"/>
    </w:p>
    <w:p>
      <w:pPr>
        <w:widowControl/>
        <w:shd w:val="clear" w:color="auto" w:fill="FFFFFF"/>
        <w:snapToGrid w:val="0"/>
        <w:ind w:firstLine="420" w:firstLineChars="200"/>
        <w:jc w:val="left"/>
        <w:rPr>
          <w:rFonts w:asciiTheme="minorEastAsia" w:hAnsiTheme="minorEastAsia"/>
          <w:color w:val="auto"/>
          <w:szCs w:val="21"/>
        </w:rPr>
      </w:pPr>
      <w:bookmarkStart w:id="741" w:name="_Toc221951133"/>
      <w:bookmarkStart w:id="742" w:name="_Toc262637979"/>
      <w:bookmarkStart w:id="743" w:name="_Toc262659538"/>
      <w:r>
        <w:rPr>
          <w:rFonts w:hint="eastAsia" w:asciiTheme="minorEastAsia" w:hAnsiTheme="minorEastAsia"/>
          <w:color w:val="auto"/>
          <w:szCs w:val="21"/>
        </w:rPr>
        <w:t>2.3.2 发包人提供的施工用地范围为：</w:t>
      </w:r>
      <w:bookmarkEnd w:id="741"/>
      <w:r>
        <w:rPr>
          <w:rFonts w:hint="eastAsia" w:asciiTheme="minorEastAsia" w:hAnsiTheme="minorEastAsia"/>
          <w:color w:val="auto"/>
          <w:szCs w:val="21"/>
        </w:rPr>
        <w:t>______________________。</w:t>
      </w:r>
      <w:bookmarkEnd w:id="742"/>
      <w:bookmarkEnd w:id="743"/>
      <w:r>
        <w:rPr>
          <w:rFonts w:hint="eastAsia" w:asciiTheme="minorEastAsia" w:hAnsiTheme="minorEastAsia"/>
          <w:color w:val="auto"/>
          <w:szCs w:val="21"/>
        </w:rPr>
        <w:t xml:space="preserve"> </w:t>
      </w:r>
    </w:p>
    <w:p>
      <w:pPr>
        <w:widowControl/>
        <w:shd w:val="clear" w:color="auto" w:fill="FFFFFF"/>
        <w:snapToGrid w:val="0"/>
        <w:ind w:firstLine="420" w:firstLineChars="200"/>
        <w:jc w:val="left"/>
        <w:rPr>
          <w:rFonts w:asciiTheme="minorEastAsia" w:hAnsiTheme="minorEastAsia"/>
          <w:color w:val="auto"/>
          <w:szCs w:val="21"/>
        </w:rPr>
      </w:pPr>
      <w:bookmarkStart w:id="744" w:name="_Toc262637980"/>
      <w:bookmarkStart w:id="745" w:name="_Toc262659539"/>
      <w:r>
        <w:rPr>
          <w:rFonts w:hint="eastAsia" w:asciiTheme="minorEastAsia" w:hAnsiTheme="minorEastAsia"/>
          <w:color w:val="auto"/>
          <w:szCs w:val="21"/>
        </w:rPr>
        <w:t>2.3.3 承包人自行勘察的施工场地范围为：</w:t>
      </w:r>
      <w:r>
        <w:rPr>
          <w:rFonts w:asciiTheme="minorEastAsia" w:hAnsiTheme="minorEastAsia"/>
          <w:color w:val="auto"/>
          <w:szCs w:val="21"/>
        </w:rPr>
        <w:t>_____________________</w:t>
      </w:r>
      <w:r>
        <w:rPr>
          <w:rFonts w:hint="eastAsia" w:asciiTheme="minorEastAsia" w:hAnsiTheme="minorEastAsia"/>
          <w:color w:val="auto"/>
          <w:szCs w:val="21"/>
        </w:rPr>
        <w:t>。</w:t>
      </w:r>
      <w:bookmarkEnd w:id="744"/>
      <w:bookmarkEnd w:id="745"/>
      <w:bookmarkStart w:id="746" w:name="_Toc221951134"/>
    </w:p>
    <w:p>
      <w:pPr>
        <w:pStyle w:val="5"/>
        <w:adjustRightInd w:val="0"/>
        <w:snapToGrid w:val="0"/>
        <w:spacing w:before="0" w:after="0" w:line="520" w:lineRule="exact"/>
        <w:rPr>
          <w:rFonts w:asciiTheme="majorEastAsia" w:hAnsiTheme="majorEastAsia" w:eastAsiaTheme="majorEastAsia"/>
          <w:color w:val="auto"/>
        </w:rPr>
      </w:pPr>
      <w:bookmarkStart w:id="747" w:name="_Toc262637981"/>
      <w:bookmarkStart w:id="748" w:name="_Toc262659540"/>
      <w:bookmarkStart w:id="749" w:name="_Toc511635985"/>
      <w:r>
        <w:rPr>
          <w:rFonts w:hint="eastAsia" w:asciiTheme="majorEastAsia" w:hAnsiTheme="majorEastAsia" w:eastAsiaTheme="majorEastAsia"/>
          <w:color w:val="auto"/>
        </w:rPr>
        <w:t>2.8 其它义务</w:t>
      </w:r>
      <w:bookmarkEnd w:id="746"/>
      <w:bookmarkEnd w:id="747"/>
      <w:bookmarkEnd w:id="748"/>
      <w:bookmarkEnd w:id="749"/>
      <w:bookmarkStart w:id="750" w:name="_Toc221951135"/>
      <w:bookmarkStart w:id="751" w:name="_Toc262637982"/>
      <w:bookmarkStart w:id="752" w:name="_Toc262659541"/>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w:t>
      </w:r>
      <w:r>
        <w:rPr>
          <w:rFonts w:hint="eastAsia" w:asciiTheme="minorEastAsia" w:hAnsiTheme="minorEastAsia"/>
          <w:color w:val="auto"/>
          <w:szCs w:val="21"/>
        </w:rPr>
        <w:t>根据发包人的合同管理要求补充</w:t>
      </w:r>
      <w:r>
        <w:rPr>
          <w:rFonts w:asciiTheme="minorEastAsia" w:hAnsiTheme="minorEastAsia"/>
          <w:color w:val="auto"/>
          <w:szCs w:val="21"/>
        </w:rPr>
        <w:t>)</w:t>
      </w:r>
      <w:bookmarkEnd w:id="750"/>
      <w:bookmarkEnd w:id="751"/>
      <w:bookmarkEnd w:id="752"/>
    </w:p>
    <w:p>
      <w:pPr>
        <w:widowControl/>
        <w:shd w:val="clear" w:color="auto" w:fill="FFFFFF"/>
        <w:snapToGrid w:val="0"/>
        <w:ind w:firstLine="420" w:firstLineChars="200"/>
        <w:jc w:val="left"/>
        <w:rPr>
          <w:rFonts w:asciiTheme="minorEastAsia" w:hAnsiTheme="minorEastAsia"/>
          <w:color w:val="auto"/>
          <w:szCs w:val="21"/>
        </w:rPr>
      </w:pPr>
      <w:bookmarkStart w:id="753" w:name="_Toc221951136"/>
      <w:bookmarkStart w:id="754" w:name="_Toc262637983"/>
      <w:bookmarkStart w:id="755" w:name="_Toc262659542"/>
      <w:r>
        <w:rPr>
          <w:rFonts w:hint="eastAsia" w:asciiTheme="minorEastAsia" w:hAnsiTheme="minorEastAsia"/>
          <w:color w:val="auto"/>
          <w:szCs w:val="21"/>
        </w:rPr>
        <w:t>（1）……</w:t>
      </w:r>
      <w:bookmarkEnd w:id="753"/>
      <w:bookmarkEnd w:id="754"/>
      <w:bookmarkEnd w:id="755"/>
    </w:p>
    <w:p>
      <w:pPr>
        <w:widowControl/>
        <w:shd w:val="clear" w:color="auto" w:fill="FFFFFF"/>
        <w:snapToGrid w:val="0"/>
        <w:ind w:firstLine="420" w:firstLineChars="200"/>
        <w:jc w:val="left"/>
        <w:rPr>
          <w:rFonts w:asciiTheme="minorEastAsia" w:hAnsiTheme="minorEastAsia"/>
          <w:color w:val="auto"/>
          <w:szCs w:val="21"/>
        </w:rPr>
      </w:pPr>
      <w:bookmarkStart w:id="756" w:name="_Toc221951137"/>
      <w:bookmarkStart w:id="757" w:name="_Toc262637984"/>
      <w:bookmarkStart w:id="758" w:name="_Toc262659543"/>
      <w:r>
        <w:rPr>
          <w:rFonts w:hint="eastAsia" w:asciiTheme="minorEastAsia" w:hAnsiTheme="minorEastAsia"/>
          <w:color w:val="auto"/>
          <w:szCs w:val="21"/>
        </w:rPr>
        <w:t>（2）……</w:t>
      </w:r>
      <w:bookmarkEnd w:id="756"/>
      <w:bookmarkEnd w:id="757"/>
      <w:bookmarkEnd w:id="758"/>
    </w:p>
    <w:p>
      <w:pPr>
        <w:pStyle w:val="4"/>
        <w:rPr>
          <w:color w:val="auto"/>
        </w:rPr>
      </w:pPr>
      <w:bookmarkStart w:id="759" w:name="_Toc221951140"/>
      <w:bookmarkStart w:id="760" w:name="_Toc222029529"/>
      <w:bookmarkStart w:id="761" w:name="_Toc222031031"/>
      <w:bookmarkStart w:id="762" w:name="_Toc222032698"/>
      <w:bookmarkStart w:id="763" w:name="_Toc222033880"/>
      <w:bookmarkStart w:id="764" w:name="_Toc229305389"/>
      <w:bookmarkStart w:id="765" w:name="_Toc487489977"/>
      <w:bookmarkStart w:id="766" w:name="_Toc511635986"/>
      <w:bookmarkStart w:id="767" w:name="_Toc515441163"/>
      <w:bookmarkStart w:id="768" w:name="_Toc516816166"/>
      <w:bookmarkStart w:id="769" w:name="_Toc516816355"/>
      <w:r>
        <w:rPr>
          <w:rFonts w:hint="eastAsia"/>
          <w:color w:val="auto"/>
        </w:rPr>
        <w:t>3 监理人</w:t>
      </w:r>
      <w:bookmarkEnd w:id="759"/>
      <w:bookmarkEnd w:id="760"/>
      <w:bookmarkEnd w:id="761"/>
      <w:bookmarkEnd w:id="762"/>
      <w:bookmarkEnd w:id="763"/>
      <w:bookmarkEnd w:id="764"/>
      <w:bookmarkEnd w:id="765"/>
      <w:bookmarkEnd w:id="766"/>
      <w:bookmarkEnd w:id="767"/>
      <w:bookmarkEnd w:id="768"/>
      <w:bookmarkEnd w:id="769"/>
      <w:bookmarkStart w:id="770" w:name="_Toc221951141"/>
    </w:p>
    <w:p>
      <w:pPr>
        <w:pStyle w:val="5"/>
        <w:adjustRightInd w:val="0"/>
        <w:snapToGrid w:val="0"/>
        <w:spacing w:before="0" w:after="0" w:line="520" w:lineRule="exact"/>
        <w:rPr>
          <w:rFonts w:asciiTheme="majorEastAsia" w:hAnsiTheme="majorEastAsia" w:eastAsiaTheme="majorEastAsia"/>
          <w:color w:val="auto"/>
        </w:rPr>
      </w:pPr>
      <w:bookmarkStart w:id="771" w:name="_Toc262637986"/>
      <w:bookmarkStart w:id="772" w:name="_Toc511635987"/>
      <w:r>
        <w:rPr>
          <w:rFonts w:hint="eastAsia" w:asciiTheme="majorEastAsia" w:hAnsiTheme="majorEastAsia" w:eastAsiaTheme="majorEastAsia"/>
          <w:color w:val="auto"/>
        </w:rPr>
        <w:t>3.1 监理人的职责和权力</w:t>
      </w:r>
      <w:bookmarkEnd w:id="770"/>
      <w:bookmarkEnd w:id="771"/>
      <w:bookmarkEnd w:id="772"/>
    </w:p>
    <w:p>
      <w:pPr>
        <w:widowControl/>
        <w:shd w:val="clear" w:color="auto" w:fill="FFFFFF"/>
        <w:snapToGrid w:val="0"/>
        <w:ind w:firstLine="420" w:firstLineChars="200"/>
        <w:jc w:val="left"/>
        <w:rPr>
          <w:rFonts w:asciiTheme="minorEastAsia" w:hAnsiTheme="minorEastAsia"/>
          <w:color w:val="auto"/>
          <w:szCs w:val="21"/>
          <w:u w:val="single"/>
        </w:rPr>
      </w:pPr>
      <w:bookmarkStart w:id="773" w:name="_Toc221951142"/>
      <w:bookmarkStart w:id="774" w:name="_Toc262637987"/>
      <w:bookmarkStart w:id="775" w:name="_Toc262659544"/>
      <w:r>
        <w:rPr>
          <w:rFonts w:hint="eastAsia" w:asciiTheme="minorEastAsia" w:hAnsiTheme="minorEastAsia"/>
          <w:color w:val="auto"/>
          <w:szCs w:val="21"/>
        </w:rPr>
        <w:t>3.1.1</w:t>
      </w:r>
      <w:bookmarkEnd w:id="773"/>
      <w:r>
        <w:rPr>
          <w:rFonts w:hint="eastAsia" w:asciiTheme="minorEastAsia" w:hAnsiTheme="minorEastAsia"/>
          <w:color w:val="auto"/>
          <w:szCs w:val="21"/>
        </w:rPr>
        <w:t xml:space="preserve"> 监理人须根据发包人事先批准的权力范围行使权力，发包人批准的权力范围：</w:t>
      </w:r>
      <w:r>
        <w:rPr>
          <w:rFonts w:hint="eastAsia" w:asciiTheme="minorEastAsia" w:hAnsiTheme="minorEastAsia"/>
          <w:color w:val="auto"/>
          <w:szCs w:val="21"/>
          <w:u w:val="single"/>
        </w:rPr>
        <w:t>（填写监理人须经发包人批准才能行使的权力，以下示例供参考）</w:t>
      </w:r>
      <w:bookmarkEnd w:id="774"/>
      <w:bookmarkEnd w:id="775"/>
    </w:p>
    <w:p>
      <w:pPr>
        <w:widowControl/>
        <w:shd w:val="clear" w:color="auto" w:fill="FFFFFF"/>
        <w:snapToGrid w:val="0"/>
        <w:ind w:firstLine="420" w:firstLineChars="200"/>
        <w:jc w:val="left"/>
        <w:rPr>
          <w:rFonts w:asciiTheme="minorEastAsia" w:hAnsiTheme="minorEastAsia"/>
          <w:color w:val="auto"/>
          <w:szCs w:val="21"/>
        </w:rPr>
      </w:pPr>
      <w:bookmarkStart w:id="776" w:name="_Toc221951145"/>
      <w:r>
        <w:rPr>
          <w:rFonts w:hint="eastAsia" w:asciiTheme="minorEastAsia" w:hAnsiTheme="minorEastAsia"/>
          <w:color w:val="auto"/>
          <w:szCs w:val="21"/>
        </w:rPr>
        <w:t>（1）按第4.3条约定，批准工程的分包</w:t>
      </w:r>
      <w:bookmarkEnd w:id="776"/>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777" w:name="_Toc221951146"/>
      <w:r>
        <w:rPr>
          <w:rFonts w:hint="eastAsia" w:asciiTheme="minorEastAsia" w:hAnsiTheme="minorEastAsia"/>
          <w:color w:val="auto"/>
          <w:szCs w:val="21"/>
        </w:rPr>
        <w:t>（2）按第11.3条约定，确定延长完工期限</w:t>
      </w:r>
      <w:bookmarkEnd w:id="777"/>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778" w:name="_Toc221951147"/>
      <w:r>
        <w:rPr>
          <w:rFonts w:hint="eastAsia" w:asciiTheme="minorEastAsia" w:hAnsiTheme="minorEastAsia"/>
          <w:color w:val="auto"/>
          <w:szCs w:val="21"/>
        </w:rPr>
        <w:t>（3）按第15.6条约定，批准暂列金额的使用</w:t>
      </w:r>
      <w:bookmarkEnd w:id="778"/>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779" w:name="_Toc221951148"/>
      <w:r>
        <w:rPr>
          <w:rFonts w:hint="eastAsia" w:asciiTheme="minorEastAsia" w:hAnsiTheme="minorEastAsia"/>
          <w:color w:val="auto"/>
          <w:szCs w:val="21"/>
        </w:rPr>
        <w:t>……</w:t>
      </w:r>
      <w:bookmarkEnd w:id="779"/>
    </w:p>
    <w:p>
      <w:pPr>
        <w:pStyle w:val="4"/>
        <w:rPr>
          <w:color w:val="auto"/>
        </w:rPr>
      </w:pPr>
      <w:bookmarkStart w:id="780" w:name="_Toc222031032"/>
      <w:bookmarkStart w:id="781" w:name="_Toc222032699"/>
      <w:bookmarkStart w:id="782" w:name="_Toc222029530"/>
      <w:bookmarkStart w:id="783" w:name="_Toc221951150"/>
      <w:bookmarkStart w:id="784" w:name="_Toc222033881"/>
      <w:bookmarkStart w:id="785" w:name="_Toc229305390"/>
      <w:bookmarkStart w:id="786" w:name="_Toc487489978"/>
      <w:bookmarkStart w:id="787" w:name="_Toc511635988"/>
      <w:bookmarkStart w:id="788" w:name="_Toc515441164"/>
      <w:bookmarkStart w:id="789" w:name="_Toc516816167"/>
      <w:bookmarkStart w:id="790" w:name="_Toc516816356"/>
      <w:r>
        <w:rPr>
          <w:rFonts w:hint="eastAsia"/>
          <w:color w:val="auto"/>
        </w:rPr>
        <w:t>4 承包人</w:t>
      </w:r>
      <w:bookmarkEnd w:id="780"/>
      <w:bookmarkEnd w:id="781"/>
      <w:bookmarkEnd w:id="782"/>
      <w:bookmarkEnd w:id="783"/>
      <w:bookmarkEnd w:id="784"/>
      <w:bookmarkEnd w:id="785"/>
      <w:bookmarkEnd w:id="786"/>
      <w:bookmarkEnd w:id="787"/>
      <w:bookmarkEnd w:id="788"/>
      <w:bookmarkEnd w:id="789"/>
      <w:bookmarkEnd w:id="790"/>
      <w:bookmarkStart w:id="791" w:name="_Toc221951151"/>
    </w:p>
    <w:p>
      <w:pPr>
        <w:pStyle w:val="5"/>
        <w:adjustRightInd w:val="0"/>
        <w:snapToGrid w:val="0"/>
        <w:spacing w:before="0" w:after="0" w:line="520" w:lineRule="exact"/>
        <w:rPr>
          <w:rFonts w:asciiTheme="majorEastAsia" w:hAnsiTheme="majorEastAsia" w:eastAsiaTheme="majorEastAsia"/>
          <w:color w:val="auto"/>
        </w:rPr>
      </w:pPr>
      <w:bookmarkStart w:id="792" w:name="_Toc262637989"/>
      <w:bookmarkStart w:id="793" w:name="_Toc511635989"/>
      <w:r>
        <w:rPr>
          <w:rFonts w:hint="eastAsia" w:asciiTheme="majorEastAsia" w:hAnsiTheme="majorEastAsia" w:eastAsiaTheme="majorEastAsia"/>
          <w:color w:val="auto"/>
        </w:rPr>
        <w:t>4.1 承包人的一般义务</w:t>
      </w:r>
      <w:bookmarkEnd w:id="791"/>
      <w:bookmarkEnd w:id="792"/>
      <w:bookmarkEnd w:id="793"/>
    </w:p>
    <w:p>
      <w:pPr>
        <w:widowControl/>
        <w:shd w:val="clear" w:color="auto" w:fill="FFFFFF"/>
        <w:snapToGrid w:val="0"/>
        <w:ind w:firstLine="420" w:firstLineChars="200"/>
        <w:jc w:val="left"/>
        <w:rPr>
          <w:rFonts w:asciiTheme="minorEastAsia" w:hAnsiTheme="minorEastAsia"/>
          <w:color w:val="auto"/>
          <w:szCs w:val="21"/>
        </w:rPr>
      </w:pPr>
      <w:bookmarkStart w:id="794" w:name="_Toc221951152"/>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w:t>
      </w:r>
      <w:r>
        <w:rPr>
          <w:rFonts w:asciiTheme="minorEastAsia" w:hAnsiTheme="minorEastAsia"/>
          <w:color w:val="auto"/>
          <w:szCs w:val="21"/>
        </w:rPr>
        <w:t>10</w:t>
      </w:r>
      <w:r>
        <w:rPr>
          <w:rFonts w:hint="eastAsia" w:asciiTheme="minorEastAsia" w:hAnsiTheme="minorEastAsia"/>
          <w:color w:val="auto"/>
          <w:szCs w:val="21"/>
        </w:rPr>
        <w:t xml:space="preserve"> 其他义务</w:t>
      </w:r>
      <w:bookmarkEnd w:id="794"/>
    </w:p>
    <w:p>
      <w:pPr>
        <w:widowControl/>
        <w:shd w:val="clear" w:color="auto" w:fill="FFFFFF"/>
        <w:snapToGrid w:val="0"/>
        <w:ind w:firstLine="420" w:firstLineChars="200"/>
        <w:jc w:val="left"/>
        <w:rPr>
          <w:rFonts w:asciiTheme="minorEastAsia" w:hAnsiTheme="minorEastAsia"/>
          <w:color w:val="auto"/>
          <w:szCs w:val="21"/>
        </w:rPr>
      </w:pPr>
      <w:bookmarkStart w:id="795" w:name="_Toc262637990"/>
      <w:r>
        <w:rPr>
          <w:rFonts w:hint="eastAsia" w:asciiTheme="minorEastAsia" w:hAnsiTheme="minorEastAsia"/>
          <w:color w:val="auto"/>
          <w:szCs w:val="21"/>
        </w:rPr>
        <w:t>（1）……</w:t>
      </w:r>
      <w:bookmarkEnd w:id="795"/>
      <w:bookmarkStart w:id="796" w:name="_Toc2626379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w:t>
      </w:r>
      <w:bookmarkEnd w:id="796"/>
    </w:p>
    <w:p>
      <w:pPr>
        <w:pStyle w:val="5"/>
        <w:adjustRightInd w:val="0"/>
        <w:snapToGrid w:val="0"/>
        <w:spacing w:before="0" w:after="0" w:line="520" w:lineRule="exact"/>
        <w:rPr>
          <w:rFonts w:asciiTheme="majorEastAsia" w:hAnsiTheme="majorEastAsia" w:eastAsiaTheme="majorEastAsia"/>
          <w:color w:val="auto"/>
        </w:rPr>
      </w:pPr>
      <w:bookmarkStart w:id="797" w:name="_Toc262637992"/>
      <w:bookmarkStart w:id="798" w:name="_Toc511635990"/>
      <w:bookmarkStart w:id="799" w:name="_Toc221951153"/>
      <w:r>
        <w:rPr>
          <w:rFonts w:hint="eastAsia" w:asciiTheme="majorEastAsia" w:hAnsiTheme="majorEastAsia" w:eastAsiaTheme="majorEastAsia"/>
          <w:color w:val="auto"/>
        </w:rPr>
        <w:t>4.3 分包</w:t>
      </w:r>
      <w:bookmarkEnd w:id="797"/>
      <w:bookmarkEnd w:id="798"/>
      <w:bookmarkEnd w:id="799"/>
    </w:p>
    <w:p>
      <w:pPr>
        <w:widowControl/>
        <w:shd w:val="clear" w:color="auto" w:fill="FFFFFF"/>
        <w:snapToGrid w:val="0"/>
        <w:ind w:firstLine="420" w:firstLineChars="200"/>
        <w:jc w:val="left"/>
        <w:rPr>
          <w:rFonts w:asciiTheme="minorEastAsia" w:hAnsiTheme="minorEastAsia"/>
          <w:color w:val="auto"/>
          <w:szCs w:val="21"/>
        </w:rPr>
      </w:pPr>
      <w:bookmarkStart w:id="800" w:name="_Toc221951154"/>
      <w:r>
        <w:rPr>
          <w:rFonts w:hint="eastAsia" w:asciiTheme="minorEastAsia" w:hAnsiTheme="minorEastAsia"/>
          <w:color w:val="auto"/>
          <w:szCs w:val="21"/>
        </w:rPr>
        <w:t>4.3.2 允许承包人分包的工程项目、工作内容与分包金额限额为：</w:t>
      </w:r>
      <w:bookmarkEnd w:id="800"/>
    </w:p>
    <w:p>
      <w:pPr>
        <w:widowControl/>
        <w:shd w:val="clear" w:color="auto" w:fill="FFFFFF"/>
        <w:snapToGrid w:val="0"/>
        <w:ind w:firstLine="420" w:firstLineChars="200"/>
        <w:jc w:val="left"/>
        <w:rPr>
          <w:rFonts w:asciiTheme="minorEastAsia" w:hAnsiTheme="minorEastAsia"/>
          <w:color w:val="auto"/>
          <w:szCs w:val="21"/>
        </w:rPr>
      </w:pPr>
      <w:bookmarkStart w:id="801" w:name="_Toc221951155"/>
      <w:r>
        <w:rPr>
          <w:rFonts w:hint="eastAsia" w:asciiTheme="minorEastAsia" w:hAnsiTheme="minorEastAsia"/>
          <w:color w:val="auto"/>
          <w:szCs w:val="21"/>
        </w:rPr>
        <w:t>（1）工程项目</w:t>
      </w:r>
      <w:bookmarkEnd w:id="801"/>
      <w:bookmarkStart w:id="802" w:name="_Toc221951156"/>
      <w:r>
        <w:rPr>
          <w:rFonts w:hint="eastAsia" w:asciiTheme="minorEastAsia" w:hAnsiTheme="minorEastAsia"/>
          <w:color w:val="auto"/>
          <w:szCs w:val="21"/>
        </w:rPr>
        <w:t>：</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（2）工作内容：</w:t>
      </w:r>
      <w:bookmarkEnd w:id="802"/>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803" w:name="_Toc221951157"/>
      <w:r>
        <w:rPr>
          <w:rFonts w:hint="eastAsia" w:asciiTheme="minorEastAsia" w:hAnsiTheme="minorEastAsia"/>
          <w:color w:val="auto"/>
          <w:szCs w:val="21"/>
        </w:rPr>
        <w:t>（3）分包金额限额：</w:t>
      </w:r>
      <w:bookmarkEnd w:id="803"/>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4.3.10 分包人项目管理机构的设立：</w:t>
      </w:r>
      <w:bookmarkStart w:id="804" w:name="_Toc221951158"/>
      <w:bookmarkStart w:id="805" w:name="_Toc262637993"/>
      <w:r>
        <w:rPr>
          <w:rFonts w:asciiTheme="minorEastAsia" w:hAnsiTheme="minorEastAsia"/>
          <w:color w:val="auto"/>
          <w:szCs w:val="21"/>
        </w:rPr>
        <w:t>_____________________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806" w:name="_Toc511635991"/>
      <w:r>
        <w:rPr>
          <w:rFonts w:asciiTheme="majorEastAsia" w:hAnsiTheme="majorEastAsia" w:eastAsiaTheme="majorEastAsia"/>
          <w:color w:val="auto"/>
        </w:rPr>
        <w:t>4</w:t>
      </w:r>
      <w:r>
        <w:rPr>
          <w:rFonts w:hint="eastAsia" w:asciiTheme="majorEastAsia" w:hAnsiTheme="majorEastAsia" w:eastAsiaTheme="majorEastAsia"/>
          <w:color w:val="auto"/>
        </w:rPr>
        <w:t>.</w:t>
      </w:r>
      <w:r>
        <w:rPr>
          <w:rFonts w:asciiTheme="majorEastAsia" w:hAnsiTheme="majorEastAsia" w:eastAsiaTheme="majorEastAsia"/>
          <w:color w:val="auto"/>
        </w:rPr>
        <w:t xml:space="preserve">11 </w:t>
      </w:r>
      <w:r>
        <w:rPr>
          <w:rFonts w:hint="eastAsia" w:asciiTheme="majorEastAsia" w:hAnsiTheme="majorEastAsia" w:eastAsiaTheme="majorEastAsia"/>
          <w:color w:val="auto"/>
        </w:rPr>
        <w:t>不利物质条件</w:t>
      </w:r>
      <w:bookmarkEnd w:id="804"/>
      <w:bookmarkEnd w:id="805"/>
      <w:bookmarkEnd w:id="806"/>
    </w:p>
    <w:p>
      <w:pPr>
        <w:widowControl/>
        <w:shd w:val="clear" w:color="auto" w:fill="FFFFFF"/>
        <w:snapToGrid w:val="0"/>
        <w:ind w:firstLine="420" w:firstLineChars="200"/>
        <w:jc w:val="left"/>
        <w:rPr>
          <w:rFonts w:asciiTheme="minorEastAsia" w:hAnsiTheme="minorEastAsia"/>
          <w:color w:val="auto"/>
          <w:szCs w:val="21"/>
        </w:rPr>
      </w:pPr>
      <w:bookmarkStart w:id="807" w:name="_Toc221951159"/>
      <w:r>
        <w:rPr>
          <w:rFonts w:hint="eastAsia" w:asciiTheme="minorEastAsia" w:hAnsiTheme="minorEastAsia"/>
          <w:color w:val="auto"/>
          <w:szCs w:val="21"/>
        </w:rPr>
        <w:t>4.11.1 不利物质条件的范围：</w:t>
      </w:r>
      <w:bookmarkEnd w:id="807"/>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808" w:name="_Toc221951160"/>
      <w:bookmarkStart w:id="809" w:name="_Toc222029531"/>
      <w:bookmarkStart w:id="810" w:name="_Toc222031033"/>
      <w:bookmarkStart w:id="811" w:name="_Toc222032700"/>
      <w:bookmarkStart w:id="812" w:name="_Toc222033882"/>
      <w:bookmarkStart w:id="813" w:name="_Toc229305391"/>
      <w:bookmarkStart w:id="814" w:name="_Toc487489979"/>
      <w:bookmarkStart w:id="815" w:name="_Toc511635992"/>
      <w:bookmarkStart w:id="816" w:name="_Toc515441165"/>
      <w:bookmarkStart w:id="817" w:name="_Toc516816168"/>
      <w:bookmarkStart w:id="818" w:name="_Toc516816357"/>
      <w:r>
        <w:rPr>
          <w:rFonts w:hint="eastAsia"/>
          <w:color w:val="auto"/>
        </w:rPr>
        <w:t>5 材料和工程设备</w:t>
      </w:r>
      <w:bookmarkEnd w:id="808"/>
      <w:bookmarkEnd w:id="809"/>
      <w:bookmarkEnd w:id="810"/>
      <w:bookmarkEnd w:id="811"/>
      <w:bookmarkEnd w:id="812"/>
      <w:bookmarkEnd w:id="813"/>
      <w:bookmarkEnd w:id="814"/>
      <w:bookmarkEnd w:id="815"/>
      <w:bookmarkEnd w:id="816"/>
      <w:bookmarkEnd w:id="817"/>
      <w:bookmarkEnd w:id="818"/>
    </w:p>
    <w:p>
      <w:pPr>
        <w:pStyle w:val="5"/>
        <w:adjustRightInd w:val="0"/>
        <w:snapToGrid w:val="0"/>
        <w:spacing w:before="0" w:after="0" w:line="520" w:lineRule="exact"/>
        <w:rPr>
          <w:rFonts w:asciiTheme="majorEastAsia" w:hAnsiTheme="majorEastAsia" w:eastAsiaTheme="majorEastAsia"/>
          <w:color w:val="auto"/>
        </w:rPr>
      </w:pPr>
      <w:bookmarkStart w:id="819" w:name="_Toc221951161"/>
      <w:bookmarkStart w:id="820" w:name="_Toc262637995"/>
      <w:bookmarkStart w:id="821" w:name="_Toc511635993"/>
      <w:r>
        <w:rPr>
          <w:rFonts w:asciiTheme="majorEastAsia" w:hAnsiTheme="majorEastAsia" w:eastAsiaTheme="majorEastAsia"/>
          <w:color w:val="auto"/>
        </w:rPr>
        <w:t>5</w:t>
      </w:r>
      <w:r>
        <w:rPr>
          <w:rFonts w:hint="eastAsia" w:asciiTheme="majorEastAsia" w:hAnsiTheme="majorEastAsia" w:eastAsiaTheme="majorEastAsia"/>
          <w:color w:val="auto"/>
        </w:rPr>
        <w:t>.2</w:t>
      </w:r>
      <w:bookmarkEnd w:id="819"/>
      <w:r>
        <w:rPr>
          <w:rFonts w:hint="eastAsia" w:asciiTheme="majorEastAsia" w:hAnsiTheme="majorEastAsia" w:eastAsiaTheme="majorEastAsia"/>
          <w:color w:val="auto"/>
        </w:rPr>
        <w:t xml:space="preserve"> 发包人提供的材料和工程设备</w:t>
      </w:r>
      <w:bookmarkEnd w:id="820"/>
      <w:bookmarkEnd w:id="8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5.2.1 发包人提供的材料和工程设备见下表：</w:t>
      </w:r>
    </w:p>
    <w:p>
      <w:pPr>
        <w:widowControl/>
        <w:shd w:val="clear" w:color="auto" w:fill="FFFFFF"/>
        <w:snapToGrid w:val="0"/>
        <w:ind w:firstLine="422" w:firstLineChars="200"/>
        <w:jc w:val="center"/>
        <w:rPr>
          <w:rFonts w:asciiTheme="minorEastAsia" w:hAnsiTheme="minorEastAsia"/>
          <w:color w:val="auto"/>
          <w:szCs w:val="21"/>
        </w:rPr>
      </w:pPr>
      <w:r>
        <w:rPr>
          <w:rFonts w:hint="eastAsia" w:asciiTheme="minorEastAsia" w:hAnsiTheme="minorEastAsia"/>
          <w:b/>
          <w:color w:val="auto"/>
          <w:szCs w:val="21"/>
        </w:rPr>
        <w:t>发包人提供的材料表</w:t>
      </w:r>
      <w:r>
        <w:rPr>
          <w:rFonts w:hint="eastAsia" w:asciiTheme="minorEastAsia" w:hAnsiTheme="minorEastAsia"/>
          <w:color w:val="auto"/>
          <w:szCs w:val="21"/>
        </w:rPr>
        <w:t>（参考格式）</w:t>
      </w:r>
    </w:p>
    <w:tbl>
      <w:tblPr>
        <w:tblStyle w:val="39"/>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29"/>
        <w:gridCol w:w="1134"/>
        <w:gridCol w:w="709"/>
        <w:gridCol w:w="1134"/>
        <w:gridCol w:w="1134"/>
        <w:gridCol w:w="1701"/>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9"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序号</w:t>
            </w:r>
          </w:p>
        </w:tc>
        <w:tc>
          <w:tcPr>
            <w:tcW w:w="1529"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材料名称</w:t>
            </w:r>
          </w:p>
        </w:tc>
        <w:tc>
          <w:tcPr>
            <w:tcW w:w="1134"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材料规格</w:t>
            </w:r>
          </w:p>
        </w:tc>
        <w:tc>
          <w:tcPr>
            <w:tcW w:w="709"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数量</w:t>
            </w:r>
          </w:p>
        </w:tc>
        <w:tc>
          <w:tcPr>
            <w:tcW w:w="1134"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交货地点</w:t>
            </w:r>
          </w:p>
        </w:tc>
        <w:tc>
          <w:tcPr>
            <w:tcW w:w="1134"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交货方式</w:t>
            </w:r>
          </w:p>
        </w:tc>
        <w:tc>
          <w:tcPr>
            <w:tcW w:w="1701"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计划交货日期</w:t>
            </w:r>
          </w:p>
        </w:tc>
        <w:tc>
          <w:tcPr>
            <w:tcW w:w="709"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2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701"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3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2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701"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2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134" w:type="dxa"/>
          </w:tcPr>
          <w:p>
            <w:pPr>
              <w:widowControl/>
              <w:shd w:val="clear" w:color="auto" w:fill="FFFFFF"/>
              <w:snapToGrid w:val="0"/>
              <w:ind w:firstLine="420" w:firstLineChars="200"/>
              <w:jc w:val="left"/>
              <w:rPr>
                <w:rFonts w:asciiTheme="minorEastAsia" w:hAnsiTheme="minorEastAsia"/>
                <w:color w:val="auto"/>
                <w:szCs w:val="21"/>
              </w:rPr>
            </w:pPr>
          </w:p>
        </w:tc>
        <w:tc>
          <w:tcPr>
            <w:tcW w:w="1701"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bl>
    <w:p>
      <w:pPr>
        <w:spacing w:line="400" w:lineRule="exact"/>
        <w:ind w:right="249"/>
        <w:jc w:val="center"/>
        <w:rPr>
          <w:rFonts w:ascii="宋体" w:hAnsi="宋体"/>
          <w:color w:val="auto"/>
          <w:szCs w:val="21"/>
        </w:rPr>
      </w:pPr>
      <w:r>
        <w:rPr>
          <w:rFonts w:hint="eastAsia" w:ascii="宋体" w:hAnsi="宋体"/>
          <w:b/>
          <w:color w:val="auto"/>
          <w:szCs w:val="21"/>
        </w:rPr>
        <w:t xml:space="preserve">   发包人提供的工程设备表</w:t>
      </w:r>
      <w:r>
        <w:rPr>
          <w:rFonts w:hint="eastAsia" w:ascii="宋体" w:hAnsi="宋体"/>
          <w:color w:val="auto"/>
          <w:szCs w:val="21"/>
        </w:rPr>
        <w:t>（参考格式）</w:t>
      </w:r>
    </w:p>
    <w:tbl>
      <w:tblPr>
        <w:tblStyle w:val="39"/>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1276"/>
        <w:gridCol w:w="709"/>
        <w:gridCol w:w="1134"/>
        <w:gridCol w:w="1134"/>
        <w:gridCol w:w="155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09" w:type="dxa"/>
            <w:tcBorders>
              <w:top w:val="single" w:color="auto" w:sz="12" w:space="0"/>
              <w:left w:val="single" w:color="auto" w:sz="12" w:space="0"/>
              <w:bottom w:val="single" w:color="auto" w:sz="4" w:space="0"/>
              <w:right w:val="single" w:color="auto" w:sz="4" w:space="0"/>
            </w:tcBorders>
            <w:vAlign w:val="center"/>
          </w:tcPr>
          <w:p>
            <w:pPr>
              <w:widowControl/>
              <w:shd w:val="clear" w:color="auto" w:fill="FFFFFF"/>
              <w:snapToGrid w:val="0"/>
              <w:jc w:val="center"/>
              <w:rPr>
                <w:rFonts w:ascii="宋体" w:hAnsi="宋体"/>
                <w:color w:val="auto"/>
                <w:szCs w:val="21"/>
              </w:rPr>
            </w:pPr>
            <w:r>
              <w:rPr>
                <w:rFonts w:hint="eastAsia" w:asciiTheme="minorEastAsia" w:hAnsiTheme="minorEastAsia"/>
                <w:color w:val="auto"/>
                <w:szCs w:val="21"/>
              </w:rPr>
              <w:t>序号</w:t>
            </w:r>
          </w:p>
        </w:tc>
        <w:tc>
          <w:tcPr>
            <w:tcW w:w="1559"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宋体" w:hAnsi="宋体"/>
                <w:color w:val="auto"/>
                <w:szCs w:val="21"/>
              </w:rPr>
            </w:pPr>
            <w:r>
              <w:rPr>
                <w:rFonts w:hint="eastAsia" w:asciiTheme="minorEastAsia" w:hAnsiTheme="minorEastAsia"/>
                <w:color w:val="auto"/>
                <w:szCs w:val="21"/>
              </w:rPr>
              <w:t>工程设备名称</w:t>
            </w:r>
          </w:p>
        </w:tc>
        <w:tc>
          <w:tcPr>
            <w:tcW w:w="1276"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型号及规格</w:t>
            </w:r>
          </w:p>
        </w:tc>
        <w:tc>
          <w:tcPr>
            <w:tcW w:w="709"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宋体" w:hAnsi="宋体"/>
                <w:color w:val="auto"/>
                <w:szCs w:val="21"/>
              </w:rPr>
            </w:pPr>
            <w:r>
              <w:rPr>
                <w:rFonts w:hint="eastAsia" w:asciiTheme="minorEastAsia" w:hAnsiTheme="minorEastAsia"/>
                <w:color w:val="auto"/>
                <w:szCs w:val="21"/>
              </w:rPr>
              <w:t>数量</w:t>
            </w:r>
          </w:p>
        </w:tc>
        <w:tc>
          <w:tcPr>
            <w:tcW w:w="1134"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宋体" w:hAnsi="宋体"/>
                <w:color w:val="auto"/>
                <w:szCs w:val="21"/>
              </w:rPr>
            </w:pPr>
            <w:r>
              <w:rPr>
                <w:rFonts w:hint="eastAsia" w:asciiTheme="minorEastAsia" w:hAnsiTheme="minorEastAsia"/>
                <w:color w:val="auto"/>
                <w:szCs w:val="21"/>
              </w:rPr>
              <w:t>交货地点</w:t>
            </w:r>
          </w:p>
        </w:tc>
        <w:tc>
          <w:tcPr>
            <w:tcW w:w="1134"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交货方式</w:t>
            </w:r>
          </w:p>
        </w:tc>
        <w:tc>
          <w:tcPr>
            <w:tcW w:w="1559" w:type="dxa"/>
            <w:tcBorders>
              <w:top w:val="single" w:color="auto" w:sz="12" w:space="0"/>
              <w:left w:val="single" w:color="auto" w:sz="4" w:space="0"/>
              <w:bottom w:val="single" w:color="auto" w:sz="4" w:space="0"/>
              <w:right w:val="single" w:color="auto" w:sz="4" w:space="0"/>
            </w:tcBorders>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计划交货日期</w:t>
            </w:r>
          </w:p>
        </w:tc>
        <w:tc>
          <w:tcPr>
            <w:tcW w:w="709" w:type="dxa"/>
            <w:tcBorders>
              <w:top w:val="single" w:color="auto" w:sz="12" w:space="0"/>
              <w:left w:val="single" w:color="auto" w:sz="4" w:space="0"/>
              <w:bottom w:val="single" w:color="auto" w:sz="4" w:space="0"/>
              <w:right w:val="single" w:color="auto" w:sz="12" w:space="0"/>
            </w:tcBorders>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09" w:type="dxa"/>
            <w:tcBorders>
              <w:top w:val="single" w:color="auto" w:sz="4" w:space="0"/>
              <w:left w:val="single" w:color="auto" w:sz="12"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60" w:lineRule="auto"/>
              <w:ind w:right="248"/>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09" w:type="dxa"/>
            <w:tcBorders>
              <w:top w:val="single" w:color="auto" w:sz="4" w:space="0"/>
              <w:left w:val="single" w:color="auto" w:sz="12"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60" w:lineRule="auto"/>
              <w:ind w:right="248"/>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09" w:type="dxa"/>
            <w:tcBorders>
              <w:top w:val="single" w:color="auto" w:sz="4" w:space="0"/>
              <w:left w:val="single" w:color="auto" w:sz="12" w:space="0"/>
              <w:bottom w:val="single" w:color="auto" w:sz="12" w:space="0"/>
              <w:right w:val="single" w:color="auto" w:sz="4" w:space="0"/>
            </w:tcBorders>
            <w:vAlign w:val="center"/>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ind w:right="248"/>
              <w:jc w:val="center"/>
              <w:rPr>
                <w:rFonts w:ascii="宋体" w:hAnsi="宋体"/>
                <w:color w:val="auto"/>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12" w:space="0"/>
              <w:right w:val="single" w:color="auto" w:sz="4" w:space="0"/>
            </w:tcBorders>
            <w:vAlign w:val="center"/>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ind w:right="248"/>
              <w:jc w:val="center"/>
              <w:rPr>
                <w:rFonts w:ascii="宋体" w:hAnsi="宋体"/>
                <w:color w:val="auto"/>
                <w:szCs w:val="21"/>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ind w:right="248"/>
              <w:jc w:val="center"/>
              <w:rPr>
                <w:rFonts w:ascii="宋体" w:hAnsi="宋体"/>
                <w:color w:val="auto"/>
                <w:szCs w:val="21"/>
              </w:rPr>
            </w:pPr>
          </w:p>
        </w:tc>
        <w:tc>
          <w:tcPr>
            <w:tcW w:w="1559" w:type="dxa"/>
            <w:tcBorders>
              <w:top w:val="single" w:color="auto" w:sz="4" w:space="0"/>
              <w:left w:val="single" w:color="auto" w:sz="4" w:space="0"/>
              <w:bottom w:val="single" w:color="auto" w:sz="12" w:space="0"/>
              <w:right w:val="single" w:color="auto" w:sz="4" w:space="0"/>
            </w:tcBorders>
          </w:tcPr>
          <w:p>
            <w:pPr>
              <w:spacing w:line="360" w:lineRule="auto"/>
              <w:ind w:right="248"/>
              <w:jc w:val="center"/>
              <w:rPr>
                <w:rFonts w:ascii="宋体" w:hAnsi="宋体"/>
                <w:color w:val="auto"/>
                <w:szCs w:val="21"/>
              </w:rPr>
            </w:pPr>
          </w:p>
        </w:tc>
        <w:tc>
          <w:tcPr>
            <w:tcW w:w="709" w:type="dxa"/>
            <w:tcBorders>
              <w:top w:val="single" w:color="auto" w:sz="4" w:space="0"/>
              <w:left w:val="single" w:color="auto" w:sz="4" w:space="0"/>
              <w:bottom w:val="single" w:color="auto" w:sz="12" w:space="0"/>
              <w:right w:val="single" w:color="auto" w:sz="12" w:space="0"/>
            </w:tcBorders>
            <w:vAlign w:val="center"/>
          </w:tcPr>
          <w:p>
            <w:pPr>
              <w:spacing w:line="360" w:lineRule="auto"/>
              <w:ind w:right="248"/>
              <w:jc w:val="center"/>
              <w:rPr>
                <w:rFonts w:ascii="宋体" w:hAnsi="宋体"/>
                <w:color w:val="auto"/>
                <w:szCs w:val="21"/>
              </w:rPr>
            </w:pPr>
          </w:p>
        </w:tc>
      </w:tr>
    </w:tbl>
    <w:p>
      <w:pPr>
        <w:pStyle w:val="4"/>
        <w:rPr>
          <w:color w:val="auto"/>
        </w:rPr>
      </w:pPr>
      <w:bookmarkStart w:id="822" w:name="_Toc221951166"/>
      <w:bookmarkStart w:id="823" w:name="_Toc222029532"/>
      <w:bookmarkStart w:id="824" w:name="_Toc222031034"/>
      <w:bookmarkStart w:id="825" w:name="_Toc222032701"/>
      <w:bookmarkStart w:id="826" w:name="_Toc222033883"/>
      <w:bookmarkStart w:id="827" w:name="_Toc229305392"/>
      <w:bookmarkStart w:id="828" w:name="_Toc487489980"/>
      <w:bookmarkStart w:id="829" w:name="_Toc511635994"/>
      <w:bookmarkStart w:id="830" w:name="_Toc515441166"/>
      <w:bookmarkStart w:id="831" w:name="_Toc516816169"/>
      <w:bookmarkStart w:id="832" w:name="_Toc516816358"/>
      <w:r>
        <w:rPr>
          <w:rFonts w:hint="eastAsia"/>
          <w:color w:val="auto"/>
        </w:rPr>
        <w:t>6 施工设备和临时设施</w:t>
      </w:r>
      <w:bookmarkEnd w:id="822"/>
      <w:bookmarkEnd w:id="823"/>
      <w:bookmarkEnd w:id="824"/>
      <w:bookmarkEnd w:id="825"/>
      <w:bookmarkEnd w:id="826"/>
      <w:bookmarkEnd w:id="827"/>
      <w:bookmarkEnd w:id="828"/>
      <w:bookmarkEnd w:id="829"/>
      <w:bookmarkEnd w:id="830"/>
      <w:bookmarkEnd w:id="831"/>
      <w:bookmarkEnd w:id="832"/>
    </w:p>
    <w:p>
      <w:pPr>
        <w:pStyle w:val="5"/>
        <w:adjustRightInd w:val="0"/>
        <w:snapToGrid w:val="0"/>
        <w:spacing w:before="0" w:after="0" w:line="520" w:lineRule="exact"/>
        <w:rPr>
          <w:rFonts w:asciiTheme="majorEastAsia" w:hAnsiTheme="majorEastAsia" w:eastAsiaTheme="majorEastAsia"/>
          <w:color w:val="auto"/>
        </w:rPr>
      </w:pPr>
      <w:bookmarkStart w:id="833" w:name="_Toc221951167"/>
      <w:bookmarkStart w:id="834" w:name="_Toc262637997"/>
      <w:bookmarkStart w:id="835" w:name="_Toc511635995"/>
      <w:r>
        <w:rPr>
          <w:rFonts w:hint="eastAsia" w:asciiTheme="majorEastAsia" w:hAnsiTheme="majorEastAsia" w:eastAsiaTheme="majorEastAsia"/>
          <w:color w:val="auto"/>
        </w:rPr>
        <w:t>6.2 发包人提供的施工设备和临时设施</w:t>
      </w:r>
      <w:bookmarkEnd w:id="833"/>
      <w:bookmarkEnd w:id="834"/>
      <w:bookmarkEnd w:id="835"/>
    </w:p>
    <w:p>
      <w:pPr>
        <w:widowControl/>
        <w:shd w:val="clear" w:color="auto" w:fill="FFFFFF"/>
        <w:snapToGrid w:val="0"/>
        <w:ind w:firstLine="420" w:firstLineChars="200"/>
        <w:jc w:val="left"/>
        <w:rPr>
          <w:rFonts w:asciiTheme="minorEastAsia" w:hAnsiTheme="minorEastAsia"/>
          <w:color w:val="auto"/>
          <w:szCs w:val="21"/>
        </w:rPr>
      </w:pPr>
      <w:bookmarkStart w:id="836" w:name="_Toc221951169"/>
      <w:r>
        <w:rPr>
          <w:rFonts w:hint="eastAsia" w:asciiTheme="minorEastAsia" w:hAnsiTheme="minorEastAsia"/>
          <w:color w:val="auto"/>
          <w:szCs w:val="21"/>
        </w:rPr>
        <w:t>（1）发包人提供的的施工设备见下表</w:t>
      </w:r>
      <w:bookmarkEnd w:id="836"/>
      <w:r>
        <w:rPr>
          <w:rFonts w:hint="eastAsia" w:asciiTheme="minorEastAsia" w:hAnsiTheme="minorEastAsia"/>
          <w:color w:val="auto"/>
          <w:szCs w:val="21"/>
        </w:rPr>
        <w:t>：</w:t>
      </w:r>
      <w:bookmarkStart w:id="837" w:name="_Toc221951170"/>
    </w:p>
    <w:p>
      <w:pPr>
        <w:widowControl/>
        <w:shd w:val="clear" w:color="auto" w:fill="FFFFFF"/>
        <w:snapToGrid w:val="0"/>
        <w:ind w:firstLine="422" w:firstLineChars="200"/>
        <w:jc w:val="center"/>
        <w:rPr>
          <w:rFonts w:asciiTheme="minorEastAsia" w:hAnsiTheme="minorEastAsia"/>
          <w:color w:val="auto"/>
          <w:szCs w:val="21"/>
        </w:rPr>
      </w:pPr>
      <w:r>
        <w:rPr>
          <w:rFonts w:hint="eastAsia" w:asciiTheme="minorEastAsia" w:hAnsiTheme="minorEastAsia"/>
          <w:b/>
          <w:color w:val="auto"/>
          <w:szCs w:val="21"/>
        </w:rPr>
        <w:t>发包人提供的施工设备表</w:t>
      </w:r>
      <w:r>
        <w:rPr>
          <w:rFonts w:hint="eastAsia" w:asciiTheme="minorEastAsia" w:hAnsiTheme="minorEastAsia"/>
          <w:color w:val="auto"/>
          <w:szCs w:val="21"/>
        </w:rPr>
        <w:t>（参考格式</w:t>
      </w:r>
      <w:bookmarkEnd w:id="837"/>
      <w:r>
        <w:rPr>
          <w:rFonts w:hint="eastAsia" w:asciiTheme="minorEastAsia" w:hAnsiTheme="minorEastAsia"/>
          <w:color w:val="auto"/>
          <w:szCs w:val="21"/>
        </w:rPr>
        <w:t>）</w:t>
      </w:r>
    </w:p>
    <w:tbl>
      <w:tblPr>
        <w:tblStyle w:val="39"/>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276"/>
        <w:gridCol w:w="1134"/>
        <w:gridCol w:w="709"/>
        <w:gridCol w:w="1134"/>
        <w:gridCol w:w="155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17"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序号</w:t>
            </w:r>
          </w:p>
        </w:tc>
        <w:tc>
          <w:tcPr>
            <w:tcW w:w="1559" w:type="dxa"/>
            <w:vAlign w:val="center"/>
          </w:tcPr>
          <w:p>
            <w:pPr>
              <w:widowControl/>
              <w:shd w:val="clear" w:color="auto" w:fill="FFFFFF"/>
              <w:snapToGrid w:val="0"/>
              <w:jc w:val="center"/>
              <w:rPr>
                <w:rFonts w:asciiTheme="minorEastAsia" w:hAnsiTheme="minorEastAsia"/>
                <w:color w:val="auto"/>
                <w:szCs w:val="21"/>
              </w:rPr>
            </w:pPr>
            <w:bookmarkStart w:id="838" w:name="_Toc221951171"/>
            <w:r>
              <w:rPr>
                <w:rFonts w:hint="eastAsia" w:asciiTheme="minorEastAsia" w:hAnsiTheme="minorEastAsia"/>
                <w:color w:val="auto"/>
                <w:szCs w:val="21"/>
              </w:rPr>
              <w:t>设备名称</w:t>
            </w:r>
            <w:bookmarkEnd w:id="838"/>
          </w:p>
        </w:tc>
        <w:tc>
          <w:tcPr>
            <w:tcW w:w="1276" w:type="dxa"/>
            <w:vAlign w:val="center"/>
          </w:tcPr>
          <w:p>
            <w:pPr>
              <w:widowControl/>
              <w:shd w:val="clear" w:color="auto" w:fill="FFFFFF"/>
              <w:snapToGrid w:val="0"/>
              <w:jc w:val="center"/>
              <w:rPr>
                <w:rFonts w:asciiTheme="minorEastAsia" w:hAnsiTheme="minorEastAsia"/>
                <w:color w:val="auto"/>
                <w:szCs w:val="21"/>
              </w:rPr>
            </w:pPr>
            <w:bookmarkStart w:id="839" w:name="_Toc221951172"/>
            <w:r>
              <w:rPr>
                <w:rFonts w:hint="eastAsia" w:asciiTheme="minorEastAsia" w:hAnsiTheme="minorEastAsia"/>
                <w:color w:val="auto"/>
                <w:szCs w:val="21"/>
              </w:rPr>
              <w:t>型号及规格</w:t>
            </w:r>
            <w:bookmarkEnd w:id="839"/>
          </w:p>
        </w:tc>
        <w:tc>
          <w:tcPr>
            <w:tcW w:w="1134" w:type="dxa"/>
            <w:vAlign w:val="center"/>
          </w:tcPr>
          <w:p>
            <w:pPr>
              <w:widowControl/>
              <w:shd w:val="clear" w:color="auto" w:fill="FFFFFF"/>
              <w:snapToGrid w:val="0"/>
              <w:jc w:val="center"/>
              <w:rPr>
                <w:rFonts w:asciiTheme="minorEastAsia" w:hAnsiTheme="minorEastAsia"/>
                <w:color w:val="auto"/>
                <w:szCs w:val="21"/>
              </w:rPr>
            </w:pPr>
            <w:bookmarkStart w:id="840" w:name="_Toc221951173"/>
            <w:r>
              <w:rPr>
                <w:rFonts w:hint="eastAsia" w:asciiTheme="minorEastAsia" w:hAnsiTheme="minorEastAsia"/>
                <w:color w:val="auto"/>
                <w:szCs w:val="21"/>
              </w:rPr>
              <w:t>设备状况</w:t>
            </w:r>
            <w:bookmarkEnd w:id="840"/>
          </w:p>
        </w:tc>
        <w:tc>
          <w:tcPr>
            <w:tcW w:w="709" w:type="dxa"/>
            <w:vAlign w:val="center"/>
          </w:tcPr>
          <w:p>
            <w:pPr>
              <w:widowControl/>
              <w:shd w:val="clear" w:color="auto" w:fill="FFFFFF"/>
              <w:snapToGrid w:val="0"/>
              <w:jc w:val="center"/>
              <w:rPr>
                <w:rFonts w:asciiTheme="minorEastAsia" w:hAnsiTheme="minorEastAsia"/>
                <w:color w:val="auto"/>
                <w:szCs w:val="21"/>
              </w:rPr>
            </w:pPr>
            <w:bookmarkStart w:id="841" w:name="_Toc221951174"/>
            <w:r>
              <w:rPr>
                <w:rFonts w:hint="eastAsia" w:asciiTheme="minorEastAsia" w:hAnsiTheme="minorEastAsia"/>
                <w:color w:val="auto"/>
                <w:szCs w:val="21"/>
              </w:rPr>
              <w:t>数量</w:t>
            </w:r>
            <w:bookmarkEnd w:id="841"/>
          </w:p>
        </w:tc>
        <w:tc>
          <w:tcPr>
            <w:tcW w:w="1134" w:type="dxa"/>
            <w:vAlign w:val="center"/>
          </w:tcPr>
          <w:p>
            <w:pPr>
              <w:widowControl/>
              <w:shd w:val="clear" w:color="auto" w:fill="FFFFFF"/>
              <w:snapToGrid w:val="0"/>
              <w:jc w:val="center"/>
              <w:rPr>
                <w:rFonts w:asciiTheme="minorEastAsia" w:hAnsiTheme="minorEastAsia"/>
                <w:color w:val="auto"/>
                <w:szCs w:val="21"/>
              </w:rPr>
            </w:pPr>
            <w:bookmarkStart w:id="842" w:name="_Toc221951175"/>
            <w:r>
              <w:rPr>
                <w:rFonts w:hint="eastAsia" w:asciiTheme="minorEastAsia" w:hAnsiTheme="minorEastAsia"/>
                <w:color w:val="auto"/>
                <w:szCs w:val="21"/>
              </w:rPr>
              <w:t>移交地点</w:t>
            </w:r>
            <w:bookmarkEnd w:id="842"/>
          </w:p>
        </w:tc>
        <w:tc>
          <w:tcPr>
            <w:tcW w:w="1559" w:type="dxa"/>
            <w:vAlign w:val="center"/>
          </w:tcPr>
          <w:p>
            <w:pPr>
              <w:widowControl/>
              <w:shd w:val="clear" w:color="auto" w:fill="FFFFFF"/>
              <w:snapToGrid w:val="0"/>
              <w:jc w:val="center"/>
              <w:rPr>
                <w:rFonts w:asciiTheme="minorEastAsia" w:hAnsiTheme="minorEastAsia"/>
                <w:color w:val="auto"/>
                <w:szCs w:val="21"/>
              </w:rPr>
            </w:pPr>
            <w:r>
              <w:rPr>
                <w:rFonts w:hint="eastAsia" w:asciiTheme="minorEastAsia" w:hAnsiTheme="minorEastAsia"/>
                <w:color w:val="auto"/>
                <w:szCs w:val="21"/>
              </w:rPr>
              <w:t>计划移交日期</w:t>
            </w:r>
          </w:p>
        </w:tc>
        <w:tc>
          <w:tcPr>
            <w:tcW w:w="709" w:type="dxa"/>
            <w:vAlign w:val="center"/>
          </w:tcPr>
          <w:p>
            <w:pPr>
              <w:widowControl/>
              <w:shd w:val="clear" w:color="auto" w:fill="FFFFFF"/>
              <w:snapToGrid w:val="0"/>
              <w:jc w:val="center"/>
              <w:rPr>
                <w:rFonts w:asciiTheme="minorEastAsia" w:hAnsiTheme="minorEastAsia"/>
                <w:color w:val="auto"/>
                <w:szCs w:val="21"/>
              </w:rPr>
            </w:pPr>
            <w:bookmarkStart w:id="843" w:name="_Toc221951176"/>
            <w:r>
              <w:rPr>
                <w:rFonts w:hint="eastAsia" w:asciiTheme="minorEastAsia" w:hAnsiTheme="minorEastAsia"/>
                <w:color w:val="auto"/>
                <w:szCs w:val="21"/>
              </w:rPr>
              <w:t>备注</w:t>
            </w:r>
            <w:bookmarkEnd w:id="84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17" w:type="dxa"/>
          </w:tcPr>
          <w:p>
            <w:pPr>
              <w:widowControl/>
              <w:shd w:val="clear" w:color="auto" w:fill="FFFFFF"/>
              <w:snapToGrid w:val="0"/>
              <w:ind w:firstLine="420" w:firstLineChars="200"/>
              <w:jc w:val="left"/>
              <w:rPr>
                <w:rFonts w:asciiTheme="minorEastAsia" w:hAnsiTheme="minorEastAsia"/>
                <w:color w:val="auto"/>
                <w:szCs w:val="21"/>
              </w:rPr>
            </w:pPr>
          </w:p>
        </w:tc>
        <w:tc>
          <w:tcPr>
            <w:tcW w:w="155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276"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59"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17" w:type="dxa"/>
          </w:tcPr>
          <w:p>
            <w:pPr>
              <w:widowControl/>
              <w:shd w:val="clear" w:color="auto" w:fill="FFFFFF"/>
              <w:snapToGrid w:val="0"/>
              <w:ind w:firstLine="420" w:firstLineChars="200"/>
              <w:jc w:val="left"/>
              <w:rPr>
                <w:rFonts w:asciiTheme="minorEastAsia" w:hAnsiTheme="minorEastAsia"/>
                <w:color w:val="auto"/>
                <w:szCs w:val="21"/>
              </w:rPr>
            </w:pPr>
          </w:p>
        </w:tc>
        <w:tc>
          <w:tcPr>
            <w:tcW w:w="155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276"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59"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17" w:type="dxa"/>
          </w:tcPr>
          <w:p>
            <w:pPr>
              <w:widowControl/>
              <w:shd w:val="clear" w:color="auto" w:fill="FFFFFF"/>
              <w:snapToGrid w:val="0"/>
              <w:ind w:firstLine="420" w:firstLineChars="200"/>
              <w:jc w:val="left"/>
              <w:rPr>
                <w:rFonts w:asciiTheme="minorEastAsia" w:hAnsiTheme="minorEastAsia"/>
                <w:color w:val="auto"/>
                <w:szCs w:val="21"/>
              </w:rPr>
            </w:pPr>
          </w:p>
        </w:tc>
        <w:tc>
          <w:tcPr>
            <w:tcW w:w="155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276"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134"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559" w:type="dxa"/>
          </w:tcPr>
          <w:p>
            <w:pPr>
              <w:widowControl/>
              <w:shd w:val="clear" w:color="auto" w:fill="FFFFFF"/>
              <w:snapToGrid w:val="0"/>
              <w:ind w:firstLine="420" w:firstLineChars="200"/>
              <w:jc w:val="left"/>
              <w:rPr>
                <w:rFonts w:asciiTheme="minorEastAsia" w:hAnsiTheme="minorEastAsia"/>
                <w:color w:val="auto"/>
                <w:szCs w:val="21"/>
              </w:rPr>
            </w:pPr>
          </w:p>
        </w:tc>
        <w:tc>
          <w:tcPr>
            <w:tcW w:w="709" w:type="dxa"/>
            <w:vAlign w:val="center"/>
          </w:tcPr>
          <w:p>
            <w:pPr>
              <w:widowControl/>
              <w:shd w:val="clear" w:color="auto" w:fill="FFFFFF"/>
              <w:snapToGrid w:val="0"/>
              <w:ind w:firstLine="420" w:firstLineChars="200"/>
              <w:jc w:val="left"/>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bookmarkStart w:id="844" w:name="_Toc221951177"/>
      <w:r>
        <w:rPr>
          <w:rFonts w:hint="eastAsia" w:asciiTheme="minorEastAsia" w:hAnsiTheme="minorEastAsia"/>
          <w:color w:val="auto"/>
          <w:szCs w:val="21"/>
        </w:rPr>
        <w:t>注：设备状况栏内填写该设备的新旧程度、购进时间、已使用小时数和最近一次的大修时间。</w:t>
      </w:r>
      <w:bookmarkEnd w:id="84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（2）发包人提供的临时设施：</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845" w:name="_Toc516816170"/>
      <w:bookmarkStart w:id="846" w:name="_Toc515441167"/>
      <w:bookmarkStart w:id="847" w:name="_Toc222033884"/>
      <w:bookmarkStart w:id="848" w:name="_Toc222032702"/>
      <w:bookmarkStart w:id="849" w:name="_Toc487489981"/>
      <w:bookmarkStart w:id="850" w:name="_Toc511635996"/>
      <w:bookmarkStart w:id="851" w:name="_Toc516816359"/>
      <w:bookmarkStart w:id="852" w:name="_Toc221951178"/>
      <w:bookmarkStart w:id="853" w:name="_Toc222029533"/>
      <w:bookmarkStart w:id="854" w:name="_Toc222031035"/>
      <w:r>
        <w:rPr>
          <w:rFonts w:hint="eastAsia"/>
          <w:color w:val="auto"/>
        </w:rPr>
        <w:t>7 交通运输</w:t>
      </w:r>
      <w:bookmarkEnd w:id="845"/>
      <w:bookmarkEnd w:id="846"/>
      <w:bookmarkEnd w:id="847"/>
      <w:bookmarkEnd w:id="848"/>
      <w:bookmarkEnd w:id="849"/>
      <w:bookmarkEnd w:id="850"/>
      <w:bookmarkEnd w:id="851"/>
      <w:bookmarkEnd w:id="852"/>
      <w:bookmarkEnd w:id="853"/>
      <w:bookmarkEnd w:id="854"/>
    </w:p>
    <w:p>
      <w:pPr>
        <w:pStyle w:val="5"/>
        <w:adjustRightInd w:val="0"/>
        <w:snapToGrid w:val="0"/>
        <w:spacing w:before="0" w:after="0" w:line="520" w:lineRule="exact"/>
        <w:rPr>
          <w:rFonts w:asciiTheme="majorEastAsia" w:hAnsiTheme="majorEastAsia" w:eastAsiaTheme="majorEastAsia"/>
          <w:color w:val="auto"/>
        </w:rPr>
      </w:pPr>
      <w:bookmarkStart w:id="855" w:name="_Toc221951179"/>
      <w:bookmarkStart w:id="856" w:name="_Toc262637999"/>
      <w:bookmarkStart w:id="857" w:name="_Toc511635997"/>
      <w:r>
        <w:rPr>
          <w:rFonts w:hint="eastAsia" w:asciiTheme="majorEastAsia" w:hAnsiTheme="majorEastAsia" w:eastAsiaTheme="majorEastAsia"/>
          <w:color w:val="auto"/>
        </w:rPr>
        <w:t>7.</w:t>
      </w:r>
      <w:r>
        <w:rPr>
          <w:rFonts w:asciiTheme="majorEastAsia" w:hAnsiTheme="majorEastAsia" w:eastAsiaTheme="majorEastAsia"/>
          <w:color w:val="auto"/>
        </w:rPr>
        <w:t>1</w:t>
      </w:r>
      <w:r>
        <w:rPr>
          <w:rFonts w:hint="eastAsia" w:asciiTheme="majorEastAsia" w:hAnsiTheme="majorEastAsia" w:eastAsiaTheme="majorEastAsia"/>
          <w:color w:val="auto"/>
        </w:rPr>
        <w:t xml:space="preserve"> 道路通行权和场外设施</w:t>
      </w:r>
      <w:bookmarkEnd w:id="855"/>
      <w:bookmarkEnd w:id="856"/>
      <w:bookmarkEnd w:id="8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道路通行权和场外设施的约定：</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858" w:name="_Toc487489982"/>
      <w:bookmarkStart w:id="859" w:name="_Toc511635998"/>
      <w:bookmarkStart w:id="860" w:name="_Toc515441168"/>
      <w:bookmarkStart w:id="861" w:name="_Toc516816171"/>
      <w:bookmarkStart w:id="862" w:name="_Toc516816360"/>
      <w:r>
        <w:rPr>
          <w:rFonts w:hint="eastAsia"/>
          <w:color w:val="auto"/>
        </w:rPr>
        <w:t>8 测量放线</w:t>
      </w:r>
      <w:bookmarkEnd w:id="858"/>
      <w:bookmarkEnd w:id="859"/>
      <w:bookmarkEnd w:id="860"/>
      <w:bookmarkEnd w:id="861"/>
      <w:bookmarkEnd w:id="862"/>
    </w:p>
    <w:p>
      <w:pPr>
        <w:pStyle w:val="5"/>
        <w:adjustRightInd w:val="0"/>
        <w:snapToGrid w:val="0"/>
        <w:spacing w:before="0" w:after="0" w:line="520" w:lineRule="exact"/>
        <w:rPr>
          <w:rFonts w:asciiTheme="majorEastAsia" w:hAnsiTheme="majorEastAsia" w:eastAsiaTheme="majorEastAsia"/>
          <w:color w:val="auto"/>
        </w:rPr>
      </w:pPr>
      <w:bookmarkStart w:id="863" w:name="_Toc262638001"/>
      <w:bookmarkStart w:id="864" w:name="_Toc511635999"/>
      <w:r>
        <w:rPr>
          <w:rFonts w:hint="eastAsia" w:asciiTheme="majorEastAsia" w:hAnsiTheme="majorEastAsia" w:eastAsiaTheme="majorEastAsia"/>
          <w:color w:val="auto"/>
        </w:rPr>
        <w:t>8.1 施工控制网</w:t>
      </w:r>
      <w:bookmarkEnd w:id="863"/>
      <w:bookmarkEnd w:id="86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8.1.1 施工控制网的约定：</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865" w:name="_Toc487489983"/>
      <w:bookmarkStart w:id="866" w:name="_Toc511636000"/>
      <w:bookmarkStart w:id="867" w:name="_Toc515441169"/>
      <w:bookmarkStart w:id="868" w:name="_Toc516816172"/>
      <w:bookmarkStart w:id="869" w:name="_Toc516816361"/>
      <w:r>
        <w:rPr>
          <w:rFonts w:hint="eastAsia"/>
          <w:color w:val="auto"/>
        </w:rPr>
        <w:t>9 施工安全、治安保卫和环境保护</w:t>
      </w:r>
      <w:bookmarkEnd w:id="865"/>
      <w:bookmarkEnd w:id="866"/>
      <w:bookmarkEnd w:id="867"/>
      <w:bookmarkEnd w:id="868"/>
      <w:bookmarkEnd w:id="869"/>
    </w:p>
    <w:p>
      <w:pPr>
        <w:pStyle w:val="5"/>
        <w:adjustRightInd w:val="0"/>
        <w:snapToGrid w:val="0"/>
        <w:spacing w:before="0" w:after="0" w:line="520" w:lineRule="exact"/>
        <w:rPr>
          <w:rFonts w:asciiTheme="majorEastAsia" w:hAnsiTheme="majorEastAsia" w:eastAsiaTheme="majorEastAsia"/>
          <w:color w:val="auto"/>
        </w:rPr>
      </w:pPr>
      <w:bookmarkStart w:id="870" w:name="_Toc511636001"/>
      <w:r>
        <w:rPr>
          <w:rFonts w:hint="eastAsia" w:asciiTheme="majorEastAsia" w:hAnsiTheme="majorEastAsia" w:eastAsiaTheme="majorEastAsia"/>
          <w:color w:val="auto"/>
        </w:rPr>
        <w:t>9.1 发包人的施工安全责任</w:t>
      </w:r>
      <w:bookmarkEnd w:id="8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9.1.4 发包人提供</w:t>
      </w:r>
      <w:r>
        <w:rPr>
          <w:rFonts w:asciiTheme="minorEastAsia" w:hAnsiTheme="minorEastAsia"/>
          <w:color w:val="auto"/>
          <w:szCs w:val="21"/>
        </w:rPr>
        <w:t>___________</w:t>
      </w:r>
      <w:r>
        <w:rPr>
          <w:rFonts w:hint="eastAsia" w:asciiTheme="minorEastAsia" w:hAnsiTheme="minorEastAsia"/>
          <w:color w:val="auto"/>
          <w:szCs w:val="21"/>
        </w:rPr>
        <w:t>资料，其余资料由承包人负责收集。</w:t>
      </w:r>
    </w:p>
    <w:p>
      <w:pPr>
        <w:pStyle w:val="5"/>
        <w:adjustRightInd w:val="0"/>
        <w:snapToGrid w:val="0"/>
        <w:spacing w:before="0" w:after="0" w:line="520" w:lineRule="exact"/>
        <w:rPr>
          <w:rFonts w:asciiTheme="majorEastAsia" w:hAnsiTheme="majorEastAsia" w:eastAsiaTheme="majorEastAsia"/>
          <w:color w:val="auto"/>
        </w:rPr>
      </w:pPr>
      <w:bookmarkStart w:id="871" w:name="_Toc511636002"/>
      <w:r>
        <w:rPr>
          <w:rFonts w:hint="eastAsia" w:asciiTheme="majorEastAsia" w:hAnsiTheme="majorEastAsia" w:eastAsiaTheme="majorEastAsia"/>
          <w:color w:val="auto"/>
        </w:rPr>
        <w:t>9.2 承包人的施工安全责任</w:t>
      </w:r>
      <w:bookmarkEnd w:id="8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9.2.12 下列工程应编制专项施工方案：</w:t>
      </w:r>
      <w:r>
        <w:rPr>
          <w:rFonts w:asciiTheme="minorEastAsia" w:hAnsiTheme="minorEastAsia"/>
          <w:color w:val="auto"/>
          <w:szCs w:val="21"/>
        </w:rPr>
        <w:t>___________</w:t>
      </w:r>
      <w:r>
        <w:rPr>
          <w:rFonts w:hint="eastAsia" w:asciiTheme="minorEastAsia" w:hAnsiTheme="minorEastAsia"/>
          <w:color w:val="auto"/>
          <w:szCs w:val="21"/>
        </w:rPr>
        <w:t>。其中</w:t>
      </w:r>
      <w:r>
        <w:rPr>
          <w:rFonts w:asciiTheme="minorEastAsia" w:hAnsiTheme="minorEastAsia"/>
          <w:color w:val="auto"/>
          <w:szCs w:val="21"/>
        </w:rPr>
        <w:t>_________</w:t>
      </w:r>
      <w:r>
        <w:rPr>
          <w:rFonts w:hint="eastAsia" w:asciiTheme="minorEastAsia" w:hAnsiTheme="minorEastAsia"/>
          <w:color w:val="auto"/>
          <w:szCs w:val="21"/>
        </w:rPr>
        <w:t>应组织专家论证和审查。</w:t>
      </w:r>
    </w:p>
    <w:p>
      <w:pPr>
        <w:pStyle w:val="5"/>
        <w:adjustRightInd w:val="0"/>
        <w:snapToGrid w:val="0"/>
        <w:spacing w:before="0" w:after="0" w:line="520" w:lineRule="exact"/>
        <w:rPr>
          <w:rFonts w:asciiTheme="majorEastAsia" w:hAnsiTheme="majorEastAsia" w:eastAsiaTheme="majorEastAsia"/>
          <w:color w:val="auto"/>
        </w:rPr>
      </w:pPr>
      <w:bookmarkStart w:id="872" w:name="_Toc262638003"/>
      <w:bookmarkStart w:id="873" w:name="_Toc511636003"/>
      <w:r>
        <w:rPr>
          <w:rFonts w:hint="eastAsia" w:asciiTheme="majorEastAsia" w:hAnsiTheme="majorEastAsia" w:eastAsiaTheme="majorEastAsia"/>
          <w:color w:val="auto"/>
        </w:rPr>
        <w:t>9.7 文明工地</w:t>
      </w:r>
      <w:bookmarkEnd w:id="872"/>
      <w:bookmarkEnd w:id="873"/>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9.7.1</w:t>
      </w:r>
      <w:r>
        <w:rPr>
          <w:rFonts w:hint="eastAsia" w:asciiTheme="minorEastAsia" w:hAnsiTheme="minorEastAsia"/>
          <w:color w:val="auto"/>
          <w:szCs w:val="21"/>
        </w:rPr>
        <w:t xml:space="preserve"> 本合同文明工地的约定：</w:t>
      </w:r>
      <w:bookmarkStart w:id="874" w:name="_Toc221951188"/>
      <w:bookmarkStart w:id="875" w:name="_Toc222029536"/>
      <w:bookmarkStart w:id="876" w:name="_Toc222031038"/>
      <w:bookmarkStart w:id="877" w:name="_Toc222032705"/>
      <w:bookmarkStart w:id="878" w:name="_Toc222033887"/>
      <w:bookmarkStart w:id="879" w:name="_Toc229305394"/>
      <w:bookmarkStart w:id="880" w:name="_Toc487489984"/>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881" w:name="_Toc511636004"/>
      <w:bookmarkStart w:id="882" w:name="_Toc515441170"/>
      <w:bookmarkStart w:id="883" w:name="_Toc516816173"/>
      <w:bookmarkStart w:id="884" w:name="_Toc516816362"/>
      <w:r>
        <w:rPr>
          <w:rFonts w:hint="eastAsia"/>
          <w:color w:val="auto"/>
        </w:rPr>
        <w:t>11 开工和竣工</w:t>
      </w:r>
      <w:bookmarkEnd w:id="874"/>
      <w:bookmarkEnd w:id="875"/>
      <w:bookmarkEnd w:id="876"/>
      <w:bookmarkEnd w:id="877"/>
      <w:bookmarkEnd w:id="878"/>
      <w:bookmarkEnd w:id="879"/>
      <w:r>
        <w:rPr>
          <w:rFonts w:hint="eastAsia"/>
          <w:color w:val="auto"/>
        </w:rPr>
        <w:t>（完工）</w:t>
      </w:r>
      <w:bookmarkEnd w:id="880"/>
      <w:bookmarkEnd w:id="881"/>
      <w:bookmarkEnd w:id="882"/>
      <w:bookmarkEnd w:id="883"/>
      <w:bookmarkEnd w:id="884"/>
    </w:p>
    <w:p>
      <w:pPr>
        <w:pStyle w:val="5"/>
        <w:adjustRightInd w:val="0"/>
        <w:snapToGrid w:val="0"/>
        <w:spacing w:before="0" w:after="0" w:line="520" w:lineRule="exact"/>
        <w:rPr>
          <w:rFonts w:asciiTheme="majorEastAsia" w:hAnsiTheme="majorEastAsia" w:eastAsiaTheme="majorEastAsia"/>
          <w:color w:val="auto"/>
        </w:rPr>
      </w:pPr>
      <w:bookmarkStart w:id="885" w:name="_Toc221951189"/>
      <w:bookmarkStart w:id="886" w:name="_Toc262638005"/>
      <w:bookmarkStart w:id="887" w:name="_Toc511636005"/>
      <w:r>
        <w:rPr>
          <w:rFonts w:hint="eastAsia" w:asciiTheme="majorEastAsia" w:hAnsiTheme="majorEastAsia" w:eastAsiaTheme="majorEastAsia"/>
          <w:color w:val="auto"/>
        </w:rPr>
        <w:t>11.4 异常恶劣的气候条件</w:t>
      </w:r>
      <w:bookmarkEnd w:id="885"/>
      <w:bookmarkEnd w:id="886"/>
      <w:bookmarkEnd w:id="887"/>
    </w:p>
    <w:p>
      <w:pPr>
        <w:widowControl/>
        <w:shd w:val="clear" w:color="auto" w:fill="FFFFFF"/>
        <w:snapToGrid w:val="0"/>
        <w:ind w:firstLine="420" w:firstLineChars="200"/>
        <w:jc w:val="left"/>
        <w:rPr>
          <w:rFonts w:asciiTheme="minorEastAsia" w:hAnsiTheme="minorEastAsia"/>
          <w:color w:val="auto"/>
          <w:szCs w:val="21"/>
        </w:rPr>
      </w:pPr>
      <w:bookmarkStart w:id="888" w:name="_Toc221951191"/>
      <w:r>
        <w:rPr>
          <w:rFonts w:hint="eastAsia" w:asciiTheme="minorEastAsia" w:hAnsiTheme="minorEastAsia"/>
          <w:color w:val="auto"/>
          <w:szCs w:val="21"/>
        </w:rPr>
        <w:t>11.4.3 本合同工程界定异常恶劣气候条件的范围为：</w:t>
      </w:r>
      <w:bookmarkEnd w:id="888"/>
    </w:p>
    <w:p>
      <w:pPr>
        <w:widowControl/>
        <w:shd w:val="clear" w:color="auto" w:fill="FFFFFF"/>
        <w:snapToGrid w:val="0"/>
        <w:ind w:firstLine="420" w:firstLineChars="200"/>
        <w:jc w:val="left"/>
        <w:rPr>
          <w:rFonts w:asciiTheme="minorEastAsia" w:hAnsiTheme="minorEastAsia"/>
          <w:color w:val="auto"/>
          <w:szCs w:val="21"/>
        </w:rPr>
      </w:pPr>
      <w:bookmarkStart w:id="889" w:name="_Toc221951192"/>
      <w:r>
        <w:rPr>
          <w:rFonts w:hint="eastAsia" w:asciiTheme="minorEastAsia" w:hAnsiTheme="minorEastAsia"/>
          <w:color w:val="auto"/>
          <w:szCs w:val="21"/>
        </w:rPr>
        <w:t>（1）日降雨量大于</w:t>
      </w:r>
      <w:r>
        <w:rPr>
          <w:rFonts w:asciiTheme="minorEastAsia" w:hAnsiTheme="minorEastAsia"/>
          <w:color w:val="auto"/>
          <w:szCs w:val="21"/>
        </w:rPr>
        <w:t>_____</w:t>
      </w:r>
      <w:r>
        <w:rPr>
          <w:rFonts w:hint="eastAsia" w:asciiTheme="minorEastAsia" w:hAnsiTheme="minorEastAsia"/>
          <w:color w:val="auto"/>
          <w:szCs w:val="21"/>
        </w:rPr>
        <w:t>mm的雨日超过</w:t>
      </w:r>
      <w:r>
        <w:rPr>
          <w:rFonts w:asciiTheme="minorEastAsia" w:hAnsiTheme="minorEastAsia"/>
          <w:color w:val="auto"/>
          <w:szCs w:val="21"/>
        </w:rPr>
        <w:t>_____</w:t>
      </w:r>
      <w:r>
        <w:rPr>
          <w:rFonts w:hint="eastAsia" w:asciiTheme="minorEastAsia" w:hAnsiTheme="minorEastAsia"/>
          <w:color w:val="auto"/>
          <w:szCs w:val="21"/>
        </w:rPr>
        <w:t>天。</w:t>
      </w:r>
      <w:bookmarkEnd w:id="889"/>
    </w:p>
    <w:p>
      <w:pPr>
        <w:widowControl/>
        <w:shd w:val="clear" w:color="auto" w:fill="FFFFFF"/>
        <w:snapToGrid w:val="0"/>
        <w:ind w:firstLine="420" w:firstLineChars="200"/>
        <w:jc w:val="left"/>
        <w:rPr>
          <w:rFonts w:asciiTheme="minorEastAsia" w:hAnsiTheme="minorEastAsia"/>
          <w:color w:val="auto"/>
          <w:szCs w:val="21"/>
        </w:rPr>
      </w:pPr>
      <w:bookmarkStart w:id="890" w:name="_Toc221951193"/>
      <w:r>
        <w:rPr>
          <w:rFonts w:hint="eastAsia" w:asciiTheme="minorEastAsia" w:hAnsiTheme="minorEastAsia"/>
          <w:color w:val="auto"/>
          <w:szCs w:val="21"/>
        </w:rPr>
        <w:t>（2）风速大于</w:t>
      </w:r>
      <w:r>
        <w:rPr>
          <w:rFonts w:asciiTheme="minorEastAsia" w:hAnsiTheme="minorEastAsia"/>
          <w:color w:val="auto"/>
          <w:szCs w:val="21"/>
        </w:rPr>
        <w:t>_____</w:t>
      </w:r>
      <w:r>
        <w:rPr>
          <w:rFonts w:hint="eastAsia" w:asciiTheme="minorEastAsia" w:hAnsiTheme="minorEastAsia"/>
          <w:color w:val="auto"/>
          <w:szCs w:val="21"/>
        </w:rPr>
        <w:t>m/s的</w:t>
      </w:r>
      <w:r>
        <w:rPr>
          <w:rFonts w:asciiTheme="minorEastAsia" w:hAnsiTheme="minorEastAsia"/>
          <w:color w:val="auto"/>
          <w:szCs w:val="21"/>
        </w:rPr>
        <w:t>_____</w:t>
      </w:r>
      <w:r>
        <w:rPr>
          <w:rFonts w:hint="eastAsia" w:asciiTheme="minorEastAsia" w:hAnsiTheme="minorEastAsia"/>
          <w:color w:val="auto"/>
          <w:szCs w:val="21"/>
        </w:rPr>
        <w:t>级以上台风灾害</w:t>
      </w:r>
      <w:bookmarkEnd w:id="890"/>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891" w:name="_Toc221951194"/>
      <w:r>
        <w:rPr>
          <w:rFonts w:hint="eastAsia" w:asciiTheme="minorEastAsia" w:hAnsiTheme="minorEastAsia"/>
          <w:color w:val="auto"/>
          <w:szCs w:val="21"/>
        </w:rPr>
        <w:t>（3）</w:t>
      </w:r>
      <w:bookmarkEnd w:id="891"/>
      <w:r>
        <w:rPr>
          <w:rFonts w:hint="eastAsia" w:asciiTheme="minorEastAsia" w:hAnsiTheme="minorEastAsia"/>
          <w:color w:val="auto"/>
          <w:szCs w:val="21"/>
        </w:rPr>
        <w:t>日气温超过</w:t>
      </w:r>
      <w:r>
        <w:rPr>
          <w:rFonts w:asciiTheme="minorEastAsia" w:hAnsiTheme="minorEastAsia"/>
          <w:color w:val="auto"/>
          <w:szCs w:val="21"/>
        </w:rPr>
        <w:t>_____</w:t>
      </w:r>
      <w:r>
        <w:rPr>
          <w:rFonts w:hint="eastAsia" w:asciiTheme="minorEastAsia" w:hAnsiTheme="minorEastAsia"/>
          <w:color w:val="auto"/>
          <w:szCs w:val="21"/>
        </w:rPr>
        <w:t>℃的高温大于</w:t>
      </w:r>
      <w:r>
        <w:rPr>
          <w:rFonts w:asciiTheme="minorEastAsia" w:hAnsiTheme="minorEastAsia"/>
          <w:color w:val="auto"/>
          <w:szCs w:val="21"/>
        </w:rPr>
        <w:t>_____</w:t>
      </w:r>
      <w:r>
        <w:rPr>
          <w:rFonts w:hint="eastAsia" w:asciiTheme="minorEastAsia" w:hAnsiTheme="minorEastAsia"/>
          <w:color w:val="auto"/>
          <w:szCs w:val="21"/>
        </w:rPr>
        <w:t>天。</w:t>
      </w:r>
    </w:p>
    <w:p>
      <w:pPr>
        <w:widowControl/>
        <w:shd w:val="clear" w:color="auto" w:fill="FFFFFF"/>
        <w:snapToGrid w:val="0"/>
        <w:ind w:firstLine="420" w:firstLineChars="200"/>
        <w:jc w:val="left"/>
        <w:rPr>
          <w:rFonts w:asciiTheme="minorEastAsia" w:hAnsiTheme="minorEastAsia"/>
          <w:color w:val="auto"/>
          <w:szCs w:val="21"/>
        </w:rPr>
      </w:pPr>
      <w:bookmarkStart w:id="892" w:name="_Toc221951195"/>
      <w:r>
        <w:rPr>
          <w:rFonts w:hint="eastAsia" w:asciiTheme="minorEastAsia" w:hAnsiTheme="minorEastAsia"/>
          <w:color w:val="auto"/>
          <w:szCs w:val="21"/>
        </w:rPr>
        <w:t>（4）</w:t>
      </w:r>
      <w:bookmarkEnd w:id="892"/>
      <w:r>
        <w:rPr>
          <w:rFonts w:hint="eastAsia" w:asciiTheme="minorEastAsia" w:hAnsiTheme="minorEastAsia"/>
          <w:color w:val="auto"/>
          <w:szCs w:val="21"/>
        </w:rPr>
        <w:t>日气温低于</w:t>
      </w:r>
      <w:r>
        <w:rPr>
          <w:rFonts w:asciiTheme="minorEastAsia" w:hAnsiTheme="minorEastAsia"/>
          <w:color w:val="auto"/>
          <w:szCs w:val="21"/>
        </w:rPr>
        <w:t>_____</w:t>
      </w:r>
      <w:r>
        <w:rPr>
          <w:rFonts w:hint="eastAsia" w:asciiTheme="minorEastAsia" w:hAnsiTheme="minorEastAsia"/>
          <w:color w:val="auto"/>
          <w:szCs w:val="21"/>
        </w:rPr>
        <w:t>℃的严寒大于</w:t>
      </w:r>
      <w:r>
        <w:rPr>
          <w:rFonts w:asciiTheme="minorEastAsia" w:hAnsiTheme="minorEastAsia"/>
          <w:color w:val="auto"/>
          <w:szCs w:val="21"/>
        </w:rPr>
        <w:t>_____</w:t>
      </w:r>
      <w:r>
        <w:rPr>
          <w:rFonts w:hint="eastAsia" w:asciiTheme="minorEastAsia" w:hAnsiTheme="minorEastAsia"/>
          <w:color w:val="auto"/>
          <w:szCs w:val="21"/>
        </w:rPr>
        <w:t>天。</w:t>
      </w:r>
    </w:p>
    <w:p>
      <w:pPr>
        <w:widowControl/>
        <w:shd w:val="clear" w:color="auto" w:fill="FFFFFF"/>
        <w:snapToGrid w:val="0"/>
        <w:ind w:firstLine="420" w:firstLineChars="200"/>
        <w:jc w:val="left"/>
        <w:rPr>
          <w:rFonts w:asciiTheme="minorEastAsia" w:hAnsiTheme="minorEastAsia"/>
          <w:color w:val="auto"/>
          <w:szCs w:val="21"/>
        </w:rPr>
      </w:pPr>
      <w:bookmarkStart w:id="893" w:name="_Toc221951196"/>
      <w:r>
        <w:rPr>
          <w:rFonts w:hint="eastAsia" w:asciiTheme="minorEastAsia" w:hAnsiTheme="minorEastAsia"/>
          <w:color w:val="auto"/>
          <w:szCs w:val="21"/>
        </w:rPr>
        <w:t>（5）</w:t>
      </w:r>
      <w:bookmarkEnd w:id="893"/>
      <w:r>
        <w:rPr>
          <w:rFonts w:hint="eastAsia" w:asciiTheme="minorEastAsia" w:hAnsiTheme="minorEastAsia"/>
          <w:color w:val="auto"/>
          <w:szCs w:val="21"/>
        </w:rPr>
        <w:t>造成工程损坏的冰雹和大雪灾害：</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894" w:name="_Toc221951197"/>
      <w:r>
        <w:rPr>
          <w:rFonts w:hint="eastAsia" w:asciiTheme="minorEastAsia" w:hAnsiTheme="minorEastAsia"/>
          <w:color w:val="auto"/>
          <w:szCs w:val="21"/>
        </w:rPr>
        <w:t>（6）其他异常恶劣气候灾害。</w:t>
      </w:r>
      <w:bookmarkEnd w:id="894"/>
    </w:p>
    <w:p>
      <w:pPr>
        <w:pStyle w:val="5"/>
        <w:adjustRightInd w:val="0"/>
        <w:snapToGrid w:val="0"/>
        <w:spacing w:before="0" w:after="0" w:line="520" w:lineRule="exact"/>
        <w:rPr>
          <w:rFonts w:asciiTheme="majorEastAsia" w:hAnsiTheme="majorEastAsia" w:eastAsiaTheme="majorEastAsia"/>
          <w:color w:val="auto"/>
        </w:rPr>
      </w:pPr>
      <w:bookmarkStart w:id="895" w:name="_Toc221951198"/>
      <w:bookmarkStart w:id="896" w:name="_Toc262638006"/>
      <w:bookmarkStart w:id="897" w:name="_Toc511636006"/>
      <w:r>
        <w:rPr>
          <w:rFonts w:hint="eastAsia" w:asciiTheme="majorEastAsia" w:hAnsiTheme="majorEastAsia" w:eastAsiaTheme="majorEastAsia"/>
          <w:color w:val="auto"/>
        </w:rPr>
        <w:t>11.5 承包人工期延误</w:t>
      </w:r>
      <w:bookmarkEnd w:id="895"/>
      <w:bookmarkEnd w:id="896"/>
      <w:bookmarkEnd w:id="897"/>
    </w:p>
    <w:p>
      <w:pPr>
        <w:widowControl/>
        <w:shd w:val="clear" w:color="auto" w:fill="FFFFFF"/>
        <w:snapToGrid w:val="0"/>
        <w:ind w:firstLine="420" w:firstLineChars="200"/>
        <w:jc w:val="left"/>
        <w:rPr>
          <w:rFonts w:asciiTheme="minorEastAsia" w:hAnsiTheme="minorEastAsia"/>
          <w:color w:val="auto"/>
          <w:szCs w:val="21"/>
        </w:rPr>
      </w:pPr>
      <w:bookmarkStart w:id="898" w:name="_Toc221951200"/>
      <w:r>
        <w:rPr>
          <w:rFonts w:hint="eastAsia" w:asciiTheme="minorEastAsia" w:hAnsiTheme="minorEastAsia"/>
          <w:color w:val="auto"/>
          <w:szCs w:val="21"/>
        </w:rPr>
        <w:t>（1）逾期竣工违约金表（参考格式</w:t>
      </w:r>
      <w:bookmarkEnd w:id="898"/>
      <w:r>
        <w:rPr>
          <w:rFonts w:hint="eastAsia" w:asciiTheme="minorEastAsia" w:hAnsiTheme="minorEastAsia"/>
          <w:color w:val="auto"/>
          <w:szCs w:val="21"/>
        </w:rPr>
        <w:t>）</w:t>
      </w:r>
    </w:p>
    <w:tbl>
      <w:tblPr>
        <w:tblStyle w:val="39"/>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281"/>
        <w:gridCol w:w="1842"/>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681" w:type="dxa"/>
            <w:vAlign w:val="center"/>
          </w:tcPr>
          <w:p>
            <w:pPr>
              <w:widowControl/>
              <w:shd w:val="clear" w:color="auto" w:fill="FFFFFF"/>
              <w:snapToGrid w:val="0"/>
              <w:jc w:val="center"/>
              <w:rPr>
                <w:rFonts w:asciiTheme="minorEastAsia" w:hAnsiTheme="minorEastAsia"/>
                <w:color w:val="auto"/>
                <w:szCs w:val="21"/>
              </w:rPr>
            </w:pPr>
            <w:bookmarkStart w:id="899" w:name="_Toc221951201"/>
            <w:r>
              <w:rPr>
                <w:rFonts w:hint="eastAsia" w:asciiTheme="minorEastAsia" w:hAnsiTheme="minorEastAsia"/>
                <w:color w:val="auto"/>
                <w:szCs w:val="21"/>
              </w:rPr>
              <w:t>序号</w:t>
            </w:r>
            <w:bookmarkEnd w:id="899"/>
          </w:p>
        </w:tc>
        <w:tc>
          <w:tcPr>
            <w:tcW w:w="4281" w:type="dxa"/>
            <w:vAlign w:val="center"/>
          </w:tcPr>
          <w:p>
            <w:pPr>
              <w:widowControl/>
              <w:shd w:val="clear" w:color="auto" w:fill="FFFFFF"/>
              <w:snapToGrid w:val="0"/>
              <w:jc w:val="center"/>
              <w:rPr>
                <w:rFonts w:asciiTheme="minorEastAsia" w:hAnsiTheme="minorEastAsia"/>
                <w:color w:val="auto"/>
                <w:szCs w:val="21"/>
              </w:rPr>
            </w:pPr>
            <w:bookmarkStart w:id="900" w:name="_Toc221951202"/>
            <w:r>
              <w:rPr>
                <w:rFonts w:hint="eastAsia" w:asciiTheme="minorEastAsia" w:hAnsiTheme="minorEastAsia"/>
                <w:color w:val="auto"/>
                <w:szCs w:val="21"/>
              </w:rPr>
              <w:t>项目及其说明</w:t>
            </w:r>
            <w:bookmarkEnd w:id="900"/>
          </w:p>
        </w:tc>
        <w:tc>
          <w:tcPr>
            <w:tcW w:w="1842" w:type="dxa"/>
            <w:vAlign w:val="center"/>
          </w:tcPr>
          <w:p>
            <w:pPr>
              <w:widowControl/>
              <w:shd w:val="clear" w:color="auto" w:fill="FFFFFF"/>
              <w:snapToGrid w:val="0"/>
              <w:jc w:val="center"/>
              <w:rPr>
                <w:rFonts w:asciiTheme="minorEastAsia" w:hAnsiTheme="minorEastAsia"/>
                <w:color w:val="auto"/>
                <w:szCs w:val="21"/>
              </w:rPr>
            </w:pPr>
            <w:bookmarkStart w:id="901" w:name="_Toc221951203"/>
            <w:r>
              <w:rPr>
                <w:rFonts w:hint="eastAsia" w:asciiTheme="minorEastAsia" w:hAnsiTheme="minorEastAsia"/>
                <w:color w:val="auto"/>
                <w:szCs w:val="21"/>
              </w:rPr>
              <w:t>要求完工日期</w:t>
            </w:r>
            <w:bookmarkEnd w:id="901"/>
          </w:p>
        </w:tc>
        <w:tc>
          <w:tcPr>
            <w:tcW w:w="1985" w:type="dxa"/>
            <w:vAlign w:val="center"/>
          </w:tcPr>
          <w:p>
            <w:pPr>
              <w:widowControl/>
              <w:shd w:val="clear" w:color="auto" w:fill="FFFFFF"/>
              <w:snapToGrid w:val="0"/>
              <w:jc w:val="center"/>
              <w:rPr>
                <w:rFonts w:asciiTheme="minorEastAsia" w:hAnsiTheme="minorEastAsia"/>
                <w:color w:val="auto"/>
                <w:szCs w:val="21"/>
              </w:rPr>
            </w:pPr>
            <w:bookmarkStart w:id="902" w:name="_Toc221951204"/>
            <w:r>
              <w:rPr>
                <w:rFonts w:hint="eastAsia" w:asciiTheme="minorEastAsia" w:hAnsiTheme="minorEastAsia"/>
                <w:color w:val="auto"/>
                <w:szCs w:val="21"/>
              </w:rPr>
              <w:t>违约金(元/天)</w:t>
            </w:r>
            <w:bookmarkEnd w:id="90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42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842"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985" w:type="dxa"/>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42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842"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985" w:type="dxa"/>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42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842"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985" w:type="dxa"/>
          </w:tcPr>
          <w:p>
            <w:pPr>
              <w:widowControl/>
              <w:shd w:val="clear" w:color="auto" w:fill="FFFFFF"/>
              <w:snapToGrid w:val="0"/>
              <w:ind w:firstLine="420" w:firstLineChars="200"/>
              <w:jc w:val="left"/>
              <w:rPr>
                <w:rFonts w:asciiTheme="minorEastAsia" w:hAnsiTheme="minorEastAsia"/>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4281"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842" w:type="dxa"/>
            <w:vAlign w:val="center"/>
          </w:tcPr>
          <w:p>
            <w:pPr>
              <w:widowControl/>
              <w:shd w:val="clear" w:color="auto" w:fill="FFFFFF"/>
              <w:snapToGrid w:val="0"/>
              <w:ind w:firstLine="420" w:firstLineChars="200"/>
              <w:jc w:val="left"/>
              <w:rPr>
                <w:rFonts w:asciiTheme="minorEastAsia" w:hAnsiTheme="minorEastAsia"/>
                <w:color w:val="auto"/>
                <w:szCs w:val="21"/>
              </w:rPr>
            </w:pPr>
          </w:p>
        </w:tc>
        <w:tc>
          <w:tcPr>
            <w:tcW w:w="1985" w:type="dxa"/>
          </w:tcPr>
          <w:p>
            <w:pPr>
              <w:widowControl/>
              <w:shd w:val="clear" w:color="auto" w:fill="FFFFFF"/>
              <w:snapToGrid w:val="0"/>
              <w:ind w:firstLine="420" w:firstLineChars="200"/>
              <w:jc w:val="left"/>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bookmarkStart w:id="903" w:name="_Toc221951205"/>
      <w:r>
        <w:rPr>
          <w:rFonts w:hint="eastAsia" w:asciiTheme="minorEastAsia" w:hAnsiTheme="minorEastAsia"/>
          <w:color w:val="auto"/>
          <w:szCs w:val="21"/>
        </w:rPr>
        <w:t>（2）全部逾期完工违约金的总限额为</w:t>
      </w:r>
      <w:r>
        <w:rPr>
          <w:rFonts w:hint="eastAsia" w:asciiTheme="minorEastAsia" w:hAnsiTheme="minorEastAsia"/>
          <w:color w:val="auto"/>
          <w:szCs w:val="21"/>
          <w:u w:val="single"/>
        </w:rPr>
        <w:t>（不超过合同总价的</w:t>
      </w:r>
      <w:r>
        <w:rPr>
          <w:rFonts w:asciiTheme="minorEastAsia" w:hAnsiTheme="minorEastAsia"/>
          <w:color w:val="auto"/>
          <w:szCs w:val="21"/>
        </w:rPr>
        <w:t>______</w:t>
      </w:r>
      <w:r>
        <w:rPr>
          <w:rFonts w:hint="eastAsia" w:asciiTheme="minorEastAsia" w:hAnsiTheme="minorEastAsia"/>
          <w:color w:val="auto"/>
          <w:szCs w:val="21"/>
          <w:u w:val="single"/>
        </w:rPr>
        <w:t>%）</w:t>
      </w:r>
      <w:r>
        <w:rPr>
          <w:rFonts w:hint="eastAsia" w:asciiTheme="minorEastAsia" w:hAnsiTheme="minorEastAsia"/>
          <w:color w:val="auto"/>
          <w:szCs w:val="21"/>
        </w:rPr>
        <w:t>。</w:t>
      </w:r>
      <w:bookmarkEnd w:id="903"/>
    </w:p>
    <w:p>
      <w:pPr>
        <w:pStyle w:val="5"/>
        <w:adjustRightInd w:val="0"/>
        <w:snapToGrid w:val="0"/>
        <w:spacing w:before="0" w:after="0" w:line="520" w:lineRule="exact"/>
        <w:rPr>
          <w:rFonts w:asciiTheme="majorEastAsia" w:hAnsiTheme="majorEastAsia" w:eastAsiaTheme="majorEastAsia"/>
          <w:color w:val="auto"/>
        </w:rPr>
      </w:pPr>
      <w:bookmarkStart w:id="904" w:name="_Toc262638007"/>
      <w:bookmarkStart w:id="905" w:name="_Toc511636007"/>
      <w:r>
        <w:rPr>
          <w:rFonts w:hint="eastAsia" w:asciiTheme="majorEastAsia" w:hAnsiTheme="majorEastAsia" w:eastAsiaTheme="majorEastAsia"/>
          <w:color w:val="auto"/>
        </w:rPr>
        <w:t>11.6 工期提前</w:t>
      </w:r>
      <w:bookmarkEnd w:id="904"/>
      <w:bookmarkEnd w:id="90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工期提前的奖金约定：</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906" w:name="_Toc221951206"/>
      <w:bookmarkStart w:id="907" w:name="_Toc222029537"/>
      <w:bookmarkStart w:id="908" w:name="_Toc222031039"/>
      <w:bookmarkStart w:id="909" w:name="_Toc222032706"/>
      <w:bookmarkStart w:id="910" w:name="_Toc222033888"/>
      <w:bookmarkStart w:id="911" w:name="_Toc229305395"/>
      <w:bookmarkStart w:id="912" w:name="_Toc487489985"/>
      <w:bookmarkStart w:id="913" w:name="_Toc511636008"/>
      <w:bookmarkStart w:id="914" w:name="_Toc515441171"/>
      <w:bookmarkStart w:id="915" w:name="_Toc516816174"/>
      <w:bookmarkStart w:id="916" w:name="_Toc516816363"/>
      <w:r>
        <w:rPr>
          <w:rFonts w:hint="eastAsia"/>
          <w:color w:val="auto"/>
        </w:rPr>
        <w:t>12 暂停施工</w:t>
      </w:r>
      <w:bookmarkEnd w:id="906"/>
      <w:bookmarkEnd w:id="907"/>
      <w:bookmarkEnd w:id="908"/>
      <w:bookmarkEnd w:id="909"/>
      <w:bookmarkEnd w:id="910"/>
      <w:bookmarkEnd w:id="911"/>
      <w:bookmarkEnd w:id="912"/>
      <w:bookmarkEnd w:id="913"/>
      <w:bookmarkEnd w:id="914"/>
      <w:bookmarkEnd w:id="915"/>
      <w:bookmarkEnd w:id="916"/>
    </w:p>
    <w:p>
      <w:pPr>
        <w:pStyle w:val="5"/>
        <w:adjustRightInd w:val="0"/>
        <w:snapToGrid w:val="0"/>
        <w:spacing w:before="0" w:after="0" w:line="520" w:lineRule="exact"/>
        <w:rPr>
          <w:rFonts w:asciiTheme="majorEastAsia" w:hAnsiTheme="majorEastAsia" w:eastAsiaTheme="majorEastAsia"/>
          <w:color w:val="auto"/>
        </w:rPr>
      </w:pPr>
      <w:bookmarkStart w:id="917" w:name="_Toc221951207"/>
      <w:bookmarkStart w:id="918" w:name="_Toc262638009"/>
      <w:bookmarkStart w:id="919" w:name="_Toc511636009"/>
      <w:r>
        <w:rPr>
          <w:rFonts w:hint="eastAsia" w:asciiTheme="majorEastAsia" w:hAnsiTheme="majorEastAsia" w:eastAsiaTheme="majorEastAsia"/>
          <w:color w:val="auto"/>
        </w:rPr>
        <w:t>12.1 承包人暂停施工的责任</w:t>
      </w:r>
      <w:bookmarkEnd w:id="917"/>
      <w:bookmarkEnd w:id="918"/>
      <w:bookmarkEnd w:id="919"/>
    </w:p>
    <w:p>
      <w:pPr>
        <w:widowControl/>
        <w:shd w:val="clear" w:color="auto" w:fill="FFFFFF"/>
        <w:snapToGrid w:val="0"/>
        <w:ind w:firstLine="420" w:firstLineChars="200"/>
        <w:jc w:val="left"/>
        <w:rPr>
          <w:rFonts w:asciiTheme="minorEastAsia" w:hAnsiTheme="minorEastAsia"/>
          <w:color w:val="auto"/>
          <w:szCs w:val="21"/>
        </w:rPr>
      </w:pPr>
      <w:bookmarkStart w:id="920" w:name="_Toc221951209"/>
      <w:r>
        <w:rPr>
          <w:rFonts w:hint="eastAsia" w:asciiTheme="minorEastAsia" w:hAnsiTheme="minorEastAsia"/>
          <w:color w:val="auto"/>
          <w:szCs w:val="21"/>
        </w:rPr>
        <w:t>（5）承包人承担暂停施工责任的其它情形：</w:t>
      </w:r>
      <w:bookmarkEnd w:id="920"/>
      <w:r>
        <w:rPr>
          <w:rFonts w:asciiTheme="minorEastAsia" w:hAnsiTheme="minorEastAsia"/>
          <w:color w:val="auto"/>
          <w:szCs w:val="21"/>
        </w:rPr>
        <w:t>_____________________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21" w:name="_Toc511636010"/>
      <w:bookmarkStart w:id="922" w:name="_Toc262638010"/>
      <w:r>
        <w:rPr>
          <w:rFonts w:hint="eastAsia" w:asciiTheme="majorEastAsia" w:hAnsiTheme="majorEastAsia" w:eastAsiaTheme="majorEastAsia"/>
          <w:color w:val="auto"/>
        </w:rPr>
        <w:t>12.2 发包人暂停施工的责任</w:t>
      </w:r>
      <w:bookmarkEnd w:id="921"/>
      <w:bookmarkEnd w:id="9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（3）发包人承担暂停施工责任的其它情形：</w:t>
      </w:r>
      <w:bookmarkStart w:id="923" w:name="_Toc487489986"/>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924" w:name="_Toc511636011"/>
      <w:bookmarkStart w:id="925" w:name="_Toc515441172"/>
      <w:bookmarkStart w:id="926" w:name="_Toc516816175"/>
      <w:bookmarkStart w:id="927" w:name="_Toc516816364"/>
      <w:r>
        <w:rPr>
          <w:rFonts w:hint="eastAsia"/>
          <w:color w:val="auto"/>
        </w:rPr>
        <w:t>13 工程质量</w:t>
      </w:r>
      <w:bookmarkEnd w:id="923"/>
      <w:bookmarkEnd w:id="924"/>
      <w:bookmarkEnd w:id="925"/>
      <w:bookmarkEnd w:id="926"/>
      <w:bookmarkEnd w:id="927"/>
    </w:p>
    <w:p>
      <w:pPr>
        <w:pStyle w:val="5"/>
        <w:adjustRightInd w:val="0"/>
        <w:snapToGrid w:val="0"/>
        <w:spacing w:before="0" w:after="0" w:line="520" w:lineRule="exact"/>
        <w:rPr>
          <w:rFonts w:asciiTheme="majorEastAsia" w:hAnsiTheme="majorEastAsia" w:eastAsiaTheme="majorEastAsia"/>
          <w:color w:val="auto"/>
        </w:rPr>
      </w:pPr>
      <w:bookmarkStart w:id="928" w:name="_Toc262638012"/>
      <w:bookmarkStart w:id="929" w:name="_Toc511636012"/>
      <w:r>
        <w:rPr>
          <w:rFonts w:hint="eastAsia" w:asciiTheme="majorEastAsia" w:hAnsiTheme="majorEastAsia" w:eastAsiaTheme="majorEastAsia"/>
          <w:color w:val="auto"/>
        </w:rPr>
        <w:t>13.7 质量评定</w:t>
      </w:r>
      <w:bookmarkEnd w:id="928"/>
      <w:bookmarkEnd w:id="9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13.7.4 重要隐蔽单元工程和关键部位单元工程质量评定的约定：</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13.7.7 工程合格标准为：</w:t>
      </w:r>
      <w:r>
        <w:rPr>
          <w:rFonts w:asciiTheme="minorEastAsia" w:hAnsiTheme="minorEastAsia"/>
          <w:color w:val="auto"/>
          <w:szCs w:val="21"/>
        </w:rPr>
        <w:t>______</w:t>
      </w:r>
      <w:r>
        <w:rPr>
          <w:rFonts w:hint="eastAsia" w:asciiTheme="minorEastAsia" w:hAnsiTheme="minorEastAsia"/>
          <w:color w:val="auto"/>
          <w:szCs w:val="21"/>
        </w:rPr>
        <w:t>；优良标准为：</w:t>
      </w:r>
      <w:r>
        <w:rPr>
          <w:rFonts w:asciiTheme="minorEastAsia" w:hAnsiTheme="minorEastAsia"/>
          <w:color w:val="auto"/>
          <w:szCs w:val="21"/>
        </w:rPr>
        <w:t>______</w:t>
      </w:r>
      <w:r>
        <w:rPr>
          <w:rFonts w:hint="eastAsia" w:asciiTheme="minorEastAsia" w:hAnsiTheme="minorEastAsia"/>
          <w:color w:val="auto"/>
          <w:szCs w:val="21"/>
        </w:rPr>
        <w:t>。达到优良的奖金为：</w:t>
      </w:r>
      <w:r>
        <w:rPr>
          <w:rFonts w:asciiTheme="minorEastAsia" w:hAnsiTheme="minorEastAsia"/>
          <w:color w:val="auto"/>
          <w:szCs w:val="21"/>
        </w:rPr>
        <w:t>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30" w:name="_Toc262638013"/>
      <w:bookmarkStart w:id="931" w:name="_Toc511636013"/>
      <w:r>
        <w:rPr>
          <w:rFonts w:hint="eastAsia" w:asciiTheme="majorEastAsia" w:hAnsiTheme="majorEastAsia" w:eastAsiaTheme="majorEastAsia"/>
          <w:color w:val="auto"/>
        </w:rPr>
        <w:t>13.8 质量事故处理</w:t>
      </w:r>
      <w:bookmarkEnd w:id="930"/>
      <w:bookmarkEnd w:id="9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13.8.4 工程竣工验收时，</w:t>
      </w:r>
      <w:r>
        <w:rPr>
          <w:rFonts w:asciiTheme="minorEastAsia" w:hAnsiTheme="minorEastAsia"/>
          <w:color w:val="auto"/>
          <w:szCs w:val="21"/>
        </w:rPr>
        <w:t>________________</w:t>
      </w:r>
      <w:r>
        <w:rPr>
          <w:rFonts w:hint="eastAsia" w:asciiTheme="minorEastAsia" w:hAnsiTheme="minorEastAsia"/>
          <w:color w:val="auto"/>
          <w:szCs w:val="21"/>
        </w:rPr>
        <w:t>向竣工验收委员会汇报并提交历次质量缺陷处理的备案资料。</w:t>
      </w:r>
    </w:p>
    <w:p>
      <w:pPr>
        <w:pStyle w:val="4"/>
        <w:rPr>
          <w:color w:val="auto"/>
        </w:rPr>
      </w:pPr>
      <w:bookmarkStart w:id="932" w:name="_Toc487489987"/>
      <w:bookmarkStart w:id="933" w:name="_Toc511636014"/>
      <w:bookmarkStart w:id="934" w:name="_Toc515441173"/>
      <w:bookmarkStart w:id="935" w:name="_Toc516816176"/>
      <w:bookmarkStart w:id="936" w:name="_Toc516816365"/>
      <w:r>
        <w:rPr>
          <w:color w:val="auto"/>
        </w:rPr>
        <w:t>14</w:t>
      </w:r>
      <w:r>
        <w:rPr>
          <w:rFonts w:hint="eastAsia"/>
          <w:color w:val="auto"/>
        </w:rPr>
        <w:t xml:space="preserve"> 试验和检验</w:t>
      </w:r>
      <w:bookmarkEnd w:id="932"/>
      <w:bookmarkEnd w:id="933"/>
      <w:bookmarkEnd w:id="934"/>
      <w:bookmarkEnd w:id="935"/>
      <w:bookmarkEnd w:id="936"/>
    </w:p>
    <w:p>
      <w:pPr>
        <w:pStyle w:val="5"/>
        <w:adjustRightInd w:val="0"/>
        <w:snapToGrid w:val="0"/>
        <w:spacing w:before="0" w:after="0" w:line="520" w:lineRule="exact"/>
        <w:rPr>
          <w:rFonts w:asciiTheme="majorEastAsia" w:hAnsiTheme="majorEastAsia" w:eastAsiaTheme="majorEastAsia"/>
          <w:color w:val="auto"/>
        </w:rPr>
      </w:pPr>
      <w:bookmarkStart w:id="937" w:name="_Toc262638015"/>
      <w:bookmarkStart w:id="938" w:name="_Toc511636015"/>
      <w:r>
        <w:rPr>
          <w:rFonts w:hint="eastAsia" w:asciiTheme="majorEastAsia" w:hAnsiTheme="majorEastAsia" w:eastAsiaTheme="majorEastAsia"/>
          <w:color w:val="auto"/>
        </w:rPr>
        <w:t>14.1 材料、工程设备和工程的试验和检验</w:t>
      </w:r>
      <w:bookmarkEnd w:id="937"/>
      <w:bookmarkEnd w:id="9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14.1.5 水工金属结构、启闭机及机电产品进场后的交货检查和验收中，承包人负责</w:t>
      </w:r>
      <w:r>
        <w:rPr>
          <w:rFonts w:asciiTheme="minorEastAsia" w:hAnsiTheme="minorEastAsia"/>
          <w:color w:val="auto"/>
          <w:szCs w:val="21"/>
        </w:rPr>
        <w:t>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14.1.6 本工程实行见证取样的试块、试件及有关材料：</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939" w:name="_Toc221951213"/>
      <w:bookmarkStart w:id="940" w:name="_Toc222029539"/>
      <w:bookmarkStart w:id="941" w:name="_Toc222031041"/>
      <w:bookmarkStart w:id="942" w:name="_Toc222032708"/>
      <w:bookmarkStart w:id="943" w:name="_Toc222033890"/>
      <w:bookmarkStart w:id="944" w:name="_Toc229305396"/>
      <w:bookmarkStart w:id="945" w:name="_Toc487489988"/>
      <w:bookmarkStart w:id="946" w:name="_Toc511636016"/>
      <w:bookmarkStart w:id="947" w:name="_Toc515441174"/>
      <w:bookmarkStart w:id="948" w:name="_Toc516816177"/>
      <w:bookmarkStart w:id="949" w:name="_Toc516816366"/>
      <w:r>
        <w:rPr>
          <w:rFonts w:hint="eastAsia"/>
          <w:color w:val="auto"/>
        </w:rPr>
        <w:t>15 变更</w:t>
      </w:r>
      <w:bookmarkEnd w:id="939"/>
      <w:bookmarkEnd w:id="940"/>
      <w:bookmarkEnd w:id="941"/>
      <w:bookmarkEnd w:id="942"/>
      <w:bookmarkEnd w:id="943"/>
      <w:bookmarkEnd w:id="944"/>
      <w:bookmarkEnd w:id="945"/>
      <w:bookmarkEnd w:id="946"/>
      <w:bookmarkEnd w:id="947"/>
      <w:bookmarkEnd w:id="948"/>
      <w:bookmarkEnd w:id="949"/>
    </w:p>
    <w:p>
      <w:pPr>
        <w:pStyle w:val="5"/>
        <w:adjustRightInd w:val="0"/>
        <w:snapToGrid w:val="0"/>
        <w:spacing w:before="0" w:after="0" w:line="520" w:lineRule="exact"/>
        <w:rPr>
          <w:color w:val="auto"/>
        </w:rPr>
      </w:pPr>
      <w:bookmarkStart w:id="950" w:name="_Toc221951214"/>
      <w:bookmarkStart w:id="951" w:name="_Toc262638017"/>
      <w:bookmarkStart w:id="952" w:name="_Toc511636017"/>
      <w:r>
        <w:rPr>
          <w:rFonts w:hint="eastAsia" w:asciiTheme="majorEastAsia" w:hAnsiTheme="majorEastAsia" w:eastAsiaTheme="majorEastAsia"/>
          <w:color w:val="auto"/>
        </w:rPr>
        <w:t>15.1 变更的范围和内容</w:t>
      </w:r>
      <w:bookmarkEnd w:id="950"/>
      <w:bookmarkEnd w:id="951"/>
      <w:bookmarkEnd w:id="952"/>
    </w:p>
    <w:p>
      <w:pPr>
        <w:widowControl/>
        <w:shd w:val="clear" w:color="auto" w:fill="FFFFFF"/>
        <w:snapToGrid w:val="0"/>
        <w:ind w:firstLine="420" w:firstLineChars="200"/>
        <w:jc w:val="left"/>
        <w:rPr>
          <w:rFonts w:asciiTheme="minorEastAsia" w:hAnsiTheme="minorEastAsia"/>
          <w:color w:val="auto"/>
          <w:szCs w:val="21"/>
        </w:rPr>
      </w:pPr>
      <w:bookmarkStart w:id="953" w:name="_Toc221951216"/>
      <w:r>
        <w:rPr>
          <w:rFonts w:hint="eastAsia" w:asciiTheme="minorEastAsia" w:hAnsiTheme="minorEastAsia"/>
          <w:color w:val="auto"/>
          <w:szCs w:val="21"/>
        </w:rPr>
        <w:t>（6）增加或减少合同中关键项目的工程量超过其工程总量的</w:t>
      </w:r>
      <w:r>
        <w:rPr>
          <w:rFonts w:asciiTheme="minorEastAsia" w:hAnsiTheme="minorEastAsia"/>
          <w:color w:val="auto"/>
          <w:szCs w:val="21"/>
        </w:rPr>
        <w:t>_______</w:t>
      </w:r>
      <w:r>
        <w:rPr>
          <w:rFonts w:hint="eastAsia" w:asciiTheme="minorEastAsia" w:hAnsiTheme="minorEastAsia"/>
          <w:color w:val="auto"/>
          <w:szCs w:val="21"/>
        </w:rPr>
        <w:t>%，关键项目：</w:t>
      </w:r>
      <w:r>
        <w:rPr>
          <w:rFonts w:asciiTheme="minorEastAsia" w:hAnsiTheme="minorEastAsia"/>
          <w:color w:val="auto"/>
          <w:szCs w:val="21"/>
        </w:rPr>
        <w:t>______</w:t>
      </w:r>
      <w:r>
        <w:rPr>
          <w:rFonts w:hint="eastAsia" w:asciiTheme="minorEastAsia" w:hAnsiTheme="minorEastAsia"/>
          <w:color w:val="auto"/>
          <w:szCs w:val="21"/>
        </w:rPr>
        <w:t>，单价调整方式：</w:t>
      </w:r>
      <w:bookmarkEnd w:id="953"/>
      <w:r>
        <w:rPr>
          <w:rFonts w:asciiTheme="minorEastAsia" w:hAnsiTheme="minorEastAsia"/>
          <w:color w:val="auto"/>
          <w:szCs w:val="21"/>
        </w:rPr>
        <w:t>_____________________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54" w:name="_Toc262638018"/>
      <w:bookmarkStart w:id="955" w:name="_Toc511636018"/>
      <w:bookmarkStart w:id="956" w:name="_Toc221951218"/>
      <w:r>
        <w:rPr>
          <w:rFonts w:hint="eastAsia" w:asciiTheme="majorEastAsia" w:hAnsiTheme="majorEastAsia" w:eastAsiaTheme="majorEastAsia"/>
          <w:color w:val="auto"/>
        </w:rPr>
        <w:t>15.5 承包人的合理化建议</w:t>
      </w:r>
      <w:bookmarkEnd w:id="954"/>
      <w:bookmarkEnd w:id="9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15.5.2</w:t>
      </w:r>
      <w:bookmarkEnd w:id="956"/>
      <w:bookmarkStart w:id="957" w:name="_Toc221951219"/>
      <w:r>
        <w:rPr>
          <w:rFonts w:hint="eastAsia" w:asciiTheme="minorEastAsia" w:hAnsiTheme="minorEastAsia"/>
          <w:color w:val="auto"/>
          <w:szCs w:val="21"/>
        </w:rPr>
        <w:t xml:space="preserve"> 承包人实现合理化建议的奖励金额为：</w:t>
      </w:r>
      <w:bookmarkEnd w:id="957"/>
      <w:r>
        <w:rPr>
          <w:rFonts w:asciiTheme="minorEastAsia" w:hAnsiTheme="minorEastAsia"/>
          <w:color w:val="auto"/>
          <w:szCs w:val="21"/>
        </w:rPr>
        <w:t>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58" w:name="_Toc221951221"/>
      <w:bookmarkStart w:id="959" w:name="_Toc262638019"/>
      <w:bookmarkStart w:id="960" w:name="_Toc511636019"/>
      <w:r>
        <w:rPr>
          <w:rFonts w:hint="eastAsia" w:asciiTheme="majorEastAsia" w:hAnsiTheme="majorEastAsia" w:eastAsiaTheme="majorEastAsia"/>
          <w:color w:val="auto"/>
        </w:rPr>
        <w:t>15.8 暂估价</w:t>
      </w:r>
      <w:bookmarkEnd w:id="958"/>
      <w:bookmarkEnd w:id="959"/>
      <w:bookmarkEnd w:id="96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15.8.1（1）发包人和承包人组织招标的暂估价项目：</w:t>
      </w:r>
      <w:r>
        <w:rPr>
          <w:rFonts w:asciiTheme="minorEastAsia" w:hAnsiTheme="minorEastAsia"/>
          <w:color w:val="auto"/>
          <w:szCs w:val="21"/>
        </w:rPr>
        <w:t>____________</w:t>
      </w:r>
      <w:r>
        <w:rPr>
          <w:rFonts w:hint="eastAsia" w:asciiTheme="minorEastAsia" w:hAnsiTheme="minorEastAsia"/>
          <w:color w:val="auto"/>
          <w:szCs w:val="21"/>
        </w:rPr>
        <w:t>；发包人组织招标的暂估价项目：</w:t>
      </w:r>
      <w:r>
        <w:rPr>
          <w:rFonts w:asciiTheme="minorEastAsia" w:hAnsiTheme="minorEastAsia"/>
          <w:color w:val="auto"/>
          <w:szCs w:val="21"/>
        </w:rPr>
        <w:t>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（2）发包人和承包人以招标方式选择暂估价项目供应商或分包人时，双方的权利义务关系：</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961" w:name="_Toc229305397"/>
      <w:bookmarkStart w:id="962" w:name="_Toc487489989"/>
      <w:bookmarkStart w:id="963" w:name="_Toc511636020"/>
      <w:bookmarkStart w:id="964" w:name="_Toc515441175"/>
      <w:bookmarkStart w:id="965" w:name="_Toc516816178"/>
      <w:bookmarkStart w:id="966" w:name="_Toc516816367"/>
      <w:r>
        <w:rPr>
          <w:rFonts w:hint="eastAsia"/>
          <w:color w:val="auto"/>
        </w:rPr>
        <w:t>16 价格调整</w:t>
      </w:r>
      <w:bookmarkEnd w:id="961"/>
      <w:bookmarkEnd w:id="962"/>
      <w:bookmarkEnd w:id="963"/>
      <w:bookmarkEnd w:id="964"/>
      <w:bookmarkEnd w:id="965"/>
      <w:bookmarkEnd w:id="966"/>
    </w:p>
    <w:p>
      <w:pPr>
        <w:pStyle w:val="5"/>
        <w:adjustRightInd w:val="0"/>
        <w:snapToGrid w:val="0"/>
        <w:spacing w:before="0" w:after="0" w:line="520" w:lineRule="exact"/>
        <w:rPr>
          <w:rFonts w:asciiTheme="majorEastAsia" w:hAnsiTheme="majorEastAsia" w:eastAsiaTheme="majorEastAsia"/>
          <w:color w:val="auto"/>
        </w:rPr>
      </w:pPr>
      <w:bookmarkStart w:id="967" w:name="_Toc262638021"/>
      <w:bookmarkStart w:id="968" w:name="_Toc511636021"/>
      <w:r>
        <w:rPr>
          <w:rFonts w:hint="eastAsia" w:asciiTheme="majorEastAsia" w:hAnsiTheme="majorEastAsia" w:eastAsiaTheme="majorEastAsia"/>
          <w:color w:val="auto"/>
        </w:rPr>
        <w:t>16.1 物价波动引起的价格调整</w:t>
      </w:r>
      <w:bookmarkEnd w:id="967"/>
      <w:bookmarkEnd w:id="96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物价波动引起的价格调整方式：</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16.1.2 采用造价信息调整价格差额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工程造价信息的来源：</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价格调整的项目和系数：</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969" w:name="_Toc222033891"/>
      <w:bookmarkStart w:id="970" w:name="_Toc229305398"/>
      <w:bookmarkStart w:id="971" w:name="_Toc222032709"/>
      <w:bookmarkStart w:id="972" w:name="_Toc487489990"/>
      <w:bookmarkStart w:id="973" w:name="_Toc511636022"/>
      <w:bookmarkStart w:id="974" w:name="_Toc515441176"/>
      <w:bookmarkStart w:id="975" w:name="_Toc516816179"/>
      <w:bookmarkStart w:id="976" w:name="_Toc516816368"/>
      <w:bookmarkStart w:id="977" w:name="_Toc222031042"/>
      <w:bookmarkStart w:id="978" w:name="_Toc222029540"/>
      <w:bookmarkStart w:id="979" w:name="_Toc221951223"/>
      <w:r>
        <w:rPr>
          <w:rFonts w:hint="eastAsia"/>
          <w:color w:val="auto"/>
        </w:rPr>
        <w:t>17 计量与支付</w:t>
      </w:r>
      <w:bookmarkEnd w:id="969"/>
      <w:bookmarkEnd w:id="970"/>
      <w:bookmarkEnd w:id="971"/>
      <w:bookmarkEnd w:id="972"/>
      <w:bookmarkEnd w:id="973"/>
      <w:bookmarkEnd w:id="974"/>
      <w:bookmarkEnd w:id="975"/>
      <w:bookmarkEnd w:id="976"/>
      <w:bookmarkEnd w:id="977"/>
      <w:bookmarkEnd w:id="978"/>
      <w:bookmarkEnd w:id="979"/>
    </w:p>
    <w:p>
      <w:pPr>
        <w:pStyle w:val="5"/>
        <w:adjustRightInd w:val="0"/>
        <w:snapToGrid w:val="0"/>
        <w:spacing w:before="0" w:after="0" w:line="520" w:lineRule="exact"/>
        <w:rPr>
          <w:rFonts w:asciiTheme="majorEastAsia" w:hAnsiTheme="majorEastAsia" w:eastAsiaTheme="majorEastAsia"/>
          <w:color w:val="auto"/>
        </w:rPr>
      </w:pPr>
      <w:bookmarkStart w:id="980" w:name="_Toc221951224"/>
      <w:bookmarkStart w:id="981" w:name="_Toc262638023"/>
      <w:bookmarkStart w:id="982" w:name="_Toc511636023"/>
      <w:r>
        <w:rPr>
          <w:rFonts w:hint="eastAsia" w:asciiTheme="majorEastAsia" w:hAnsiTheme="majorEastAsia" w:eastAsiaTheme="majorEastAsia"/>
          <w:color w:val="auto"/>
        </w:rPr>
        <w:t>17.2 预付款</w:t>
      </w:r>
      <w:bookmarkEnd w:id="980"/>
      <w:bookmarkEnd w:id="981"/>
      <w:bookmarkEnd w:id="982"/>
    </w:p>
    <w:p>
      <w:pPr>
        <w:widowControl/>
        <w:shd w:val="clear" w:color="auto" w:fill="FFFFFF"/>
        <w:snapToGrid w:val="0"/>
        <w:ind w:firstLine="420" w:firstLineChars="200"/>
        <w:jc w:val="left"/>
        <w:rPr>
          <w:rFonts w:asciiTheme="minorEastAsia" w:hAnsiTheme="minorEastAsia"/>
          <w:color w:val="auto"/>
          <w:szCs w:val="21"/>
        </w:rPr>
      </w:pPr>
      <w:bookmarkStart w:id="983" w:name="_Toc221951226"/>
      <w:r>
        <w:rPr>
          <w:rFonts w:hint="eastAsia" w:asciiTheme="minorEastAsia" w:hAnsiTheme="minorEastAsia"/>
          <w:color w:val="auto"/>
          <w:szCs w:val="21"/>
        </w:rPr>
        <w:t xml:space="preserve">17.2.1 </w:t>
      </w:r>
      <w:r>
        <w:rPr>
          <w:rFonts w:asciiTheme="minorEastAsia" w:hAnsiTheme="minorEastAsia"/>
          <w:color w:val="auto"/>
          <w:szCs w:val="21"/>
        </w:rPr>
        <w:t>预付款</w:t>
      </w:r>
      <w:bookmarkEnd w:id="983"/>
      <w:r>
        <w:rPr>
          <w:rFonts w:hint="eastAsia" w:asciiTheme="minorEastAsia" w:hAnsiTheme="minorEastAsia"/>
          <w:color w:val="auto"/>
          <w:szCs w:val="21"/>
        </w:rPr>
        <w:t xml:space="preserve"> </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（1）工程预付款的总金额为签约合同价的</w:t>
      </w:r>
      <w:r>
        <w:rPr>
          <w:rFonts w:asciiTheme="minorEastAsia" w:hAnsiTheme="minorEastAsia"/>
          <w:color w:val="auto"/>
          <w:szCs w:val="21"/>
        </w:rPr>
        <w:t>_______</w:t>
      </w:r>
      <w:r>
        <w:rPr>
          <w:rFonts w:hint="eastAsia" w:asciiTheme="minorEastAsia" w:hAnsiTheme="minorEastAsia"/>
          <w:color w:val="auto"/>
          <w:szCs w:val="21"/>
        </w:rPr>
        <w:t>%，分</w:t>
      </w:r>
      <w:r>
        <w:rPr>
          <w:rFonts w:asciiTheme="minorEastAsia" w:hAnsiTheme="minorEastAsia"/>
          <w:color w:val="auto"/>
          <w:szCs w:val="21"/>
        </w:rPr>
        <w:t>_______</w:t>
      </w:r>
      <w:r>
        <w:rPr>
          <w:rFonts w:hint="eastAsia" w:asciiTheme="minorEastAsia" w:hAnsiTheme="minorEastAsia"/>
          <w:color w:val="auto"/>
          <w:szCs w:val="21"/>
        </w:rPr>
        <w:t>次支付给承包人。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各次预付款的支付额度和付款时间为：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1）第一次预付款金额为工程预付款总金额的</w:t>
      </w:r>
      <w:r>
        <w:rPr>
          <w:rFonts w:asciiTheme="minorEastAsia" w:hAnsiTheme="minorEastAsia"/>
          <w:color w:val="auto"/>
          <w:szCs w:val="21"/>
        </w:rPr>
        <w:t>_______</w:t>
      </w:r>
      <w:r>
        <w:rPr>
          <w:rFonts w:hint="eastAsia" w:asciiTheme="minorEastAsia" w:hAnsiTheme="minorEastAsia"/>
          <w:color w:val="auto"/>
          <w:szCs w:val="21"/>
        </w:rPr>
        <w:t>%，付款时间应在合同协议书签订后，由承包人向发包人提交了发包人认可的工程预付款担保，并经监理人出具付款证书报送发包人批准后14天内予以支付。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2）第二次预付款金额为工程预付款总金额的</w:t>
      </w:r>
      <w:r>
        <w:rPr>
          <w:rFonts w:asciiTheme="minorEastAsia" w:hAnsiTheme="minorEastAsia"/>
          <w:color w:val="auto"/>
          <w:szCs w:val="21"/>
        </w:rPr>
        <w:t>_______</w:t>
      </w:r>
      <w:r>
        <w:rPr>
          <w:rFonts w:hint="eastAsia" w:asciiTheme="minorEastAsia" w:hAnsiTheme="minorEastAsia"/>
          <w:color w:val="auto"/>
          <w:szCs w:val="21"/>
        </w:rPr>
        <w:t>%。付款时间需待承包人主要设备进入工地后，其估算价值已达到本次预付款金额时，由承包人提出书面申请，经监理人核实后出具付款证书报送发包人批准后14天内予以支付。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3）第三次预付款……。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（2）工程材料预付款的额度和预付办法约定为：</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bookmarkStart w:id="984" w:name="_Toc221951235"/>
      <w:r>
        <w:rPr>
          <w:rFonts w:hint="eastAsia" w:asciiTheme="minorEastAsia" w:hAnsiTheme="minorEastAsia"/>
          <w:color w:val="auto"/>
          <w:szCs w:val="21"/>
        </w:rPr>
        <w:t>17.2.2 预付款保函</w:t>
      </w:r>
      <w:bookmarkEnd w:id="984"/>
      <w:r>
        <w:rPr>
          <w:rFonts w:hint="eastAsia" w:asciiTheme="minorEastAsia" w:hAnsiTheme="minorEastAsia"/>
          <w:color w:val="auto"/>
          <w:szCs w:val="21"/>
        </w:rPr>
        <w:t>（担保）</w:t>
      </w:r>
    </w:p>
    <w:p>
      <w:pPr>
        <w:widowControl/>
        <w:shd w:val="clear" w:color="auto" w:fill="FFFFFF"/>
        <w:snapToGrid w:val="0"/>
        <w:ind w:firstLine="420" w:firstLineChars="200"/>
        <w:jc w:val="left"/>
        <w:rPr>
          <w:rFonts w:asciiTheme="minorEastAsia" w:hAnsiTheme="minorEastAsia"/>
          <w:color w:val="auto"/>
          <w:szCs w:val="21"/>
        </w:rPr>
      </w:pPr>
      <w:bookmarkStart w:id="985" w:name="_Toc221951236"/>
      <w:r>
        <w:rPr>
          <w:rFonts w:hint="eastAsia" w:asciiTheme="minorEastAsia" w:hAnsiTheme="minorEastAsia"/>
          <w:color w:val="auto"/>
          <w:szCs w:val="21"/>
        </w:rPr>
        <w:t>（2）工程材料预付款的担保约定为：</w:t>
      </w:r>
      <w:bookmarkEnd w:id="985"/>
      <w:bookmarkStart w:id="986" w:name="_Toc221951237"/>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17.2.3 预付款的扣回与还清</w:t>
      </w:r>
      <w:bookmarkEnd w:id="986"/>
    </w:p>
    <w:p>
      <w:pPr>
        <w:widowControl/>
        <w:shd w:val="clear" w:color="auto" w:fill="FFFFFF"/>
        <w:snapToGrid w:val="0"/>
        <w:ind w:firstLine="420" w:firstLineChars="200"/>
        <w:jc w:val="left"/>
        <w:rPr>
          <w:rFonts w:asciiTheme="minorEastAsia" w:hAnsiTheme="minorEastAsia"/>
          <w:color w:val="auto"/>
          <w:szCs w:val="21"/>
        </w:rPr>
      </w:pPr>
      <w:bookmarkStart w:id="987" w:name="_Toc221951238"/>
      <w:r>
        <w:rPr>
          <w:rFonts w:hint="eastAsia" w:asciiTheme="minorEastAsia" w:hAnsiTheme="minorEastAsia"/>
          <w:color w:val="auto"/>
          <w:szCs w:val="21"/>
        </w:rPr>
        <w:t>（1）工程预付款在合同累计完成金额达到签约合同价的</w:t>
      </w:r>
      <w:r>
        <w:rPr>
          <w:rFonts w:asciiTheme="minorEastAsia" w:hAnsiTheme="minorEastAsia"/>
          <w:color w:val="auto"/>
          <w:szCs w:val="21"/>
        </w:rPr>
        <w:t>_____</w:t>
      </w:r>
      <w:r>
        <w:rPr>
          <w:rFonts w:hint="eastAsia" w:asciiTheme="minorEastAsia" w:hAnsiTheme="minorEastAsia"/>
          <w:color w:val="auto"/>
          <w:szCs w:val="21"/>
        </w:rPr>
        <w:t>%时开始扣款，直至合同累计完成金额达到签约合同价的</w:t>
      </w:r>
      <w:r>
        <w:rPr>
          <w:rFonts w:asciiTheme="minorEastAsia" w:hAnsiTheme="minorEastAsia"/>
          <w:color w:val="auto"/>
          <w:szCs w:val="21"/>
        </w:rPr>
        <w:t>_____%</w:t>
      </w:r>
      <w:r>
        <w:rPr>
          <w:rFonts w:hint="eastAsia" w:asciiTheme="minorEastAsia" w:hAnsiTheme="minorEastAsia"/>
          <w:color w:val="auto"/>
          <w:szCs w:val="21"/>
        </w:rPr>
        <w:t>时全部扣清。</w:t>
      </w:r>
      <w:bookmarkEnd w:id="987"/>
    </w:p>
    <w:p>
      <w:pPr>
        <w:spacing w:line="360" w:lineRule="auto"/>
        <w:ind w:right="248" w:firstLine="945" w:firstLineChars="450"/>
        <w:rPr>
          <w:rFonts w:ascii="宋体" w:hAnsi="宋体"/>
          <w:color w:val="auto"/>
          <w:szCs w:val="21"/>
        </w:rPr>
      </w:pPr>
      <w:bookmarkStart w:id="988" w:name="_Toc221951239"/>
      <w:bookmarkEnd w:id="988"/>
      <w:r>
        <w:rPr>
          <w:rFonts w:ascii="宋体" w:hAnsi="宋体"/>
          <w:color w:val="auto"/>
          <w:position w:val="-30"/>
          <w:szCs w:val="21"/>
        </w:rPr>
        <w:object>
          <v:shape id="_x0000_i1026" o:spt="75" type="#_x0000_t75" style="height:33.7pt;width:124.1pt;" o:ole="t" fillcolor="#6D6D6D"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p>
      <w:pPr>
        <w:widowControl/>
        <w:shd w:val="clear" w:color="auto" w:fill="FFFFFF"/>
        <w:snapToGrid w:val="0"/>
        <w:ind w:firstLine="420" w:firstLineChars="200"/>
        <w:jc w:val="left"/>
        <w:rPr>
          <w:rFonts w:asciiTheme="minorEastAsia" w:hAnsiTheme="minorEastAsia"/>
          <w:color w:val="auto"/>
          <w:szCs w:val="21"/>
        </w:rPr>
      </w:pPr>
      <w:bookmarkStart w:id="989" w:name="_Toc221951240"/>
      <w:r>
        <w:rPr>
          <w:rFonts w:hint="eastAsia" w:asciiTheme="minorEastAsia" w:hAnsiTheme="minorEastAsia"/>
          <w:color w:val="auto"/>
          <w:szCs w:val="21"/>
        </w:rPr>
        <w:t>式中：R——每次进度付款中累计扣回的金额；</w:t>
      </w:r>
      <w:bookmarkEnd w:id="98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bookmarkStart w:id="990" w:name="_Toc221951241"/>
      <w:r>
        <w:rPr>
          <w:rFonts w:hint="eastAsia" w:asciiTheme="minorEastAsia" w:hAnsiTheme="minorEastAsia"/>
          <w:color w:val="auto"/>
          <w:szCs w:val="21"/>
        </w:rPr>
        <w:t>A——工程预付款总金额；</w:t>
      </w:r>
      <w:bookmarkEnd w:id="9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bookmarkStart w:id="991" w:name="_Toc221951242"/>
      <w:r>
        <w:rPr>
          <w:rFonts w:hint="eastAsia" w:asciiTheme="minorEastAsia" w:hAnsiTheme="minorEastAsia"/>
          <w:color w:val="auto"/>
          <w:szCs w:val="21"/>
        </w:rPr>
        <w:t>S——签约合同价；</w:t>
      </w:r>
      <w:bookmarkEnd w:id="9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bookmarkStart w:id="992" w:name="_Toc221951243"/>
      <w:r>
        <w:rPr>
          <w:rFonts w:hint="eastAsia" w:asciiTheme="minorEastAsia" w:hAnsiTheme="minorEastAsia"/>
          <w:color w:val="auto"/>
          <w:szCs w:val="21"/>
        </w:rPr>
        <w:t>C——合同累计完成金额；</w:t>
      </w:r>
      <w:bookmarkEnd w:id="99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bookmarkStart w:id="993" w:name="_Toc221951244"/>
      <w:r>
        <w:rPr>
          <w:rFonts w:hint="eastAsia" w:asciiTheme="minorEastAsia" w:hAnsiTheme="minorEastAsia"/>
          <w:color w:val="auto"/>
          <w:szCs w:val="21"/>
        </w:rPr>
        <w:t>F1——开始扣款时合同累计完成金额达到签约合同价的比例；</w:t>
      </w:r>
      <w:bookmarkEnd w:id="99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      </w:t>
      </w:r>
      <w:bookmarkStart w:id="994" w:name="_Toc221951245"/>
      <w:r>
        <w:rPr>
          <w:rFonts w:hint="eastAsia" w:asciiTheme="minorEastAsia" w:hAnsiTheme="minorEastAsia"/>
          <w:color w:val="auto"/>
          <w:szCs w:val="21"/>
        </w:rPr>
        <w:t>F2——全部扣清时合同累计完成金额达到签约合同价的比例。</w:t>
      </w:r>
      <w:bookmarkEnd w:id="99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上述合同累计完成金额均指价格调整前未扣质量保证金的金额。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（2）工程材料预付款的扣回与还清约定为： </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95" w:name="_Toc511636024"/>
      <w:bookmarkStart w:id="996" w:name="_Toc262638024"/>
      <w:bookmarkStart w:id="997" w:name="_Toc221951260"/>
      <w:r>
        <w:rPr>
          <w:rFonts w:asciiTheme="majorEastAsia" w:hAnsiTheme="majorEastAsia" w:eastAsiaTheme="majorEastAsia"/>
          <w:color w:val="auto"/>
        </w:rPr>
        <w:t>17</w:t>
      </w:r>
      <w:r>
        <w:rPr>
          <w:rFonts w:hint="eastAsia" w:asciiTheme="majorEastAsia" w:hAnsiTheme="majorEastAsia" w:eastAsiaTheme="majorEastAsia"/>
          <w:color w:val="auto"/>
        </w:rPr>
        <w:t>.</w:t>
      </w:r>
      <w:r>
        <w:rPr>
          <w:rFonts w:asciiTheme="majorEastAsia" w:hAnsiTheme="majorEastAsia" w:eastAsiaTheme="majorEastAsia"/>
          <w:color w:val="auto"/>
        </w:rPr>
        <w:t>4</w:t>
      </w:r>
      <w:r>
        <w:rPr>
          <w:rFonts w:hint="eastAsia" w:asciiTheme="majorEastAsia" w:hAnsiTheme="majorEastAsia" w:eastAsiaTheme="majorEastAsia"/>
          <w:color w:val="auto"/>
        </w:rPr>
        <w:t xml:space="preserve"> 质量保证金</w:t>
      </w:r>
      <w:bookmarkEnd w:id="995"/>
      <w:bookmarkEnd w:id="996"/>
      <w:bookmarkEnd w:id="997"/>
    </w:p>
    <w:p>
      <w:pPr>
        <w:widowControl/>
        <w:shd w:val="clear" w:color="auto" w:fill="FFFFFF"/>
        <w:snapToGrid w:val="0"/>
        <w:ind w:firstLine="420" w:firstLineChars="200"/>
        <w:jc w:val="left"/>
        <w:rPr>
          <w:rFonts w:asciiTheme="minorEastAsia" w:hAnsiTheme="minorEastAsia"/>
          <w:color w:val="auto"/>
          <w:szCs w:val="21"/>
        </w:rPr>
      </w:pPr>
      <w:bookmarkStart w:id="998" w:name="_Toc221951262"/>
      <w:r>
        <w:rPr>
          <w:rFonts w:hint="eastAsia" w:asciiTheme="minorEastAsia" w:hAnsiTheme="minorEastAsia"/>
          <w:color w:val="auto"/>
          <w:szCs w:val="21"/>
        </w:rPr>
        <w:t>17.4.1</w:t>
      </w:r>
      <w:bookmarkEnd w:id="998"/>
      <w:r>
        <w:rPr>
          <w:rFonts w:hint="eastAsia" w:asciiTheme="minorEastAsia" w:hAnsiTheme="minorEastAsia"/>
          <w:color w:val="auto"/>
          <w:szCs w:val="21"/>
        </w:rPr>
        <w:t xml:space="preserve"> 每个付款周期扣留的质量保证金为工程进度付款的</w:t>
      </w:r>
      <w:r>
        <w:rPr>
          <w:rFonts w:asciiTheme="minorEastAsia" w:hAnsiTheme="minorEastAsia"/>
          <w:color w:val="auto"/>
          <w:szCs w:val="21"/>
        </w:rPr>
        <w:t>_______</w:t>
      </w:r>
      <w:r>
        <w:rPr>
          <w:rFonts w:hint="eastAsia" w:asciiTheme="minorEastAsia" w:hAnsiTheme="minorEastAsia"/>
          <w:color w:val="auto"/>
          <w:szCs w:val="21"/>
        </w:rPr>
        <w:t>%，扣留的质量保证金总额为签约合同价的</w:t>
      </w:r>
      <w:r>
        <w:rPr>
          <w:rFonts w:asciiTheme="minorEastAsia" w:hAnsiTheme="minorEastAsia"/>
          <w:color w:val="auto"/>
          <w:szCs w:val="21"/>
        </w:rPr>
        <w:t>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999" w:name="_Toc221951265"/>
      <w:bookmarkStart w:id="1000" w:name="_Toc262638025"/>
      <w:bookmarkStart w:id="1001" w:name="_Toc511636025"/>
      <w:r>
        <w:rPr>
          <w:rFonts w:hint="eastAsia" w:asciiTheme="majorEastAsia" w:hAnsiTheme="majorEastAsia" w:eastAsiaTheme="majorEastAsia"/>
          <w:color w:val="auto"/>
        </w:rPr>
        <w:t>17.5 竣工（完工）结算</w:t>
      </w:r>
      <w:bookmarkEnd w:id="999"/>
      <w:bookmarkEnd w:id="1000"/>
      <w:bookmarkEnd w:id="1001"/>
    </w:p>
    <w:p>
      <w:pPr>
        <w:widowControl/>
        <w:shd w:val="clear" w:color="auto" w:fill="FFFFFF"/>
        <w:snapToGrid w:val="0"/>
        <w:ind w:firstLine="420" w:firstLineChars="200"/>
        <w:jc w:val="left"/>
        <w:rPr>
          <w:rFonts w:asciiTheme="minorEastAsia" w:hAnsiTheme="minorEastAsia"/>
          <w:color w:val="auto"/>
          <w:szCs w:val="21"/>
        </w:rPr>
      </w:pPr>
      <w:bookmarkStart w:id="1002" w:name="_Toc221951266"/>
      <w:r>
        <w:rPr>
          <w:rFonts w:asciiTheme="minorEastAsia" w:hAnsiTheme="minorEastAsia"/>
          <w:color w:val="auto"/>
          <w:szCs w:val="21"/>
        </w:rPr>
        <w:t>17</w:t>
      </w:r>
      <w:r>
        <w:rPr>
          <w:rFonts w:hint="eastAsia" w:asciiTheme="minorEastAsia" w:hAnsiTheme="minorEastAsia"/>
          <w:color w:val="auto"/>
          <w:szCs w:val="21"/>
        </w:rPr>
        <w:t>.</w:t>
      </w:r>
      <w:r>
        <w:rPr>
          <w:rFonts w:asciiTheme="minorEastAsia" w:hAnsiTheme="minorEastAsia"/>
          <w:color w:val="auto"/>
          <w:szCs w:val="21"/>
        </w:rPr>
        <w:t>5</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竣工（完工）付款申请单</w:t>
      </w:r>
      <w:bookmarkEnd w:id="1002"/>
      <w:r>
        <w:rPr>
          <w:rFonts w:hint="eastAsia" w:asciiTheme="minorEastAsia" w:hAnsiTheme="minorEastAsia"/>
          <w:color w:val="auto"/>
          <w:szCs w:val="21"/>
        </w:rPr>
        <w:t xml:space="preserve"> </w:t>
      </w:r>
    </w:p>
    <w:p>
      <w:pPr>
        <w:widowControl/>
        <w:shd w:val="clear" w:color="auto" w:fill="FFFFFF"/>
        <w:snapToGrid w:val="0"/>
        <w:ind w:firstLine="420" w:firstLineChars="200"/>
        <w:jc w:val="left"/>
        <w:rPr>
          <w:rFonts w:asciiTheme="minorEastAsia" w:hAnsiTheme="minorEastAsia"/>
          <w:color w:val="auto"/>
          <w:szCs w:val="21"/>
        </w:rPr>
      </w:pPr>
      <w:bookmarkStart w:id="1003" w:name="_Toc221951267"/>
      <w:r>
        <w:rPr>
          <w:rFonts w:hint="eastAsia" w:asciiTheme="minorEastAsia" w:hAnsiTheme="minorEastAsia"/>
          <w:color w:val="auto"/>
          <w:szCs w:val="21"/>
        </w:rPr>
        <w:t>（1）承包人应提交完工付款申请单一式</w:t>
      </w:r>
      <w:r>
        <w:rPr>
          <w:rFonts w:asciiTheme="minorEastAsia" w:hAnsiTheme="minorEastAsia"/>
          <w:color w:val="auto"/>
          <w:szCs w:val="21"/>
        </w:rPr>
        <w:t>_______</w:t>
      </w:r>
      <w:r>
        <w:rPr>
          <w:rFonts w:hint="eastAsia" w:asciiTheme="minorEastAsia" w:hAnsiTheme="minorEastAsia"/>
          <w:color w:val="auto"/>
          <w:szCs w:val="21"/>
        </w:rPr>
        <w:t>份。</w:t>
      </w:r>
      <w:bookmarkEnd w:id="1003"/>
    </w:p>
    <w:p>
      <w:pPr>
        <w:pStyle w:val="5"/>
        <w:adjustRightInd w:val="0"/>
        <w:snapToGrid w:val="0"/>
        <w:spacing w:before="0" w:after="0" w:line="520" w:lineRule="exact"/>
        <w:rPr>
          <w:rFonts w:asciiTheme="majorEastAsia" w:hAnsiTheme="majorEastAsia" w:eastAsiaTheme="majorEastAsia"/>
          <w:color w:val="auto"/>
        </w:rPr>
      </w:pPr>
      <w:bookmarkStart w:id="1004" w:name="_Toc511636026"/>
      <w:bookmarkStart w:id="1005" w:name="_Toc221951268"/>
      <w:bookmarkStart w:id="1006" w:name="_Toc262638026"/>
      <w:r>
        <w:rPr>
          <w:rFonts w:hint="eastAsia" w:asciiTheme="majorEastAsia" w:hAnsiTheme="majorEastAsia" w:eastAsiaTheme="majorEastAsia"/>
          <w:color w:val="auto"/>
        </w:rPr>
        <w:t>17.6 最终结清</w:t>
      </w:r>
      <w:bookmarkEnd w:id="1004"/>
      <w:bookmarkEnd w:id="1005"/>
      <w:bookmarkEnd w:id="1006"/>
    </w:p>
    <w:p>
      <w:pPr>
        <w:widowControl/>
        <w:shd w:val="clear" w:color="auto" w:fill="FFFFFF"/>
        <w:snapToGrid w:val="0"/>
        <w:ind w:firstLine="420" w:firstLineChars="200"/>
        <w:jc w:val="left"/>
        <w:rPr>
          <w:rFonts w:asciiTheme="minorEastAsia" w:hAnsiTheme="minorEastAsia"/>
          <w:color w:val="auto"/>
          <w:szCs w:val="21"/>
        </w:rPr>
      </w:pPr>
      <w:bookmarkStart w:id="1007" w:name="_Toc221951269"/>
      <w:r>
        <w:rPr>
          <w:rFonts w:asciiTheme="minorEastAsia" w:hAnsiTheme="minorEastAsia"/>
          <w:color w:val="auto"/>
          <w:szCs w:val="21"/>
        </w:rPr>
        <w:t>17</w:t>
      </w:r>
      <w:r>
        <w:rPr>
          <w:rFonts w:hint="eastAsia" w:asciiTheme="minorEastAsia" w:hAnsiTheme="minorEastAsia"/>
          <w:color w:val="auto"/>
          <w:szCs w:val="21"/>
        </w:rPr>
        <w:t>.</w:t>
      </w:r>
      <w:r>
        <w:rPr>
          <w:rFonts w:asciiTheme="minorEastAsia" w:hAnsiTheme="minorEastAsia"/>
          <w:color w:val="auto"/>
          <w:szCs w:val="21"/>
        </w:rPr>
        <w:t>6</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 xml:space="preserve"> 最终结清申请单</w:t>
      </w:r>
      <w:bookmarkEnd w:id="1007"/>
    </w:p>
    <w:p>
      <w:pPr>
        <w:widowControl/>
        <w:shd w:val="clear" w:color="auto" w:fill="FFFFFF"/>
        <w:snapToGrid w:val="0"/>
        <w:ind w:firstLine="420" w:firstLineChars="200"/>
        <w:jc w:val="left"/>
        <w:rPr>
          <w:rFonts w:asciiTheme="minorEastAsia" w:hAnsiTheme="minorEastAsia"/>
          <w:color w:val="auto"/>
          <w:szCs w:val="21"/>
        </w:rPr>
      </w:pPr>
      <w:bookmarkStart w:id="1008" w:name="_Toc221951270"/>
      <w:r>
        <w:rPr>
          <w:rFonts w:hint="eastAsia" w:asciiTheme="minorEastAsia" w:hAnsiTheme="minorEastAsia"/>
          <w:color w:val="auto"/>
          <w:szCs w:val="21"/>
        </w:rPr>
        <w:t>（1）承包人应提交最终结清申请单一式</w:t>
      </w:r>
      <w:r>
        <w:rPr>
          <w:rFonts w:asciiTheme="minorEastAsia" w:hAnsiTheme="minorEastAsia"/>
          <w:color w:val="auto"/>
          <w:szCs w:val="21"/>
        </w:rPr>
        <w:t>_______</w:t>
      </w:r>
      <w:r>
        <w:rPr>
          <w:rFonts w:hint="eastAsia" w:asciiTheme="minorEastAsia" w:hAnsiTheme="minorEastAsia"/>
          <w:color w:val="auto"/>
          <w:szCs w:val="21"/>
        </w:rPr>
        <w:t>份。</w:t>
      </w:r>
      <w:bookmarkEnd w:id="1008"/>
    </w:p>
    <w:p>
      <w:pPr>
        <w:pStyle w:val="5"/>
        <w:adjustRightInd w:val="0"/>
        <w:snapToGrid w:val="0"/>
        <w:spacing w:before="0" w:after="0" w:line="520" w:lineRule="exact"/>
        <w:rPr>
          <w:rFonts w:asciiTheme="majorEastAsia" w:hAnsiTheme="majorEastAsia" w:eastAsiaTheme="majorEastAsia"/>
          <w:color w:val="auto"/>
        </w:rPr>
      </w:pPr>
      <w:bookmarkStart w:id="1009" w:name="_Toc262638027"/>
      <w:bookmarkStart w:id="1010" w:name="_Toc511636027"/>
      <w:r>
        <w:rPr>
          <w:rFonts w:hint="eastAsia" w:asciiTheme="majorEastAsia" w:hAnsiTheme="majorEastAsia" w:eastAsiaTheme="majorEastAsia"/>
          <w:color w:val="auto"/>
        </w:rPr>
        <w:t>17.7 竣工财务决算</w:t>
      </w:r>
      <w:bookmarkEnd w:id="1009"/>
      <w:bookmarkEnd w:id="101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承包人应为竣工财务决算编制提供的资料：</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1011" w:name="_Toc221951271"/>
      <w:bookmarkStart w:id="1012" w:name="_Toc222029541"/>
      <w:bookmarkStart w:id="1013" w:name="_Toc222031043"/>
      <w:bookmarkStart w:id="1014" w:name="_Toc222032710"/>
      <w:bookmarkStart w:id="1015" w:name="_Toc222033892"/>
      <w:bookmarkStart w:id="1016" w:name="_Toc229305399"/>
      <w:bookmarkStart w:id="1017" w:name="_Toc487489991"/>
      <w:bookmarkStart w:id="1018" w:name="_Toc511636028"/>
      <w:bookmarkStart w:id="1019" w:name="_Toc515441177"/>
      <w:bookmarkStart w:id="1020" w:name="_Toc516816180"/>
      <w:bookmarkStart w:id="1021" w:name="_Toc516816369"/>
      <w:r>
        <w:rPr>
          <w:rFonts w:hint="eastAsia"/>
          <w:color w:val="auto"/>
        </w:rPr>
        <w:t>18 竣工验收</w:t>
      </w:r>
      <w:bookmarkEnd w:id="1011"/>
      <w:bookmarkEnd w:id="1012"/>
      <w:bookmarkEnd w:id="1013"/>
      <w:bookmarkEnd w:id="1014"/>
      <w:bookmarkEnd w:id="1015"/>
      <w:bookmarkEnd w:id="1016"/>
      <w:r>
        <w:rPr>
          <w:rFonts w:hint="eastAsia"/>
          <w:color w:val="auto"/>
        </w:rPr>
        <w:t>（验收）</w:t>
      </w:r>
      <w:bookmarkEnd w:id="1017"/>
      <w:bookmarkEnd w:id="1018"/>
      <w:bookmarkEnd w:id="1019"/>
      <w:bookmarkEnd w:id="1020"/>
      <w:bookmarkEnd w:id="1021"/>
    </w:p>
    <w:p>
      <w:pPr>
        <w:pStyle w:val="5"/>
        <w:adjustRightInd w:val="0"/>
        <w:snapToGrid w:val="0"/>
        <w:spacing w:before="0" w:after="0" w:line="520" w:lineRule="exact"/>
        <w:rPr>
          <w:rFonts w:asciiTheme="majorEastAsia" w:hAnsiTheme="majorEastAsia" w:eastAsiaTheme="majorEastAsia"/>
          <w:color w:val="auto"/>
        </w:rPr>
      </w:pPr>
      <w:bookmarkStart w:id="1022" w:name="_Toc262638029"/>
      <w:bookmarkStart w:id="1023" w:name="_Toc511636029"/>
      <w:r>
        <w:rPr>
          <w:rFonts w:hint="eastAsia" w:asciiTheme="majorEastAsia" w:hAnsiTheme="majorEastAsia" w:eastAsiaTheme="majorEastAsia"/>
          <w:color w:val="auto"/>
        </w:rPr>
        <w:t>18.1 验收工作分类</w:t>
      </w:r>
      <w:bookmarkEnd w:id="1022"/>
      <w:bookmarkEnd w:id="10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本工程法人验收包括：</w:t>
      </w:r>
      <w:r>
        <w:rPr>
          <w:rFonts w:asciiTheme="minorEastAsia" w:hAnsiTheme="minorEastAsia"/>
          <w:color w:val="auto"/>
          <w:szCs w:val="21"/>
        </w:rPr>
        <w:t>_______</w:t>
      </w:r>
      <w:r>
        <w:rPr>
          <w:rFonts w:hint="eastAsia" w:asciiTheme="minorEastAsia" w:hAnsiTheme="minorEastAsia"/>
          <w:color w:val="auto"/>
          <w:szCs w:val="21"/>
        </w:rPr>
        <w:t>；政府验收包括：</w:t>
      </w:r>
      <w:r>
        <w:rPr>
          <w:rFonts w:asciiTheme="minorEastAsia" w:hAnsiTheme="minorEastAsia"/>
          <w:color w:val="auto"/>
          <w:szCs w:val="21"/>
        </w:rPr>
        <w:t>_______</w:t>
      </w:r>
      <w:r>
        <w:rPr>
          <w:rFonts w:hint="eastAsia" w:asciiTheme="minorEastAsia" w:hAnsiTheme="minorEastAsia"/>
          <w:color w:val="auto"/>
          <w:szCs w:val="21"/>
        </w:rPr>
        <w:t>。验收条件为：</w:t>
      </w:r>
      <w:r>
        <w:rPr>
          <w:rFonts w:asciiTheme="minorEastAsia" w:hAnsiTheme="minorEastAsia"/>
          <w:color w:val="auto"/>
          <w:szCs w:val="21"/>
        </w:rPr>
        <w:t>_______</w:t>
      </w:r>
      <w:r>
        <w:rPr>
          <w:rFonts w:hint="eastAsia" w:asciiTheme="minorEastAsia" w:hAnsiTheme="minorEastAsia"/>
          <w:color w:val="auto"/>
          <w:szCs w:val="21"/>
        </w:rPr>
        <w:t>，验收程序为：</w:t>
      </w:r>
      <w:r>
        <w:rPr>
          <w:rFonts w:asciiTheme="minorEastAsia" w:hAnsiTheme="minorEastAsia"/>
          <w:color w:val="auto"/>
          <w:szCs w:val="21"/>
        </w:rPr>
        <w:t>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1024" w:name="_Toc221951272"/>
      <w:bookmarkStart w:id="1025" w:name="_Toc262638030"/>
      <w:bookmarkStart w:id="1026" w:name="_Toc511636030"/>
      <w:r>
        <w:rPr>
          <w:rFonts w:hint="eastAsia" w:asciiTheme="majorEastAsia" w:hAnsiTheme="majorEastAsia" w:eastAsiaTheme="majorEastAsia"/>
          <w:color w:val="auto"/>
        </w:rPr>
        <w:t>18.2</w:t>
      </w:r>
      <w:bookmarkEnd w:id="1024"/>
      <w:r>
        <w:rPr>
          <w:rFonts w:hint="eastAsia" w:asciiTheme="majorEastAsia" w:hAnsiTheme="majorEastAsia" w:eastAsiaTheme="majorEastAsia"/>
          <w:color w:val="auto"/>
        </w:rPr>
        <w:t xml:space="preserve"> 分部工程验收</w:t>
      </w:r>
      <w:bookmarkEnd w:id="1025"/>
      <w:bookmarkEnd w:id="1026"/>
    </w:p>
    <w:p>
      <w:pPr>
        <w:widowControl/>
        <w:shd w:val="clear" w:color="auto" w:fill="FFFFFF"/>
        <w:snapToGrid w:val="0"/>
        <w:ind w:firstLine="420" w:firstLineChars="200"/>
        <w:jc w:val="left"/>
        <w:rPr>
          <w:rFonts w:asciiTheme="minorEastAsia" w:hAnsiTheme="minorEastAsia"/>
          <w:color w:val="auto"/>
          <w:szCs w:val="21"/>
        </w:rPr>
      </w:pPr>
      <w:bookmarkStart w:id="1027" w:name="_Toc221951274"/>
      <w:r>
        <w:rPr>
          <w:rFonts w:asciiTheme="minorEastAsia" w:hAnsiTheme="minorEastAsia"/>
          <w:color w:val="auto"/>
          <w:szCs w:val="21"/>
        </w:rPr>
        <w:t>18.</w:t>
      </w:r>
      <w:r>
        <w:rPr>
          <w:rFonts w:hint="eastAsia" w:asciiTheme="minorEastAsia" w:hAnsiTheme="minorEastAsia"/>
          <w:color w:val="auto"/>
          <w:szCs w:val="21"/>
        </w:rPr>
        <w:t>2</w:t>
      </w:r>
      <w:r>
        <w:rPr>
          <w:rFonts w:asciiTheme="minorEastAsia" w:hAnsiTheme="minorEastAsia"/>
          <w:color w:val="auto"/>
          <w:szCs w:val="21"/>
        </w:rPr>
        <w:t>.</w:t>
      </w:r>
      <w:r>
        <w:rPr>
          <w:rFonts w:hint="eastAsia" w:asciiTheme="minorEastAsia" w:hAnsiTheme="minorEastAsia"/>
          <w:color w:val="auto"/>
          <w:szCs w:val="21"/>
        </w:rPr>
        <w:t>2 本工程由发包人主持的分部工程验收为</w:t>
      </w:r>
      <w:r>
        <w:rPr>
          <w:rFonts w:asciiTheme="minorEastAsia" w:hAnsiTheme="minorEastAsia"/>
          <w:color w:val="auto"/>
          <w:szCs w:val="21"/>
        </w:rPr>
        <w:t>_______________</w:t>
      </w:r>
      <w:r>
        <w:rPr>
          <w:rFonts w:hint="eastAsia" w:asciiTheme="minorEastAsia" w:hAnsiTheme="minorEastAsia"/>
          <w:color w:val="auto"/>
          <w:szCs w:val="21"/>
        </w:rPr>
        <w:t>，其余由监理人主持。</w:t>
      </w:r>
    </w:p>
    <w:p>
      <w:pPr>
        <w:pStyle w:val="5"/>
        <w:adjustRightInd w:val="0"/>
        <w:snapToGrid w:val="0"/>
        <w:spacing w:before="0" w:after="0" w:line="520" w:lineRule="exact"/>
        <w:rPr>
          <w:rFonts w:asciiTheme="majorEastAsia" w:hAnsiTheme="majorEastAsia" w:eastAsiaTheme="majorEastAsia"/>
          <w:color w:val="auto"/>
        </w:rPr>
      </w:pPr>
      <w:bookmarkStart w:id="1028" w:name="_Toc511636031"/>
      <w:bookmarkStart w:id="1029" w:name="_Toc262638031"/>
      <w:r>
        <w:rPr>
          <w:rFonts w:hint="eastAsia" w:asciiTheme="majorEastAsia" w:hAnsiTheme="majorEastAsia" w:eastAsiaTheme="majorEastAsia"/>
          <w:color w:val="auto"/>
        </w:rPr>
        <w:t>18.3 单位工程验收</w:t>
      </w:r>
      <w:bookmarkEnd w:id="1028"/>
      <w:bookmarkEnd w:id="10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18.3.4 提前投入使用的单位工程包括：</w:t>
      </w:r>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p>
    <w:p>
      <w:pPr>
        <w:pStyle w:val="5"/>
        <w:adjustRightInd w:val="0"/>
        <w:snapToGrid w:val="0"/>
        <w:spacing w:before="0" w:after="0" w:line="520" w:lineRule="exact"/>
        <w:rPr>
          <w:rFonts w:asciiTheme="majorEastAsia" w:hAnsiTheme="majorEastAsia" w:eastAsiaTheme="majorEastAsia"/>
          <w:color w:val="auto"/>
        </w:rPr>
      </w:pPr>
      <w:bookmarkStart w:id="1030" w:name="_Toc262638032"/>
      <w:bookmarkStart w:id="1031" w:name="_Toc511636032"/>
      <w:r>
        <w:rPr>
          <w:rFonts w:hint="eastAsia" w:asciiTheme="majorEastAsia" w:hAnsiTheme="majorEastAsia" w:eastAsiaTheme="majorEastAsia"/>
          <w:color w:val="auto"/>
        </w:rPr>
        <w:t>18.5 阶段验收</w:t>
      </w:r>
      <w:bookmarkEnd w:id="1030"/>
      <w:bookmarkEnd w:id="10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18.5.1 本合同工程阶段验收类别包括：</w:t>
      </w:r>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1032" w:name="_Toc262638033"/>
      <w:bookmarkStart w:id="1033" w:name="_Toc511636033"/>
      <w:r>
        <w:rPr>
          <w:rFonts w:hint="eastAsia" w:asciiTheme="majorEastAsia" w:hAnsiTheme="majorEastAsia" w:eastAsiaTheme="majorEastAsia"/>
          <w:color w:val="auto"/>
        </w:rPr>
        <w:t>18.6 专项验收</w:t>
      </w:r>
      <w:bookmarkEnd w:id="1032"/>
      <w:bookmarkEnd w:id="103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18.6.2 本合同工程专项验收类别包括：</w:t>
      </w:r>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r>
        <w:rPr>
          <w:rFonts w:hint="eastAsia" w:asciiTheme="minorEastAsia" w:hAnsiTheme="minorEastAsia"/>
          <w:color w:val="auto"/>
          <w:szCs w:val="21"/>
        </w:rPr>
        <w:t xml:space="preserve">、 </w:t>
      </w:r>
      <w:r>
        <w:rPr>
          <w:rFonts w:asciiTheme="minorEastAsia" w:hAnsiTheme="minorEastAsia"/>
          <w:color w:val="auto"/>
          <w:szCs w:val="21"/>
        </w:rPr>
        <w:t>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1034" w:name="_Toc262638034"/>
      <w:bookmarkStart w:id="1035" w:name="_Toc511636034"/>
      <w:r>
        <w:rPr>
          <w:rFonts w:hint="eastAsia" w:asciiTheme="majorEastAsia" w:hAnsiTheme="majorEastAsia" w:eastAsiaTheme="majorEastAsia"/>
          <w:color w:val="auto"/>
        </w:rPr>
        <w:t>18.7 竣工验收</w:t>
      </w:r>
      <w:bookmarkEnd w:id="1034"/>
      <w:bookmarkEnd w:id="103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18.7.3 本工程</w:t>
      </w:r>
      <w:r>
        <w:rPr>
          <w:rFonts w:asciiTheme="minorEastAsia" w:hAnsiTheme="minorEastAsia"/>
          <w:color w:val="auto"/>
          <w:szCs w:val="21"/>
        </w:rPr>
        <w:t>____________</w:t>
      </w:r>
      <w:r>
        <w:rPr>
          <w:rFonts w:hint="eastAsia" w:asciiTheme="minorEastAsia" w:hAnsiTheme="minorEastAsia"/>
          <w:color w:val="auto"/>
          <w:szCs w:val="21"/>
        </w:rPr>
        <w:t>（需要/不需要）竣工验收技术鉴定（蓄水安全鉴定）。</w:t>
      </w:r>
    </w:p>
    <w:bookmarkEnd w:id="1027"/>
    <w:p>
      <w:pPr>
        <w:pStyle w:val="5"/>
        <w:adjustRightInd w:val="0"/>
        <w:snapToGrid w:val="0"/>
        <w:spacing w:before="0" w:after="0" w:line="520" w:lineRule="exact"/>
        <w:rPr>
          <w:rFonts w:asciiTheme="majorEastAsia" w:hAnsiTheme="majorEastAsia" w:eastAsiaTheme="majorEastAsia"/>
          <w:color w:val="auto"/>
        </w:rPr>
      </w:pPr>
      <w:bookmarkStart w:id="1036" w:name="_Toc262638035"/>
      <w:bookmarkStart w:id="1037" w:name="_Toc511636035"/>
      <w:bookmarkStart w:id="1038" w:name="_Toc221951282"/>
      <w:r>
        <w:rPr>
          <w:rFonts w:hint="eastAsia" w:asciiTheme="majorEastAsia" w:hAnsiTheme="majorEastAsia" w:eastAsiaTheme="majorEastAsia"/>
          <w:color w:val="auto"/>
        </w:rPr>
        <w:t>18.8 施工期运行</w:t>
      </w:r>
      <w:bookmarkEnd w:id="1036"/>
      <w:bookmarkEnd w:id="1037"/>
      <w:bookmarkEnd w:id="1038"/>
    </w:p>
    <w:p>
      <w:pPr>
        <w:widowControl/>
        <w:shd w:val="clear" w:color="auto" w:fill="FFFFFF"/>
        <w:snapToGrid w:val="0"/>
        <w:ind w:firstLine="420" w:firstLineChars="200"/>
        <w:jc w:val="left"/>
        <w:rPr>
          <w:rFonts w:asciiTheme="minorEastAsia" w:hAnsiTheme="minorEastAsia"/>
          <w:color w:val="auto"/>
          <w:szCs w:val="21"/>
        </w:rPr>
      </w:pPr>
      <w:bookmarkStart w:id="1039" w:name="_Toc221951283"/>
      <w:r>
        <w:rPr>
          <w:rFonts w:hint="eastAsia" w:asciiTheme="minorEastAsia" w:hAnsiTheme="minorEastAsia"/>
          <w:color w:val="auto"/>
          <w:szCs w:val="21"/>
        </w:rPr>
        <w:t>18.8.1 需要在施工期运行的单位工程或工程设备为：</w:t>
      </w:r>
      <w:bookmarkEnd w:id="1039"/>
      <w:bookmarkStart w:id="1040" w:name="_Toc221951284"/>
      <w:r>
        <w:rPr>
          <w:rFonts w:asciiTheme="minorEastAsia" w:hAnsiTheme="minorEastAsia"/>
          <w:color w:val="auto"/>
          <w:szCs w:val="21"/>
        </w:rPr>
        <w:t>____________</w:t>
      </w:r>
      <w:r>
        <w:rPr>
          <w:rFonts w:hint="eastAsia" w:asciiTheme="minorEastAsia" w:hAnsiTheme="minorEastAsia"/>
          <w:color w:val="auto"/>
          <w:szCs w:val="21"/>
        </w:rPr>
        <w:t>；</w:t>
      </w:r>
      <w:r>
        <w:rPr>
          <w:rFonts w:asciiTheme="minorEastAsia" w:hAnsiTheme="minorEastAsia"/>
          <w:color w:val="auto"/>
          <w:szCs w:val="21"/>
        </w:rPr>
        <w:t>____________</w:t>
      </w:r>
      <w:r>
        <w:rPr>
          <w:rFonts w:hint="eastAsia" w:asciiTheme="minorEastAsia" w:hAnsiTheme="minorEastAsia"/>
          <w:color w:val="auto"/>
          <w:szCs w:val="21"/>
        </w:rPr>
        <w:t>。</w:t>
      </w:r>
      <w:bookmarkEnd w:id="1040"/>
    </w:p>
    <w:p>
      <w:pPr>
        <w:pStyle w:val="5"/>
        <w:adjustRightInd w:val="0"/>
        <w:snapToGrid w:val="0"/>
        <w:spacing w:before="0" w:after="0" w:line="520" w:lineRule="exact"/>
        <w:rPr>
          <w:rFonts w:asciiTheme="majorEastAsia" w:hAnsiTheme="majorEastAsia" w:eastAsiaTheme="majorEastAsia"/>
          <w:color w:val="auto"/>
        </w:rPr>
      </w:pPr>
      <w:bookmarkStart w:id="1041" w:name="_Toc221951285"/>
      <w:bookmarkStart w:id="1042" w:name="_Toc262638036"/>
      <w:bookmarkStart w:id="1043" w:name="_Toc511636036"/>
      <w:r>
        <w:rPr>
          <w:rFonts w:hint="eastAsia" w:asciiTheme="majorEastAsia" w:hAnsiTheme="majorEastAsia" w:eastAsiaTheme="majorEastAsia"/>
          <w:color w:val="auto"/>
        </w:rPr>
        <w:t>18.9 试运行</w:t>
      </w:r>
      <w:bookmarkEnd w:id="1041"/>
      <w:bookmarkEnd w:id="1042"/>
      <w:bookmarkEnd w:id="1043"/>
    </w:p>
    <w:p>
      <w:pPr>
        <w:widowControl/>
        <w:shd w:val="clear" w:color="auto" w:fill="FFFFFF"/>
        <w:snapToGrid w:val="0"/>
        <w:ind w:firstLine="420" w:firstLineChars="200"/>
        <w:jc w:val="left"/>
        <w:rPr>
          <w:rFonts w:asciiTheme="minorEastAsia" w:hAnsiTheme="minorEastAsia"/>
          <w:color w:val="auto"/>
          <w:szCs w:val="21"/>
        </w:rPr>
      </w:pPr>
      <w:bookmarkStart w:id="1044" w:name="_Toc221951287"/>
      <w:r>
        <w:rPr>
          <w:rFonts w:hint="eastAsia" w:asciiTheme="minorEastAsia" w:hAnsiTheme="minorEastAsia"/>
          <w:color w:val="auto"/>
          <w:szCs w:val="21"/>
        </w:rPr>
        <w:t>18.9.1 试运行的组织：</w:t>
      </w:r>
      <w:bookmarkEnd w:id="1044"/>
      <w:r>
        <w:rPr>
          <w:rFonts w:asciiTheme="minorEastAsia" w:hAnsiTheme="minorEastAsia"/>
          <w:color w:val="auto"/>
          <w:szCs w:val="21"/>
        </w:rPr>
        <w:t>_____________________</w:t>
      </w:r>
      <w:r>
        <w:rPr>
          <w:rFonts w:hint="eastAsia" w:asciiTheme="minorEastAsia" w:hAnsiTheme="minorEastAsia"/>
          <w:color w:val="auto"/>
          <w:szCs w:val="21"/>
        </w:rPr>
        <w:t>；</w:t>
      </w:r>
      <w:bookmarkStart w:id="1045" w:name="_Toc221951288"/>
      <w:r>
        <w:rPr>
          <w:rFonts w:hint="eastAsia" w:asciiTheme="minorEastAsia" w:hAnsiTheme="minorEastAsia"/>
          <w:color w:val="auto"/>
          <w:szCs w:val="21"/>
        </w:rPr>
        <w:t>费用承担：</w:t>
      </w:r>
      <w:r>
        <w:rPr>
          <w:rFonts w:asciiTheme="minorEastAsia" w:hAnsiTheme="minorEastAsia"/>
          <w:color w:val="auto"/>
          <w:szCs w:val="21"/>
        </w:rPr>
        <w:t>_____________________</w:t>
      </w:r>
      <w:r>
        <w:rPr>
          <w:rFonts w:hint="eastAsia" w:asciiTheme="minorEastAsia" w:hAnsiTheme="minorEastAsia"/>
          <w:color w:val="auto"/>
          <w:szCs w:val="21"/>
        </w:rPr>
        <w:t>。</w:t>
      </w:r>
      <w:bookmarkEnd w:id="1045"/>
    </w:p>
    <w:p>
      <w:pPr>
        <w:pStyle w:val="4"/>
        <w:rPr>
          <w:color w:val="auto"/>
        </w:rPr>
      </w:pPr>
      <w:bookmarkStart w:id="1046" w:name="_Toc515441178"/>
      <w:bookmarkStart w:id="1047" w:name="_Toc516816181"/>
      <w:bookmarkStart w:id="1048" w:name="_Toc516816370"/>
      <w:bookmarkStart w:id="1049" w:name="_Toc487489992"/>
      <w:bookmarkStart w:id="1050" w:name="_Toc511636037"/>
      <w:r>
        <w:rPr>
          <w:rFonts w:hint="eastAsia"/>
          <w:color w:val="auto"/>
        </w:rPr>
        <w:t>19 缺陷责任与保修责任</w:t>
      </w:r>
      <w:bookmarkEnd w:id="1046"/>
      <w:bookmarkEnd w:id="1047"/>
      <w:bookmarkEnd w:id="1048"/>
      <w:bookmarkEnd w:id="1049"/>
      <w:bookmarkEnd w:id="1050"/>
    </w:p>
    <w:p>
      <w:pPr>
        <w:pStyle w:val="5"/>
        <w:adjustRightInd w:val="0"/>
        <w:snapToGrid w:val="0"/>
        <w:spacing w:before="0" w:after="0" w:line="520" w:lineRule="exact"/>
        <w:rPr>
          <w:rFonts w:asciiTheme="majorEastAsia" w:hAnsiTheme="majorEastAsia" w:eastAsiaTheme="majorEastAsia"/>
          <w:color w:val="auto"/>
        </w:rPr>
      </w:pPr>
      <w:bookmarkStart w:id="1051" w:name="_Toc262638038"/>
      <w:bookmarkStart w:id="1052" w:name="_Toc511636038"/>
      <w:r>
        <w:rPr>
          <w:rFonts w:hint="eastAsia" w:asciiTheme="majorEastAsia" w:hAnsiTheme="majorEastAsia" w:eastAsiaTheme="majorEastAsia"/>
          <w:color w:val="auto"/>
        </w:rPr>
        <w:t>19.1 缺陷责任期（工程质量保修期）的起算时间</w:t>
      </w:r>
      <w:bookmarkEnd w:id="1051"/>
      <w:bookmarkEnd w:id="105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本工程缺陷责任期（工程质量保修期）计算如下：</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4"/>
        <w:rPr>
          <w:color w:val="auto"/>
        </w:rPr>
      </w:pPr>
      <w:bookmarkStart w:id="1053" w:name="_Toc221951299"/>
      <w:bookmarkStart w:id="1054" w:name="_Toc222029542"/>
      <w:bookmarkStart w:id="1055" w:name="_Toc222031044"/>
      <w:bookmarkStart w:id="1056" w:name="_Toc222032711"/>
      <w:bookmarkStart w:id="1057" w:name="_Toc222033893"/>
      <w:bookmarkStart w:id="1058" w:name="_Toc229305400"/>
      <w:bookmarkStart w:id="1059" w:name="_Toc487489993"/>
      <w:bookmarkStart w:id="1060" w:name="_Toc511636039"/>
      <w:bookmarkStart w:id="1061" w:name="_Toc515441179"/>
      <w:bookmarkStart w:id="1062" w:name="_Toc516816182"/>
      <w:bookmarkStart w:id="1063" w:name="_Toc516816371"/>
      <w:r>
        <w:rPr>
          <w:rFonts w:hint="eastAsia"/>
          <w:color w:val="auto"/>
        </w:rPr>
        <w:t>20 保险</w:t>
      </w:r>
      <w:bookmarkEnd w:id="1053"/>
      <w:bookmarkEnd w:id="1054"/>
      <w:bookmarkEnd w:id="1055"/>
      <w:bookmarkEnd w:id="1056"/>
      <w:bookmarkEnd w:id="1057"/>
      <w:bookmarkEnd w:id="1058"/>
      <w:bookmarkEnd w:id="1059"/>
      <w:bookmarkEnd w:id="1060"/>
      <w:bookmarkEnd w:id="1061"/>
      <w:bookmarkEnd w:id="1062"/>
      <w:bookmarkEnd w:id="1063"/>
    </w:p>
    <w:p>
      <w:pPr>
        <w:pStyle w:val="5"/>
        <w:adjustRightInd w:val="0"/>
        <w:snapToGrid w:val="0"/>
        <w:spacing w:before="0" w:after="0" w:line="520" w:lineRule="exact"/>
        <w:rPr>
          <w:rFonts w:asciiTheme="majorEastAsia" w:hAnsiTheme="majorEastAsia" w:eastAsiaTheme="majorEastAsia"/>
          <w:color w:val="auto"/>
        </w:rPr>
      </w:pPr>
      <w:bookmarkStart w:id="1064" w:name="_Toc511636040"/>
      <w:bookmarkStart w:id="1065" w:name="_Toc221951321"/>
      <w:bookmarkStart w:id="1066" w:name="_Toc262638040"/>
      <w:r>
        <w:rPr>
          <w:rFonts w:hint="eastAsia" w:asciiTheme="majorEastAsia" w:hAnsiTheme="majorEastAsia" w:eastAsiaTheme="majorEastAsia"/>
          <w:color w:val="auto"/>
        </w:rPr>
        <w:t>20.1 工程保险</w:t>
      </w:r>
      <w:bookmarkEnd w:id="1064"/>
      <w:bookmarkEnd w:id="1065"/>
      <w:bookmarkEnd w:id="1066"/>
    </w:p>
    <w:p>
      <w:pPr>
        <w:widowControl/>
        <w:shd w:val="clear" w:color="auto" w:fill="FFFFFF"/>
        <w:snapToGrid w:val="0"/>
        <w:ind w:firstLine="420" w:firstLineChars="200"/>
        <w:jc w:val="left"/>
        <w:rPr>
          <w:rFonts w:asciiTheme="minorEastAsia" w:hAnsiTheme="minorEastAsia"/>
          <w:color w:val="auto"/>
          <w:szCs w:val="21"/>
        </w:rPr>
      </w:pPr>
      <w:bookmarkStart w:id="1067" w:name="_Toc221951323"/>
      <w:r>
        <w:rPr>
          <w:rFonts w:hint="eastAsia" w:asciiTheme="minorEastAsia" w:hAnsiTheme="minorEastAsia"/>
          <w:color w:val="auto"/>
          <w:szCs w:val="21"/>
        </w:rPr>
        <w:t>建筑工程一切险和（或）安装工程一切险投保人</w:t>
      </w:r>
      <w:r>
        <w:rPr>
          <w:rFonts w:asciiTheme="minorEastAsia" w:hAnsiTheme="minorEastAsia"/>
          <w:color w:val="auto"/>
          <w:szCs w:val="21"/>
        </w:rPr>
        <w:t>______________</w:t>
      </w:r>
      <w:r>
        <w:rPr>
          <w:rFonts w:hint="eastAsia" w:asciiTheme="minorEastAsia" w:hAnsiTheme="minorEastAsia"/>
          <w:color w:val="auto"/>
          <w:szCs w:val="21"/>
        </w:rPr>
        <w:t>；投保内容：</w:t>
      </w:r>
      <w:r>
        <w:rPr>
          <w:rFonts w:asciiTheme="minorEastAsia" w:hAnsiTheme="minorEastAsia"/>
          <w:color w:val="auto"/>
          <w:szCs w:val="21"/>
        </w:rPr>
        <w:t>________________</w:t>
      </w:r>
      <w:r>
        <w:rPr>
          <w:rFonts w:hint="eastAsia" w:asciiTheme="minorEastAsia" w:hAnsiTheme="minorEastAsia"/>
          <w:color w:val="auto"/>
          <w:szCs w:val="21"/>
        </w:rPr>
        <w:t>；保险金额、保险费率和保险期限：</w:t>
      </w:r>
      <w:r>
        <w:rPr>
          <w:rFonts w:asciiTheme="minorEastAsia" w:hAnsiTheme="minorEastAsia"/>
          <w:color w:val="auto"/>
          <w:szCs w:val="21"/>
        </w:rPr>
        <w:t>_____________________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1068" w:name="_Toc262638041"/>
      <w:bookmarkStart w:id="1069" w:name="_Toc511636041"/>
      <w:r>
        <w:rPr>
          <w:rFonts w:hint="eastAsia" w:asciiTheme="majorEastAsia" w:hAnsiTheme="majorEastAsia" w:eastAsiaTheme="majorEastAsia"/>
          <w:color w:val="auto"/>
        </w:rPr>
        <w:t>20.4 第三者责任险</w:t>
      </w:r>
      <w:bookmarkEnd w:id="1067"/>
      <w:bookmarkEnd w:id="1068"/>
      <w:bookmarkEnd w:id="1069"/>
    </w:p>
    <w:p>
      <w:pPr>
        <w:widowControl/>
        <w:shd w:val="clear" w:color="auto" w:fill="FFFFFF"/>
        <w:snapToGrid w:val="0"/>
        <w:ind w:firstLine="420" w:firstLineChars="200"/>
        <w:jc w:val="left"/>
        <w:rPr>
          <w:rFonts w:asciiTheme="minorEastAsia" w:hAnsiTheme="minorEastAsia"/>
          <w:color w:val="auto"/>
          <w:szCs w:val="21"/>
        </w:rPr>
      </w:pPr>
      <w:bookmarkStart w:id="1070" w:name="_Toc221951325"/>
      <w:r>
        <w:rPr>
          <w:rFonts w:hint="eastAsia" w:asciiTheme="minorEastAsia" w:hAnsiTheme="minorEastAsia"/>
          <w:color w:val="auto"/>
          <w:szCs w:val="21"/>
        </w:rPr>
        <w:t>20.4.2 第三者责任险保险费率：</w:t>
      </w:r>
      <w:r>
        <w:rPr>
          <w:rFonts w:asciiTheme="minorEastAsia" w:hAnsiTheme="minorEastAsia"/>
          <w:color w:val="auto"/>
          <w:szCs w:val="21"/>
        </w:rPr>
        <w:t>______________</w:t>
      </w:r>
      <w:r>
        <w:rPr>
          <w:rFonts w:hint="eastAsia" w:asciiTheme="minorEastAsia" w:hAnsiTheme="minorEastAsia"/>
          <w:color w:val="auto"/>
          <w:szCs w:val="21"/>
        </w:rPr>
        <w:t>；第三者责任险保险金额：</w:t>
      </w:r>
      <w:r>
        <w:rPr>
          <w:rFonts w:asciiTheme="minorEastAsia" w:hAnsiTheme="minorEastAsia"/>
          <w:color w:val="auto"/>
          <w:szCs w:val="21"/>
        </w:rPr>
        <w:t>______________</w:t>
      </w:r>
      <w:r>
        <w:rPr>
          <w:rFonts w:hint="eastAsia" w:asciiTheme="minorEastAsia" w:hAnsiTheme="minorEastAsia"/>
          <w:color w:val="auto"/>
          <w:szCs w:val="21"/>
        </w:rPr>
        <w:t xml:space="preserve">。 </w:t>
      </w:r>
    </w:p>
    <w:p>
      <w:pPr>
        <w:pStyle w:val="5"/>
        <w:adjustRightInd w:val="0"/>
        <w:snapToGrid w:val="0"/>
        <w:spacing w:before="0" w:after="0" w:line="520" w:lineRule="exact"/>
        <w:rPr>
          <w:rFonts w:asciiTheme="majorEastAsia" w:hAnsiTheme="majorEastAsia" w:eastAsiaTheme="majorEastAsia"/>
          <w:color w:val="auto"/>
        </w:rPr>
      </w:pPr>
      <w:bookmarkStart w:id="1071" w:name="_Toc262638042"/>
      <w:bookmarkStart w:id="1072" w:name="_Toc511636042"/>
      <w:r>
        <w:rPr>
          <w:rFonts w:hint="eastAsia" w:asciiTheme="majorEastAsia" w:hAnsiTheme="majorEastAsia" w:eastAsiaTheme="majorEastAsia"/>
          <w:color w:val="auto"/>
        </w:rPr>
        <w:t>20.5 其他保险</w:t>
      </w:r>
      <w:bookmarkEnd w:id="1070"/>
      <w:bookmarkEnd w:id="1071"/>
      <w:bookmarkEnd w:id="1072"/>
    </w:p>
    <w:p>
      <w:pPr>
        <w:widowControl/>
        <w:shd w:val="clear" w:color="auto" w:fill="FFFFFF"/>
        <w:snapToGrid w:val="0"/>
        <w:ind w:firstLine="420" w:firstLineChars="200"/>
        <w:jc w:val="left"/>
        <w:rPr>
          <w:rFonts w:asciiTheme="minorEastAsia" w:hAnsiTheme="minorEastAsia"/>
          <w:color w:val="auto"/>
          <w:szCs w:val="21"/>
        </w:rPr>
      </w:pPr>
      <w:bookmarkStart w:id="1073" w:name="_Toc221951327"/>
      <w:r>
        <w:rPr>
          <w:rFonts w:hint="eastAsia" w:asciiTheme="minorEastAsia" w:hAnsiTheme="minorEastAsia"/>
          <w:color w:val="auto"/>
          <w:szCs w:val="21"/>
        </w:rPr>
        <w:t>需要投保的其他内容：</w:t>
      </w:r>
      <w:r>
        <w:rPr>
          <w:rFonts w:asciiTheme="minorEastAsia" w:hAnsiTheme="minorEastAsia"/>
          <w:color w:val="auto"/>
          <w:szCs w:val="21"/>
        </w:rPr>
        <w:t>______________</w:t>
      </w:r>
      <w:r>
        <w:rPr>
          <w:rFonts w:hint="eastAsia" w:asciiTheme="minorEastAsia" w:hAnsiTheme="minorEastAsia"/>
          <w:color w:val="auto"/>
          <w:szCs w:val="21"/>
        </w:rPr>
        <w:t>；保险金额、保险费率和保险期限：</w:t>
      </w:r>
      <w:r>
        <w:rPr>
          <w:rFonts w:asciiTheme="minorEastAsia" w:hAnsiTheme="minorEastAsia"/>
          <w:color w:val="auto"/>
          <w:szCs w:val="21"/>
        </w:rPr>
        <w:t>______________</w:t>
      </w:r>
      <w:r>
        <w:rPr>
          <w:rFonts w:hint="eastAsia" w:asciiTheme="minorEastAsia" w:hAnsiTheme="minorEastAsia"/>
          <w:color w:val="auto"/>
          <w:szCs w:val="21"/>
        </w:rPr>
        <w:t>。</w:t>
      </w:r>
    </w:p>
    <w:p>
      <w:pPr>
        <w:pStyle w:val="5"/>
        <w:adjustRightInd w:val="0"/>
        <w:snapToGrid w:val="0"/>
        <w:spacing w:before="0" w:after="0" w:line="520" w:lineRule="exact"/>
        <w:rPr>
          <w:rFonts w:asciiTheme="majorEastAsia" w:hAnsiTheme="majorEastAsia" w:eastAsiaTheme="majorEastAsia"/>
          <w:color w:val="auto"/>
        </w:rPr>
      </w:pPr>
      <w:bookmarkStart w:id="1074" w:name="_Toc262638043"/>
      <w:bookmarkStart w:id="1075" w:name="_Toc511636043"/>
      <w:r>
        <w:rPr>
          <w:rFonts w:hint="eastAsia" w:asciiTheme="majorEastAsia" w:hAnsiTheme="majorEastAsia" w:eastAsiaTheme="majorEastAsia"/>
          <w:color w:val="auto"/>
        </w:rPr>
        <w:t>20.6 对各项保险的一般要求</w:t>
      </w:r>
      <w:bookmarkEnd w:id="1073"/>
      <w:bookmarkEnd w:id="1074"/>
      <w:bookmarkEnd w:id="1075"/>
    </w:p>
    <w:p>
      <w:pPr>
        <w:widowControl/>
        <w:shd w:val="clear" w:color="auto" w:fill="FFFFFF"/>
        <w:snapToGrid w:val="0"/>
        <w:ind w:firstLine="420" w:firstLineChars="200"/>
        <w:jc w:val="left"/>
        <w:rPr>
          <w:rFonts w:asciiTheme="minorEastAsia" w:hAnsiTheme="minorEastAsia"/>
          <w:color w:val="auto"/>
          <w:szCs w:val="21"/>
        </w:rPr>
      </w:pPr>
      <w:bookmarkStart w:id="1076" w:name="_Toc221951328"/>
      <w:r>
        <w:rPr>
          <w:rFonts w:asciiTheme="minorEastAsia" w:hAnsiTheme="minorEastAsia"/>
          <w:color w:val="auto"/>
          <w:szCs w:val="21"/>
        </w:rPr>
        <w:t>20</w:t>
      </w:r>
      <w:r>
        <w:rPr>
          <w:rFonts w:hint="eastAsia" w:asciiTheme="minorEastAsia" w:hAnsiTheme="minorEastAsia"/>
          <w:color w:val="auto"/>
          <w:szCs w:val="21"/>
        </w:rPr>
        <w:t>.</w:t>
      </w:r>
      <w:r>
        <w:rPr>
          <w:rFonts w:asciiTheme="minorEastAsia" w:hAnsiTheme="minorEastAsia"/>
          <w:color w:val="auto"/>
          <w:szCs w:val="21"/>
        </w:rPr>
        <w:t>6</w:t>
      </w:r>
      <w:r>
        <w:rPr>
          <w:rFonts w:hint="eastAsia" w:asciiTheme="minorEastAsia" w:hAnsiTheme="minorEastAsia"/>
          <w:color w:val="auto"/>
          <w:szCs w:val="21"/>
        </w:rPr>
        <w:t>.</w:t>
      </w:r>
      <w:r>
        <w:rPr>
          <w:rFonts w:asciiTheme="minorEastAsia" w:hAnsiTheme="minorEastAsia"/>
          <w:color w:val="auto"/>
          <w:szCs w:val="21"/>
        </w:rPr>
        <w:t>1</w:t>
      </w:r>
      <w:r>
        <w:rPr>
          <w:rFonts w:hint="eastAsia" w:asciiTheme="minorEastAsia" w:hAnsiTheme="minorEastAsia"/>
          <w:color w:val="auto"/>
          <w:szCs w:val="21"/>
        </w:rPr>
        <w:t xml:space="preserve"> 保险凭证</w:t>
      </w:r>
      <w:bookmarkEnd w:id="1076"/>
    </w:p>
    <w:p>
      <w:pPr>
        <w:widowControl/>
        <w:shd w:val="clear" w:color="auto" w:fill="FFFFFF"/>
        <w:snapToGrid w:val="0"/>
        <w:ind w:firstLine="420" w:firstLineChars="200"/>
        <w:jc w:val="left"/>
        <w:rPr>
          <w:rFonts w:asciiTheme="minorEastAsia" w:hAnsiTheme="minorEastAsia"/>
          <w:color w:val="auto"/>
          <w:szCs w:val="21"/>
        </w:rPr>
      </w:pPr>
      <w:bookmarkStart w:id="1077" w:name="_Toc221951329"/>
      <w:r>
        <w:rPr>
          <w:rFonts w:hint="eastAsia" w:asciiTheme="minorEastAsia" w:hAnsiTheme="minorEastAsia"/>
          <w:color w:val="auto"/>
          <w:szCs w:val="21"/>
        </w:rPr>
        <w:t>承包人提交保险凭证的期限：</w:t>
      </w:r>
      <w:bookmarkEnd w:id="1077"/>
      <w:r>
        <w:rPr>
          <w:rFonts w:asciiTheme="minorEastAsia" w:hAnsiTheme="minorEastAsia"/>
          <w:color w:val="auto"/>
          <w:szCs w:val="21"/>
        </w:rPr>
        <w:t>______________</w:t>
      </w:r>
      <w:r>
        <w:rPr>
          <w:rFonts w:hint="eastAsia" w:asciiTheme="minorEastAsia" w:hAnsiTheme="minorEastAsia"/>
          <w:color w:val="auto"/>
          <w:szCs w:val="21"/>
        </w:rPr>
        <w:t>；</w:t>
      </w:r>
      <w:bookmarkStart w:id="1078" w:name="_Toc221951330"/>
      <w:r>
        <w:rPr>
          <w:rFonts w:hint="eastAsia" w:asciiTheme="minorEastAsia" w:hAnsiTheme="minorEastAsia"/>
          <w:color w:val="auto"/>
          <w:szCs w:val="21"/>
        </w:rPr>
        <w:t>保险条件：</w:t>
      </w:r>
      <w:r>
        <w:rPr>
          <w:rFonts w:asciiTheme="minorEastAsia" w:hAnsiTheme="minorEastAsia"/>
          <w:color w:val="auto"/>
          <w:szCs w:val="21"/>
        </w:rPr>
        <w:t>______________</w:t>
      </w:r>
      <w:r>
        <w:rPr>
          <w:rFonts w:hint="eastAsia" w:asciiTheme="minorEastAsia" w:hAnsiTheme="minorEastAsia"/>
          <w:color w:val="auto"/>
          <w:szCs w:val="21"/>
        </w:rPr>
        <w:t>。</w:t>
      </w:r>
      <w:bookmarkEnd w:id="1078"/>
    </w:p>
    <w:p>
      <w:pPr>
        <w:widowControl/>
        <w:shd w:val="clear" w:color="auto" w:fill="FFFFFF"/>
        <w:snapToGrid w:val="0"/>
        <w:ind w:firstLine="420" w:firstLineChars="200"/>
        <w:jc w:val="left"/>
        <w:rPr>
          <w:rFonts w:asciiTheme="minorEastAsia" w:hAnsiTheme="minorEastAsia"/>
          <w:color w:val="auto"/>
          <w:szCs w:val="21"/>
        </w:rPr>
      </w:pPr>
      <w:bookmarkStart w:id="1079" w:name="_Toc221951331"/>
      <w:r>
        <w:rPr>
          <w:rFonts w:asciiTheme="minorEastAsia" w:hAnsiTheme="minorEastAsia"/>
          <w:color w:val="auto"/>
          <w:szCs w:val="21"/>
        </w:rPr>
        <w:t>20</w:t>
      </w:r>
      <w:r>
        <w:rPr>
          <w:rFonts w:hint="eastAsia" w:asciiTheme="minorEastAsia" w:hAnsiTheme="minorEastAsia"/>
          <w:color w:val="auto"/>
          <w:szCs w:val="21"/>
        </w:rPr>
        <w:t>.</w:t>
      </w:r>
      <w:r>
        <w:rPr>
          <w:rFonts w:asciiTheme="minorEastAsia" w:hAnsiTheme="minorEastAsia"/>
          <w:color w:val="auto"/>
          <w:szCs w:val="21"/>
        </w:rPr>
        <w:t>6</w:t>
      </w:r>
      <w:r>
        <w:rPr>
          <w:rFonts w:hint="eastAsia" w:asciiTheme="minorEastAsia" w:hAnsiTheme="minorEastAsia"/>
          <w:color w:val="auto"/>
          <w:szCs w:val="21"/>
        </w:rPr>
        <w:t>.</w:t>
      </w:r>
      <w:r>
        <w:rPr>
          <w:rFonts w:asciiTheme="minorEastAsia" w:hAnsiTheme="minorEastAsia"/>
          <w:color w:val="auto"/>
          <w:szCs w:val="21"/>
        </w:rPr>
        <w:t>4</w:t>
      </w:r>
      <w:r>
        <w:rPr>
          <w:rFonts w:hint="eastAsia" w:asciiTheme="minorEastAsia" w:hAnsiTheme="minorEastAsia"/>
          <w:color w:val="auto"/>
          <w:szCs w:val="21"/>
        </w:rPr>
        <w:t xml:space="preserve"> 保险金不足的补偿</w:t>
      </w:r>
      <w:bookmarkEnd w:id="1079"/>
    </w:p>
    <w:p>
      <w:pPr>
        <w:widowControl/>
        <w:shd w:val="clear" w:color="auto" w:fill="FFFFFF"/>
        <w:snapToGrid w:val="0"/>
        <w:ind w:firstLine="420" w:firstLineChars="200"/>
        <w:jc w:val="left"/>
        <w:rPr>
          <w:rFonts w:asciiTheme="minorEastAsia" w:hAnsiTheme="minorEastAsia"/>
          <w:color w:val="auto"/>
          <w:szCs w:val="21"/>
        </w:rPr>
      </w:pPr>
      <w:bookmarkStart w:id="1080" w:name="_Toc221951332"/>
      <w:r>
        <w:rPr>
          <w:rFonts w:hint="eastAsia" w:asciiTheme="minorEastAsia" w:hAnsiTheme="minorEastAsia"/>
          <w:color w:val="auto"/>
          <w:szCs w:val="21"/>
        </w:rPr>
        <w:t>承包人负责补偿的范围与金额：</w:t>
      </w:r>
      <w:bookmarkEnd w:id="1080"/>
      <w:r>
        <w:rPr>
          <w:rFonts w:asciiTheme="minorEastAsia" w:hAnsiTheme="minorEastAsia"/>
          <w:color w:val="auto"/>
          <w:szCs w:val="21"/>
        </w:rPr>
        <w:t>___________</w:t>
      </w:r>
      <w:r>
        <w:rPr>
          <w:rFonts w:hint="eastAsia" w:asciiTheme="minorEastAsia" w:hAnsiTheme="minorEastAsia"/>
          <w:color w:val="auto"/>
          <w:szCs w:val="21"/>
        </w:rPr>
        <w:t>；发包人负责补偿的范围与金额：</w:t>
      </w:r>
      <w:r>
        <w:rPr>
          <w:rFonts w:asciiTheme="minorEastAsia" w:hAnsiTheme="minorEastAsia"/>
          <w:color w:val="auto"/>
          <w:szCs w:val="21"/>
        </w:rPr>
        <w:t>____________</w:t>
      </w:r>
      <w:r>
        <w:rPr>
          <w:rFonts w:hint="eastAsia" w:asciiTheme="minorEastAsia" w:hAnsiTheme="minorEastAsia"/>
          <w:color w:val="auto"/>
          <w:szCs w:val="21"/>
        </w:rPr>
        <w:t>。</w:t>
      </w:r>
    </w:p>
    <w:p>
      <w:pPr>
        <w:pStyle w:val="4"/>
        <w:rPr>
          <w:color w:val="auto"/>
        </w:rPr>
      </w:pPr>
      <w:bookmarkStart w:id="1081" w:name="_Toc221951334"/>
      <w:bookmarkStart w:id="1082" w:name="_Toc222029543"/>
      <w:bookmarkStart w:id="1083" w:name="_Toc222031045"/>
      <w:bookmarkStart w:id="1084" w:name="_Toc222032712"/>
      <w:bookmarkStart w:id="1085" w:name="_Toc222033894"/>
      <w:bookmarkStart w:id="1086" w:name="_Toc229305401"/>
      <w:bookmarkStart w:id="1087" w:name="_Toc487489994"/>
      <w:bookmarkStart w:id="1088" w:name="_Toc511636044"/>
      <w:bookmarkStart w:id="1089" w:name="_Toc515441180"/>
      <w:bookmarkStart w:id="1090" w:name="_Toc516816183"/>
      <w:bookmarkStart w:id="1091" w:name="_Toc516816372"/>
      <w:r>
        <w:rPr>
          <w:color w:val="auto"/>
        </w:rPr>
        <w:t>24</w:t>
      </w:r>
      <w:r>
        <w:rPr>
          <w:rFonts w:hint="eastAsia"/>
          <w:color w:val="auto"/>
        </w:rPr>
        <w:t xml:space="preserve"> 争议的解决</w:t>
      </w:r>
      <w:bookmarkEnd w:id="1081"/>
      <w:bookmarkEnd w:id="1082"/>
      <w:bookmarkEnd w:id="1083"/>
      <w:bookmarkEnd w:id="1084"/>
      <w:bookmarkEnd w:id="1085"/>
      <w:bookmarkEnd w:id="1086"/>
      <w:bookmarkEnd w:id="1087"/>
      <w:bookmarkEnd w:id="1088"/>
      <w:bookmarkEnd w:id="1089"/>
      <w:bookmarkEnd w:id="1090"/>
      <w:bookmarkEnd w:id="1091"/>
    </w:p>
    <w:p>
      <w:pPr>
        <w:pStyle w:val="5"/>
        <w:adjustRightInd w:val="0"/>
        <w:snapToGrid w:val="0"/>
        <w:spacing w:before="0" w:after="0" w:line="520" w:lineRule="exact"/>
        <w:rPr>
          <w:rFonts w:asciiTheme="majorEastAsia" w:hAnsiTheme="majorEastAsia" w:eastAsiaTheme="majorEastAsia"/>
          <w:color w:val="auto"/>
        </w:rPr>
      </w:pPr>
      <w:bookmarkStart w:id="1092" w:name="_Toc262638045"/>
      <w:bookmarkStart w:id="1093" w:name="_Toc511636045"/>
      <w:r>
        <w:rPr>
          <w:rFonts w:hint="eastAsia" w:asciiTheme="majorEastAsia" w:hAnsiTheme="majorEastAsia" w:eastAsiaTheme="majorEastAsia"/>
          <w:color w:val="auto"/>
        </w:rPr>
        <w:t>24.1 争议的解决方式</w:t>
      </w:r>
      <w:bookmarkEnd w:id="1092"/>
      <w:bookmarkEnd w:id="109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合同当事人友好协商解决不成、不愿提请争议评审或不接受争议评审组意见的，约定的合同争议解决方式：</w:t>
      </w:r>
      <w:r>
        <w:rPr>
          <w:rFonts w:asciiTheme="minorEastAsia" w:hAnsiTheme="minorEastAsia"/>
          <w:color w:val="auto"/>
          <w:szCs w:val="21"/>
        </w:rPr>
        <w:t>_____________________</w:t>
      </w:r>
      <w:r>
        <w:rPr>
          <w:rFonts w:hint="eastAsia"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b/>
          <w:color w:val="auto"/>
          <w:sz w:val="28"/>
          <w:szCs w:val="28"/>
        </w:rPr>
      </w:pPr>
      <w:r>
        <w:rPr>
          <w:rFonts w:hint="eastAsia" w:asciiTheme="minorEastAsia" w:hAnsiTheme="minorEastAsia"/>
          <w:color w:val="auto"/>
          <w:szCs w:val="21"/>
        </w:rPr>
        <w:t xml:space="preserve"> </w:t>
      </w: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pStyle w:val="3"/>
        <w:adjustRightInd w:val="0"/>
        <w:snapToGrid w:val="0"/>
        <w:spacing w:before="0" w:after="0" w:line="520" w:lineRule="exact"/>
        <w:jc w:val="center"/>
        <w:rPr>
          <w:rFonts w:asciiTheme="majorEastAsia" w:hAnsiTheme="majorEastAsia" w:eastAsiaTheme="majorEastAsia"/>
          <w:color w:val="auto"/>
          <w:sz w:val="36"/>
          <w:szCs w:val="36"/>
        </w:rPr>
      </w:pPr>
      <w:bookmarkStart w:id="1094" w:name="_Toc515441181"/>
      <w:bookmarkStart w:id="1095" w:name="_Toc511636046"/>
      <w:bookmarkStart w:id="1096" w:name="_Toc516816184"/>
      <w:bookmarkStart w:id="1097" w:name="_Toc516816373"/>
      <w:r>
        <w:rPr>
          <w:rFonts w:hint="eastAsia" w:asciiTheme="majorEastAsia" w:hAnsiTheme="majorEastAsia" w:eastAsiaTheme="majorEastAsia"/>
          <w:color w:val="auto"/>
          <w:sz w:val="36"/>
          <w:szCs w:val="36"/>
        </w:rPr>
        <w:t>第三节 合同附件格式</w:t>
      </w:r>
      <w:bookmarkEnd w:id="1094"/>
      <w:bookmarkEnd w:id="1095"/>
      <w:bookmarkEnd w:id="1096"/>
      <w:bookmarkEnd w:id="1097"/>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pStyle w:val="4"/>
        <w:rPr>
          <w:color w:val="auto"/>
        </w:rPr>
      </w:pPr>
      <w:bookmarkStart w:id="1098" w:name="_Toc511636047"/>
      <w:bookmarkStart w:id="1099" w:name="_Toc515441182"/>
      <w:bookmarkStart w:id="1100" w:name="_Toc516816185"/>
      <w:bookmarkStart w:id="1101" w:name="_Toc516816374"/>
      <w:r>
        <w:rPr>
          <w:rFonts w:hint="eastAsia"/>
          <w:color w:val="auto"/>
        </w:rPr>
        <w:t>附件一：合同协议书（格式）</w:t>
      </w:r>
      <w:bookmarkEnd w:id="1098"/>
      <w:bookmarkEnd w:id="1099"/>
      <w:bookmarkEnd w:id="1100"/>
      <w:bookmarkEnd w:id="1101"/>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合同协议书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___（发包人名称，以下简称“发包人”）为实施_________________（项目名称），已接受_________________（承包人名称，以下简称“承包人”）对_________________（项目名称）_________________（标段名称）的投标，并确定其为中标人。发包人和承包人共同达成如下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本协议书与下列文件一起构成合同文件：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（1）中标通知书；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（3）专用合同条款；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（4）通用合同条款；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（5）技术标准和要求；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（6）图纸；</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（7）已标价工程量清单；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（8）其他合同文件。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上述文件互相补充和解释，如有不明确或不一致之处，以合同约定次序在先者为准。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签约合同价：人民币（大写）______________（¥______________）。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承包人项目经理：______________。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 工程质量符合______________标准。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 承包人承诺按合同约定承担工程的实施、完成及缺陷修复。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 发包人承诺按合同约定的条件、时间和方式向承包人支付合同价款。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 承包人应按照监理人指示开工，合同工期为______天。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 本协议书一式______份，合同双方各执______份。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 合同未尽事宜，双方另行签订补充协议。补充协议是合同的组成部分。</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发包人：_______________________________（盖单位章）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_________年______月_____日</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承包人：_______________________________（盖单位章）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_________年______月_____日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102" w:name="_Toc516816375"/>
      <w:bookmarkStart w:id="1103" w:name="_Toc516816186"/>
      <w:bookmarkStart w:id="1104" w:name="_Toc511636048"/>
      <w:bookmarkStart w:id="1105" w:name="_Toc515441183"/>
      <w:r>
        <w:rPr>
          <w:rFonts w:hint="eastAsia"/>
          <w:color w:val="auto"/>
        </w:rPr>
        <w:t>附件二：履约保证金（格式）</w:t>
      </w:r>
      <w:bookmarkEnd w:id="1102"/>
      <w:bookmarkEnd w:id="1103"/>
      <w:bookmarkEnd w:id="1104"/>
      <w:bookmarkEnd w:id="110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如采用银行保函，格式如下。</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履约保证金</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___________________（发包人名称）：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鉴于___________________（发包人名称，以下简称“发包人”）已接受___________________（承包人名称，以下称“承包人”）于_____年_____月_____日递交的___________________（项目名称）___________________（标段名称）的投标文件。我方愿意无条件地、不可撤销地就承包人履行与你方订立的合同，向你方提供担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担保金额人民币（大写）________________（¥________________）。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担保有效期自发包人与承包人签订的合同生效之日起至发包人签发合同工程完工证书之日止。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在本担保有效期内，因承包人违反合同约定的义务给你方造成经济损失时，我方在收到你方以书面形式提出的在担保金额内的赔偿要求后，无条件地在7天内予以支付。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发包人和承包人按《通用合同条款》第15条变更合同时，我方承担本担保规定的义务不变。</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________年_____月____日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106" w:name="_Toc515441184"/>
      <w:bookmarkStart w:id="1107" w:name="_Toc516816376"/>
      <w:bookmarkStart w:id="1108" w:name="_Toc516816187"/>
      <w:bookmarkStart w:id="1109" w:name="_Toc511636049"/>
      <w:r>
        <w:rPr>
          <w:rFonts w:hint="eastAsia"/>
          <w:color w:val="auto"/>
        </w:rPr>
        <w:t>附件三：预付款担保函（格式）</w:t>
      </w:r>
      <w:bookmarkEnd w:id="1106"/>
      <w:bookmarkEnd w:id="1107"/>
      <w:bookmarkEnd w:id="1108"/>
      <w:bookmarkEnd w:id="110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如采用银行保函，格式如下。</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预付款担保函</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___________________（发包人名称）：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根据___________________（承包人名称，以下简称“承包人”）与___________________（发包人名称，以下简称“发包人”）于_____年_____月_____日签订的___________________（项目名称）___________________（标段名称）合同协议书，承包人按约定的金额向发包人提交一份预付款担保，即有权得到发包人支付相等金额的预付款。我方愿意就你方提供给承包人的预付款提供担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担保金额人民币（大写）________________（¥________________）。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担保有效期自预付款支付给承包人起生效，至发包人签发的进度付款证书说明预付款已完全扣清止。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发包人和承包人按《通用合同条款》第15条变更合同时，我方承担本担保规定的义务不变。</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法定代表人（单位负责人）或其委托代理人：________签字）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________年_____月____日</w:t>
      </w:r>
    </w:p>
    <w:p>
      <w:pPr>
        <w:pStyle w:val="33"/>
        <w:spacing w:before="0" w:after="0" w:line="520" w:lineRule="exact"/>
        <w:rPr>
          <w:rFonts w:asciiTheme="majorEastAsia" w:hAnsiTheme="majorEastAsia" w:eastAsiaTheme="majorEastAsia"/>
          <w:color w:val="auto"/>
          <w:sz w:val="52"/>
          <w:szCs w:val="52"/>
        </w:rPr>
      </w:pPr>
      <w:bookmarkStart w:id="1110" w:name="_Toc516816188"/>
      <w:bookmarkStart w:id="1111" w:name="_Toc511636050"/>
      <w:bookmarkStart w:id="1112" w:name="_Toc516816377"/>
      <w:bookmarkStart w:id="1113" w:name="_Toc515441185"/>
      <w:r>
        <w:rPr>
          <w:rFonts w:hint="eastAsia" w:asciiTheme="majorEastAsia" w:hAnsiTheme="majorEastAsia" w:eastAsiaTheme="majorEastAsia"/>
          <w:color w:val="auto"/>
          <w:sz w:val="52"/>
          <w:szCs w:val="52"/>
        </w:rPr>
        <w:t>第二卷</w:t>
      </w:r>
      <w:bookmarkEnd w:id="1110"/>
      <w:bookmarkEnd w:id="1111"/>
      <w:bookmarkEnd w:id="1112"/>
      <w:bookmarkEnd w:id="1113"/>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1114" w:name="_Toc515441186"/>
      <w:bookmarkStart w:id="1115" w:name="_Toc511636051"/>
      <w:bookmarkStart w:id="1116" w:name="_Toc516816189"/>
      <w:bookmarkStart w:id="1117" w:name="_Toc516816378"/>
      <w:r>
        <w:rPr>
          <w:rFonts w:hint="eastAsia" w:asciiTheme="majorEastAsia" w:hAnsiTheme="majorEastAsia" w:eastAsiaTheme="majorEastAsia"/>
          <w:color w:val="auto"/>
          <w:sz w:val="36"/>
          <w:szCs w:val="36"/>
        </w:rPr>
        <w:t>第五章 工程量清单</w:t>
      </w:r>
      <w:bookmarkEnd w:id="1114"/>
      <w:bookmarkEnd w:id="1115"/>
      <w:bookmarkEnd w:id="1116"/>
      <w:bookmarkEnd w:id="1117"/>
    </w:p>
    <w:p>
      <w:pPr>
        <w:widowControl/>
        <w:shd w:val="clear" w:color="auto" w:fill="FFFFFF"/>
        <w:snapToGrid w:val="0"/>
        <w:ind w:firstLine="420" w:firstLineChars="200"/>
        <w:jc w:val="lef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118" w:name="_Toc516816190"/>
      <w:bookmarkStart w:id="1119" w:name="_Toc511636052"/>
      <w:bookmarkStart w:id="1120" w:name="_Toc516816379"/>
      <w:bookmarkStart w:id="1121" w:name="_Toc515441187"/>
      <w:r>
        <w:rPr>
          <w:rFonts w:hint="eastAsia" w:asciiTheme="majorEastAsia" w:hAnsiTheme="majorEastAsia" w:eastAsiaTheme="majorEastAsia" w:cstheme="minorBidi"/>
          <w:bCs w:val="0"/>
          <w:color w:val="auto"/>
          <w:sz w:val="28"/>
          <w:szCs w:val="28"/>
        </w:rPr>
        <w:t>1 工程量清单说明</w:t>
      </w:r>
      <w:bookmarkEnd w:id="1118"/>
      <w:bookmarkEnd w:id="1119"/>
      <w:bookmarkEnd w:id="1120"/>
      <w:bookmarkEnd w:id="11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 工程量清单应与招标文件中的投标人须知、通用合同条款、专用合同条款、技术标准和要求（合同技术条款）、图纸等一起阅读和理解。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 工程量清单仅是投标人投标报价的共同基础。除另有约定外，工程量清单中的工程量是根据招标设计图纸计算的用于投标报价的估算工程量，不作为最终结算工程量。最终结算工程量是承包人实际完成并符合技术标准和要求（合同技术条款）规定，按施工图纸计算的有效工程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 工程量清单中各项目的工作内容和要求应符合相关技术标准和要求（合同技术条款）的规定。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 工程价款的支付遵循合同条款的约定。</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122" w:name="_Toc511636053"/>
      <w:bookmarkStart w:id="1123" w:name="_Toc516816191"/>
      <w:bookmarkStart w:id="1124" w:name="_Toc515441188"/>
      <w:bookmarkStart w:id="1125" w:name="_Toc516816380"/>
      <w:r>
        <w:rPr>
          <w:rFonts w:hint="eastAsia" w:asciiTheme="majorEastAsia" w:hAnsiTheme="majorEastAsia" w:eastAsiaTheme="majorEastAsia" w:cstheme="minorBidi"/>
          <w:bCs w:val="0"/>
          <w:color w:val="auto"/>
          <w:sz w:val="28"/>
          <w:szCs w:val="28"/>
        </w:rPr>
        <w:t>2 工程量清单</w:t>
      </w:r>
      <w:bookmarkEnd w:id="1122"/>
      <w:bookmarkEnd w:id="1123"/>
      <w:bookmarkEnd w:id="1124"/>
      <w:bookmarkEnd w:id="112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 工程量清单编制说明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 工程量清单表</w:t>
      </w:r>
    </w:p>
    <w:p>
      <w:pPr>
        <w:pStyle w:val="3"/>
        <w:adjustRightInd w:val="0"/>
        <w:snapToGrid w:val="0"/>
        <w:spacing w:before="0" w:after="0" w:line="520" w:lineRule="exact"/>
        <w:rPr>
          <w:rFonts w:asciiTheme="majorEastAsia" w:hAnsiTheme="majorEastAsia" w:eastAsiaTheme="majorEastAsia" w:cstheme="minorBidi"/>
          <w:bCs w:val="0"/>
          <w:color w:val="auto"/>
          <w:sz w:val="28"/>
          <w:szCs w:val="28"/>
        </w:rPr>
      </w:pPr>
      <w:bookmarkStart w:id="1126" w:name="_Toc511636054"/>
      <w:bookmarkStart w:id="1127" w:name="_Toc515441189"/>
      <w:bookmarkStart w:id="1128" w:name="_Toc516816192"/>
      <w:bookmarkStart w:id="1129" w:name="_Toc516816381"/>
      <w:r>
        <w:rPr>
          <w:rFonts w:hint="eastAsia" w:asciiTheme="majorEastAsia" w:hAnsiTheme="majorEastAsia" w:eastAsiaTheme="majorEastAsia" w:cstheme="minorBidi"/>
          <w:bCs w:val="0"/>
          <w:color w:val="auto"/>
          <w:sz w:val="28"/>
          <w:szCs w:val="28"/>
        </w:rPr>
        <w:t>3 投标报价说明</w:t>
      </w:r>
      <w:bookmarkEnd w:id="1126"/>
      <w:bookmarkEnd w:id="1127"/>
      <w:bookmarkEnd w:id="1128"/>
      <w:bookmarkEnd w:id="1129"/>
    </w:p>
    <w:p>
      <w:pPr>
        <w:pStyle w:val="4"/>
        <w:rPr>
          <w:color w:val="auto"/>
        </w:rPr>
      </w:pPr>
      <w:bookmarkStart w:id="1130" w:name="_Toc511636055"/>
      <w:bookmarkStart w:id="1131" w:name="_Toc515441190"/>
      <w:bookmarkStart w:id="1132" w:name="_Toc516816193"/>
      <w:bookmarkStart w:id="1133" w:name="_Toc516816382"/>
      <w:r>
        <w:rPr>
          <w:rFonts w:hint="eastAsia"/>
          <w:color w:val="auto"/>
        </w:rPr>
        <w:t>3.1 已标价工程量清单组成</w:t>
      </w:r>
      <w:bookmarkEnd w:id="1130"/>
      <w:bookmarkEnd w:id="1131"/>
      <w:bookmarkEnd w:id="1132"/>
      <w:bookmarkEnd w:id="113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工程项目总价表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工程量清单报价表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已标价工程量清单辅助表格</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3.1.3.1 工程量清单报价编制说明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3.1.3.2 工程单价分析表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3.1.3.3 单价分析汇总表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3.1.3.4 材料预算价格汇总表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3.1.3.5 混凝土、砂浆材料单价计算表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3.1.3.6 施工机械台班费汇总表</w:t>
      </w:r>
    </w:p>
    <w:p>
      <w:pPr>
        <w:pStyle w:val="4"/>
        <w:rPr>
          <w:color w:val="auto"/>
        </w:rPr>
      </w:pPr>
      <w:bookmarkStart w:id="1134" w:name="_Toc511636056"/>
      <w:bookmarkStart w:id="1135" w:name="_Toc515441191"/>
      <w:bookmarkStart w:id="1136" w:name="_Toc516816194"/>
      <w:bookmarkStart w:id="1137" w:name="_Toc516816383"/>
      <w:r>
        <w:rPr>
          <w:rFonts w:hint="eastAsia"/>
          <w:color w:val="auto"/>
        </w:rPr>
        <w:t>3.2 工程量清单报价填写规定</w:t>
      </w:r>
      <w:bookmarkEnd w:id="1134"/>
      <w:bookmarkEnd w:id="1135"/>
      <w:bookmarkEnd w:id="1136"/>
      <w:bookmarkEnd w:id="11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除招标文件另有规定外，投标人不得随意增加、删除或涂改招标文件工程量清单中的任何内容。工程量清单中列明的所有需要填写的单价和合价，投标人均应填写；未填写的单价和合价，视为已包括在工程量清单的其它单价和合价中。</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工程量清单中的工程单价是完成工程量清单中一个质量合格的规定计量单位项目所需的直接费、间接费、利润、税金，临时工程摊销费、其他费用摊销，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3、投标金额(价格)均应以人民币表示。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4、投标总价应按工程项目总价表合计金额填写。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5、工程项目总价表中编号和项目名称按招标文件工程量清单中的相应的单位工程或分部工程内容填写，并按工程量清单报价表中相应项目合计金额填写。暂列金额按招标文件工程项目总价表中的相应内容填写。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6、工程量清单报价表中的编号、项目名称、计量单位、工程量，按招标文件工程量清单报价表的相应内容填写，并填写相应项目的单价和合价。</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1138" w:name="_Toc511636057"/>
      <w:bookmarkStart w:id="1139" w:name="_Toc515441192"/>
      <w:bookmarkStart w:id="1140" w:name="_Toc516816195"/>
      <w:bookmarkStart w:id="1141" w:name="_Toc516816384"/>
      <w:r>
        <w:rPr>
          <w:rFonts w:hint="eastAsia" w:asciiTheme="majorEastAsia" w:hAnsiTheme="majorEastAsia" w:eastAsiaTheme="majorEastAsia"/>
          <w:color w:val="auto"/>
          <w:sz w:val="36"/>
          <w:szCs w:val="36"/>
        </w:rPr>
        <w:t>第六章 图纸（另册提供）</w:t>
      </w:r>
      <w:bookmarkEnd w:id="1138"/>
      <w:bookmarkEnd w:id="1139"/>
      <w:bookmarkEnd w:id="1140"/>
      <w:bookmarkEnd w:id="1141"/>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1142" w:name="_Toc511636058"/>
      <w:bookmarkStart w:id="1143" w:name="_Toc516816196"/>
      <w:bookmarkStart w:id="1144" w:name="_Toc516816385"/>
      <w:bookmarkStart w:id="1145" w:name="_Toc515441193"/>
      <w:r>
        <w:rPr>
          <w:rFonts w:hint="eastAsia" w:asciiTheme="majorEastAsia" w:hAnsiTheme="majorEastAsia" w:eastAsiaTheme="majorEastAsia"/>
          <w:color w:val="auto"/>
          <w:sz w:val="36"/>
          <w:szCs w:val="36"/>
        </w:rPr>
        <w:t>第七章 技术标准和要求（另册提供）</w:t>
      </w:r>
      <w:bookmarkEnd w:id="1142"/>
      <w:bookmarkEnd w:id="1143"/>
      <w:bookmarkEnd w:id="1144"/>
      <w:bookmarkEnd w:id="1145"/>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pStyle w:val="33"/>
        <w:spacing w:before="0" w:after="0" w:line="520" w:lineRule="exact"/>
        <w:rPr>
          <w:rFonts w:asciiTheme="majorEastAsia" w:hAnsiTheme="majorEastAsia" w:eastAsiaTheme="majorEastAsia"/>
          <w:color w:val="auto"/>
          <w:sz w:val="52"/>
          <w:szCs w:val="52"/>
        </w:rPr>
      </w:pPr>
      <w:bookmarkStart w:id="1146" w:name="_Toc511636059"/>
      <w:bookmarkStart w:id="1147" w:name="_Toc515441194"/>
      <w:bookmarkStart w:id="1148" w:name="_Toc516816197"/>
      <w:bookmarkStart w:id="1149" w:name="_Toc516816386"/>
      <w:r>
        <w:rPr>
          <w:rFonts w:hint="eastAsia" w:asciiTheme="majorEastAsia" w:hAnsiTheme="majorEastAsia" w:eastAsiaTheme="majorEastAsia"/>
          <w:color w:val="auto"/>
          <w:sz w:val="52"/>
          <w:szCs w:val="52"/>
        </w:rPr>
        <w:t>第三卷</w:t>
      </w:r>
      <w:bookmarkEnd w:id="1146"/>
      <w:bookmarkEnd w:id="1147"/>
      <w:bookmarkEnd w:id="1148"/>
      <w:bookmarkEnd w:id="1149"/>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pStyle w:val="2"/>
        <w:spacing w:before="0" w:after="0" w:line="520" w:lineRule="exact"/>
        <w:jc w:val="center"/>
        <w:rPr>
          <w:rFonts w:asciiTheme="majorEastAsia" w:hAnsiTheme="majorEastAsia" w:eastAsiaTheme="majorEastAsia"/>
          <w:color w:val="auto"/>
          <w:sz w:val="36"/>
          <w:szCs w:val="36"/>
        </w:rPr>
      </w:pPr>
      <w:bookmarkStart w:id="1150" w:name="_Toc511636060"/>
      <w:bookmarkStart w:id="1151" w:name="_Toc515441195"/>
      <w:bookmarkStart w:id="1152" w:name="_Toc516816198"/>
      <w:bookmarkStart w:id="1153" w:name="_Toc516816387"/>
      <w:r>
        <w:rPr>
          <w:rFonts w:hint="eastAsia" w:asciiTheme="majorEastAsia" w:hAnsiTheme="majorEastAsia" w:eastAsiaTheme="majorEastAsia"/>
          <w:color w:val="auto"/>
          <w:sz w:val="36"/>
          <w:szCs w:val="36"/>
        </w:rPr>
        <w:t>第八章 投标文件格式</w:t>
      </w:r>
      <w:bookmarkEnd w:id="1150"/>
      <w:bookmarkEnd w:id="1151"/>
      <w:bookmarkEnd w:id="1152"/>
      <w:bookmarkEnd w:id="1153"/>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投标人应按本章规定格式编制提交资格文件、商务文件、施工组织设计（如有）。</w:t>
      </w: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pStyle w:val="3"/>
        <w:spacing w:before="0" w:after="0" w:line="520" w:lineRule="exact"/>
        <w:jc w:val="center"/>
        <w:rPr>
          <w:rFonts w:asciiTheme="majorEastAsia" w:hAnsiTheme="majorEastAsia" w:eastAsiaTheme="majorEastAsia"/>
          <w:color w:val="auto"/>
          <w:sz w:val="36"/>
          <w:szCs w:val="36"/>
        </w:rPr>
      </w:pPr>
      <w:bookmarkStart w:id="1154" w:name="_Toc511636061"/>
      <w:bookmarkStart w:id="1155" w:name="_Toc515441196"/>
      <w:bookmarkStart w:id="1156" w:name="_Toc516816199"/>
      <w:bookmarkStart w:id="1157" w:name="_Toc516816388"/>
      <w:r>
        <w:rPr>
          <w:rFonts w:hint="eastAsia" w:asciiTheme="majorEastAsia" w:hAnsiTheme="majorEastAsia" w:eastAsiaTheme="majorEastAsia"/>
          <w:color w:val="auto"/>
          <w:sz w:val="36"/>
          <w:szCs w:val="36"/>
        </w:rPr>
        <w:t>第一节 资格文件格式</w:t>
      </w:r>
      <w:bookmarkEnd w:id="1154"/>
      <w:bookmarkEnd w:id="1155"/>
      <w:bookmarkEnd w:id="1156"/>
      <w:bookmarkEnd w:id="1157"/>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pStyle w:val="4"/>
        <w:rPr>
          <w:color w:val="auto"/>
        </w:rPr>
      </w:pPr>
      <w:bookmarkStart w:id="1158" w:name="_Toc516816200"/>
      <w:bookmarkStart w:id="1159" w:name="_Toc515441197"/>
      <w:bookmarkStart w:id="1160" w:name="_Toc516816389"/>
      <w:r>
        <w:rPr>
          <w:color w:val="auto"/>
        </w:rPr>
        <w:t>投标文件</w:t>
      </w:r>
      <w:r>
        <w:rPr>
          <w:rFonts w:hint="eastAsia"/>
          <w:color w:val="auto"/>
        </w:rPr>
        <w:t>（一）（格式）</w:t>
      </w:r>
      <w:bookmarkEnd w:id="1158"/>
      <w:bookmarkEnd w:id="1159"/>
      <w:bookmarkEnd w:id="1160"/>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720" w:firstLineChars="200"/>
        <w:jc w:val="center"/>
        <w:rPr>
          <w:rFonts w:asciiTheme="minorEastAsia" w:hAnsiTheme="minorEastAsia"/>
          <w:b/>
          <w:color w:val="auto"/>
          <w:sz w:val="36"/>
          <w:szCs w:val="36"/>
        </w:rPr>
      </w:pPr>
      <w:r>
        <w:rPr>
          <w:rFonts w:hint="eastAsia" w:asciiTheme="minorEastAsia" w:hAnsiTheme="minorEastAsia"/>
          <w:color w:val="auto"/>
          <w:sz w:val="36"/>
          <w:szCs w:val="36"/>
        </w:rPr>
        <w:t>________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________</w:t>
      </w:r>
      <w:r>
        <w:rPr>
          <w:rFonts w:hint="eastAsia" w:asciiTheme="minorEastAsia" w:hAnsiTheme="minorEastAsia"/>
          <w:b/>
          <w:color w:val="auto"/>
          <w:sz w:val="36"/>
          <w:szCs w:val="36"/>
        </w:rPr>
        <w:t>（标段名称）施工招标项目</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招标编号：</w:t>
      </w:r>
      <w:r>
        <w:rPr>
          <w:rFonts w:hint="eastAsia" w:asciiTheme="minorEastAsia" w:hAnsiTheme="minorEastAsia"/>
          <w:color w:val="auto"/>
          <w:sz w:val="36"/>
          <w:szCs w:val="36"/>
        </w:rPr>
        <w:t>________</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rPr>
      </w:pPr>
    </w:p>
    <w:p>
      <w:pPr>
        <w:widowControl/>
        <w:shd w:val="clear" w:color="auto" w:fill="FFFFFF"/>
        <w:snapToGrid w:val="0"/>
        <w:ind w:firstLine="3132" w:firstLineChars="600"/>
        <w:jc w:val="left"/>
        <w:rPr>
          <w:rFonts w:asciiTheme="minorEastAsia" w:hAnsiTheme="minorEastAsia"/>
          <w:b/>
          <w:color w:val="auto"/>
          <w:sz w:val="52"/>
          <w:szCs w:val="52"/>
        </w:rPr>
      </w:pPr>
      <w:r>
        <w:rPr>
          <w:rFonts w:hint="eastAsia" w:asciiTheme="minorEastAsia" w:hAnsiTheme="minorEastAsia"/>
          <w:b/>
          <w:color w:val="auto"/>
          <w:sz w:val="52"/>
          <w:szCs w:val="52"/>
        </w:rPr>
        <w:t>投标文件（一）</w:t>
      </w:r>
    </w:p>
    <w:p>
      <w:pPr>
        <w:widowControl/>
        <w:shd w:val="clear" w:color="auto" w:fill="FFFFFF"/>
        <w:snapToGrid w:val="0"/>
        <w:ind w:firstLine="1928" w:firstLineChars="600"/>
        <w:jc w:val="left"/>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资格文件</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left"/>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4"/>
        <w:rPr>
          <w:color w:val="auto"/>
        </w:rPr>
      </w:pPr>
      <w:bookmarkStart w:id="1161" w:name="_Toc516816201"/>
      <w:bookmarkStart w:id="1162" w:name="_Toc515441198"/>
      <w:bookmarkStart w:id="1163" w:name="_Toc516816390"/>
      <w:r>
        <w:rPr>
          <w:rFonts w:hint="eastAsia"/>
          <w:color w:val="auto"/>
        </w:rPr>
        <w:t>目录（格式）</w:t>
      </w:r>
      <w:bookmarkEnd w:id="1161"/>
      <w:bookmarkEnd w:id="1162"/>
      <w:bookmarkEnd w:id="1163"/>
    </w:p>
    <w:p>
      <w:pPr>
        <w:widowControl/>
        <w:shd w:val="clear" w:color="auto" w:fill="FFFFFF"/>
        <w:snapToGrid w:val="0"/>
        <w:jc w:val="center"/>
        <w:rPr>
          <w:rFonts w:asciiTheme="minorEastAsia" w:hAnsiTheme="minorEastAsia"/>
          <w:color w:val="auto"/>
          <w:sz w:val="36"/>
          <w:szCs w:val="36"/>
        </w:rPr>
      </w:pPr>
      <w:r>
        <w:rPr>
          <w:rFonts w:asciiTheme="minorEastAsia" w:hAnsiTheme="minorEastAsia"/>
          <w:color w:val="auto"/>
          <w:sz w:val="36"/>
          <w:szCs w:val="36"/>
        </w:rPr>
        <w:t>目</w:t>
      </w:r>
      <w:r>
        <w:rPr>
          <w:rFonts w:hint="eastAsia" w:asciiTheme="minorEastAsia" w:hAnsiTheme="minorEastAsia"/>
          <w:color w:val="auto"/>
          <w:sz w:val="36"/>
          <w:szCs w:val="36"/>
        </w:rPr>
        <w:t xml:space="preserve"> </w:t>
      </w:r>
      <w:r>
        <w:rPr>
          <w:rFonts w:asciiTheme="minorEastAsia" w:hAnsiTheme="minorEastAsia"/>
          <w:color w:val="auto"/>
          <w:sz w:val="36"/>
          <w:szCs w:val="36"/>
        </w:rPr>
        <w:t>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一、资格审查申请函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二、投标人基本情况表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三、法定代表人身份证明（适用于无委托代理人的情况）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四、授权委托书（适用于有委托代理人的情况）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五、联合体协议书（适用于联合体的情况）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六、投标保证金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七、近年财务状况表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八、近年完成的类似项目情况表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九、正在施工和新承接的项目情况表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十、近年发生的诉讼及仲裁情况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十一、拟委任的主要人员汇总表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十二、主要人员简历表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十三、项目机构派驻现场施工人员到位承诺书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十四、不拖欠农民工工资承诺书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十五、投标人承诺书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十六、</w:t>
      </w:r>
      <w:r>
        <w:rPr>
          <w:rFonts w:asciiTheme="minorEastAsia" w:hAnsiTheme="minorEastAsia"/>
          <w:color w:val="auto"/>
          <w:szCs w:val="21"/>
        </w:rPr>
        <w:t>其他资格材料</w:t>
      </w:r>
      <w:r>
        <w:rPr>
          <w:rFonts w:hint="eastAsia" w:asciiTheme="minorEastAsia" w:hAnsiTheme="minorEastAsia"/>
          <w:color w:val="auto"/>
          <w:szCs w:val="21"/>
        </w:rPr>
        <w:t>（如有）</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164" w:name="_Toc511636062"/>
      <w:bookmarkStart w:id="1165" w:name="_Toc516816391"/>
      <w:bookmarkStart w:id="1166" w:name="_Toc515441199"/>
      <w:bookmarkStart w:id="1167" w:name="_Toc516816202"/>
      <w:r>
        <w:rPr>
          <w:rFonts w:hint="eastAsia"/>
          <w:color w:val="auto"/>
        </w:rPr>
        <w:t>一、资格审查申请函</w:t>
      </w:r>
      <w:bookmarkEnd w:id="1164"/>
      <w:r>
        <w:rPr>
          <w:rFonts w:hint="eastAsia"/>
          <w:color w:val="auto"/>
        </w:rPr>
        <w:t>（格式）</w:t>
      </w:r>
      <w:bookmarkEnd w:id="1165"/>
      <w:bookmarkEnd w:id="1166"/>
      <w:bookmarkEnd w:id="1167"/>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资格审查申请函</w:t>
      </w:r>
    </w:p>
    <w:p>
      <w:pPr>
        <w:widowControl/>
        <w:shd w:val="clear" w:color="auto" w:fill="FFFFFF"/>
        <w:snapToGrid w:val="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1.经研究并充分理解招标文件投标人须知中关于资格审查文件的各项条款及要求后，我方愿根据该文件的要求提交所需的资格审查申请材料，对______________</w:t>
      </w:r>
      <w:r>
        <w:rPr>
          <w:rFonts w:ascii="宋体" w:hAnsi="宋体"/>
          <w:color w:val="auto"/>
          <w:szCs w:val="21"/>
        </w:rPr>
        <w:t>（</w:t>
      </w:r>
      <w:r>
        <w:rPr>
          <w:rFonts w:hint="eastAsia" w:ascii="宋体" w:hAnsi="宋体"/>
          <w:color w:val="auto"/>
          <w:szCs w:val="21"/>
        </w:rPr>
        <w:t>项目名称）</w:t>
      </w:r>
      <w:r>
        <w:rPr>
          <w:rFonts w:hint="eastAsia" w:asciiTheme="minorEastAsia" w:hAnsiTheme="minorEastAsia"/>
          <w:color w:val="auto"/>
          <w:szCs w:val="21"/>
        </w:rPr>
        <w:t>_______________（标段名称）招标项目的投标提出申请，并接受招标人对我方进行的资格审查。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5.我方将接受并遵守招标文件所规定的各项条款。</w:t>
      </w:r>
    </w:p>
    <w:p>
      <w:pPr>
        <w:widowControl/>
        <w:shd w:val="clear" w:color="auto" w:fill="FFFFFF"/>
        <w:snapToGrid w:val="0"/>
        <w:ind w:firstLine="420" w:firstLineChars="200"/>
        <w:jc w:val="left"/>
        <w:rPr>
          <w:rFonts w:ascii="宋体" w:hAnsi="宋体"/>
          <w:color w:val="auto"/>
          <w:szCs w:val="21"/>
        </w:rPr>
      </w:pPr>
      <w:r>
        <w:rPr>
          <w:rFonts w:hint="eastAsia" w:asciiTheme="minorEastAsia" w:hAnsiTheme="minorEastAsia"/>
          <w:color w:val="auto"/>
          <w:szCs w:val="21"/>
        </w:rPr>
        <w:t>6.我方</w:t>
      </w:r>
      <w:r>
        <w:rPr>
          <w:rFonts w:hint="eastAsia" w:ascii="宋体" w:hAnsi="宋体"/>
          <w:color w:val="auto"/>
          <w:szCs w:val="21"/>
        </w:rPr>
        <w:t>将派出</w:t>
      </w:r>
      <w:r>
        <w:rPr>
          <w:rFonts w:hint="eastAsia" w:asciiTheme="minorEastAsia" w:hAnsiTheme="minorEastAsia"/>
          <w:color w:val="auto"/>
          <w:szCs w:val="21"/>
        </w:rPr>
        <w:t>________________</w:t>
      </w:r>
      <w:r>
        <w:rPr>
          <w:rFonts w:ascii="宋体" w:hAnsi="宋体"/>
          <w:color w:val="auto"/>
          <w:szCs w:val="21"/>
        </w:rPr>
        <w:t>（</w:t>
      </w:r>
      <w:r>
        <w:rPr>
          <w:rFonts w:hint="eastAsia" w:ascii="宋体" w:hAnsi="宋体"/>
          <w:color w:val="auto"/>
          <w:szCs w:val="21"/>
        </w:rPr>
        <w:t>项目经理姓名）为本项目的项目负责人。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7.我方的金额为人民币_____________元的投标保证金以_____________形式与本资格审查申请书同时递交。</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网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传     真：__________________________________________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pStyle w:val="4"/>
        <w:rPr>
          <w:color w:val="auto"/>
        </w:rPr>
      </w:pPr>
      <w:bookmarkStart w:id="1168" w:name="_Toc511636063"/>
      <w:bookmarkStart w:id="1169" w:name="_Toc516816203"/>
      <w:bookmarkStart w:id="1170" w:name="_Toc516816392"/>
      <w:bookmarkStart w:id="1171" w:name="_Toc515441200"/>
      <w:r>
        <w:rPr>
          <w:rFonts w:hint="eastAsia"/>
          <w:color w:val="auto"/>
        </w:rPr>
        <w:t>二、投标人基本情况表</w:t>
      </w:r>
      <w:bookmarkEnd w:id="1168"/>
      <w:r>
        <w:rPr>
          <w:rFonts w:hint="eastAsia"/>
          <w:color w:val="auto"/>
        </w:rPr>
        <w:t>（格式）</w:t>
      </w:r>
      <w:bookmarkEnd w:id="1169"/>
      <w:bookmarkEnd w:id="1170"/>
      <w:bookmarkEnd w:id="1171"/>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投标人基本情况表</w:t>
      </w:r>
    </w:p>
    <w:p>
      <w:pPr>
        <w:widowControl/>
        <w:shd w:val="clear" w:color="auto" w:fill="FFFFFF"/>
        <w:snapToGrid w:val="0"/>
        <w:jc w:val="left"/>
        <w:rPr>
          <w:rFonts w:asciiTheme="minorEastAsia" w:hAnsiTheme="minorEastAsia"/>
          <w:b/>
          <w:color w:val="auto"/>
          <w:szCs w:val="21"/>
        </w:rPr>
      </w:pPr>
    </w:p>
    <w:tbl>
      <w:tblPr>
        <w:tblStyle w:val="40"/>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5"/>
        <w:gridCol w:w="992"/>
        <w:gridCol w:w="1134"/>
        <w:gridCol w:w="1134"/>
        <w:gridCol w:w="567"/>
        <w:gridCol w:w="567"/>
        <w:gridCol w:w="992"/>
        <w:gridCol w:w="142"/>
        <w:gridCol w:w="1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投标人名称</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注册地址</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邮政编码</w:t>
            </w:r>
          </w:p>
        </w:tc>
        <w:tc>
          <w:tcPr>
            <w:tcW w:w="2573" w:type="dxa"/>
            <w:gridSpan w:val="3"/>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9" w:hRule="atLeast"/>
        </w:trPr>
        <w:tc>
          <w:tcPr>
            <w:tcW w:w="1985" w:type="dxa"/>
            <w:vMerge w:val="restart"/>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联系方式</w:t>
            </w:r>
          </w:p>
        </w:tc>
        <w:tc>
          <w:tcPr>
            <w:tcW w:w="992" w:type="dxa"/>
            <w:tcBorders>
              <w:bottom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联系人</w:t>
            </w:r>
          </w:p>
        </w:tc>
        <w:tc>
          <w:tcPr>
            <w:tcW w:w="2268" w:type="dxa"/>
            <w:gridSpan w:val="2"/>
            <w:tcBorders>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2573" w:type="dxa"/>
            <w:gridSpan w:val="3"/>
            <w:tcBorders>
              <w:left w:val="single" w:color="auto" w:sz="4" w:space="0"/>
              <w:bottom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1985" w:type="dxa"/>
            <w:vMerge w:val="continue"/>
            <w:vAlign w:val="center"/>
          </w:tcPr>
          <w:p>
            <w:pPr>
              <w:widowControl/>
              <w:spacing w:line="360" w:lineRule="auto"/>
              <w:jc w:val="center"/>
              <w:rPr>
                <w:rFonts w:asciiTheme="minorEastAsia" w:hAnsiTheme="minorEastAsia"/>
                <w:color w:val="auto"/>
                <w:szCs w:val="21"/>
              </w:rPr>
            </w:pPr>
          </w:p>
        </w:tc>
        <w:tc>
          <w:tcPr>
            <w:tcW w:w="992" w:type="dxa"/>
            <w:tcBorders>
              <w:top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传  真</w:t>
            </w:r>
          </w:p>
        </w:tc>
        <w:tc>
          <w:tcPr>
            <w:tcW w:w="2268" w:type="dxa"/>
            <w:gridSpan w:val="2"/>
            <w:tcBorders>
              <w:top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网址</w:t>
            </w:r>
          </w:p>
        </w:tc>
        <w:tc>
          <w:tcPr>
            <w:tcW w:w="2573" w:type="dxa"/>
            <w:gridSpan w:val="3"/>
            <w:tcBorders>
              <w:top w:val="single" w:color="auto" w:sz="4" w:space="0"/>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法定代表人</w:t>
            </w:r>
          </w:p>
        </w:tc>
        <w:tc>
          <w:tcPr>
            <w:tcW w:w="992"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技术负责人</w:t>
            </w:r>
          </w:p>
        </w:tc>
        <w:tc>
          <w:tcPr>
            <w:tcW w:w="992"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成立日期</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3707" w:type="dxa"/>
            <w:gridSpan w:val="5"/>
            <w:tcBorders>
              <w:left w:val="single" w:color="auto" w:sz="4" w:space="0"/>
            </w:tcBorders>
            <w:vAlign w:val="center"/>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营业执照号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其</w:t>
            </w:r>
          </w:p>
          <w:p>
            <w:pPr>
              <w:spacing w:line="360" w:lineRule="auto"/>
              <w:jc w:val="center"/>
              <w:rPr>
                <w:rFonts w:asciiTheme="minorEastAsia" w:hAnsiTheme="minorEastAsia"/>
                <w:color w:val="auto"/>
                <w:szCs w:val="21"/>
              </w:rPr>
            </w:pPr>
            <w:r>
              <w:rPr>
                <w:rFonts w:hint="eastAsia" w:asciiTheme="minorEastAsia" w:hAnsiTheme="minorEastAsia"/>
                <w:color w:val="auto"/>
                <w:szCs w:val="21"/>
              </w:rPr>
              <w:t>中</w:t>
            </w: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项目经理</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资质等级</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高级职称人员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安全生产许可证号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中级职称人员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注册资本</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技术人员数量</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基本账户开户银行</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技工</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基本账户银行账号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经营范围</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投标人关联企业情况（包括但不限于与投标人法定代表人为同一人或者存在控股、管理关系的不同单位）</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6967" w:type="dxa"/>
            <w:gridSpan w:val="8"/>
            <w:vAlign w:val="center"/>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在本表后附投标人营业执照和组织机构代码证（按照“三证合一”或“五证合一”登记制度进行登记的，可仅提供营业执照）、投标人资质证书副本和安全生产许可证等材料的扫描件；2、本表及扫描件盖单位章。</w:t>
      </w:r>
    </w:p>
    <w:p>
      <w:pPr>
        <w:pStyle w:val="4"/>
        <w:rPr>
          <w:color w:val="auto"/>
        </w:rPr>
      </w:pPr>
      <w:bookmarkStart w:id="1172" w:name="_Toc511636064"/>
      <w:bookmarkStart w:id="1173" w:name="_Toc516816393"/>
      <w:bookmarkStart w:id="1174" w:name="_Toc516816204"/>
      <w:bookmarkStart w:id="1175" w:name="_Toc515441201"/>
      <w:r>
        <w:rPr>
          <w:rFonts w:hint="eastAsia"/>
          <w:color w:val="auto"/>
        </w:rPr>
        <w:t>三、法定代表人身份证明（适用于无委托代理人的情况）</w:t>
      </w:r>
      <w:bookmarkEnd w:id="1172"/>
      <w:r>
        <w:rPr>
          <w:rFonts w:hint="eastAsia"/>
          <w:color w:val="auto"/>
        </w:rPr>
        <w:t>（格式）</w:t>
      </w:r>
      <w:bookmarkEnd w:id="1173"/>
      <w:bookmarkEnd w:id="1174"/>
      <w:bookmarkEnd w:id="1175"/>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法定代表人身份证明</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投标人名称：_____________________</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姓名：________________性别：__________年龄：________身份证号码：____________________职务：________________________系_______________________（投标人名称）的法定代表人。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特此证明。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注：在本证明后附法定代表人身份证扫描件，扫描件盖单位章。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4"/>
        <w:rPr>
          <w:color w:val="auto"/>
        </w:rPr>
      </w:pPr>
      <w:bookmarkStart w:id="1176" w:name="_Toc511636065"/>
      <w:bookmarkStart w:id="1177" w:name="_Toc516816394"/>
      <w:bookmarkStart w:id="1178" w:name="_Toc515441202"/>
      <w:bookmarkStart w:id="1179" w:name="_Toc516816205"/>
      <w:r>
        <w:rPr>
          <w:rFonts w:hint="eastAsia"/>
          <w:color w:val="auto"/>
        </w:rPr>
        <w:t>四、授权委托书（适用于有委托代理人的情况）</w:t>
      </w:r>
      <w:bookmarkEnd w:id="1176"/>
      <w:r>
        <w:rPr>
          <w:rFonts w:hint="eastAsia"/>
          <w:color w:val="auto"/>
        </w:rPr>
        <w:t>（格式）</w:t>
      </w:r>
      <w:bookmarkEnd w:id="1177"/>
      <w:bookmarkEnd w:id="1178"/>
      <w:bookmarkEnd w:id="1179"/>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授权委托书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本人___________（姓名）系__________________________（投标人名称）的法定代表人，现委托_______________（姓名）为我方代理人。代理人根据授权，以我方名义签署、澄清确认、递交、撤回、修改___________</w:t>
      </w:r>
      <w:r>
        <w:rPr>
          <w:color w:val="auto"/>
          <w:szCs w:val="21"/>
        </w:rPr>
        <w:t>（项目名称）</w:t>
      </w:r>
      <w:r>
        <w:rPr>
          <w:rFonts w:hint="eastAsia" w:asciiTheme="minorEastAsia" w:hAnsiTheme="minorEastAsia"/>
          <w:color w:val="auto"/>
          <w:szCs w:val="21"/>
        </w:rPr>
        <w:t>___________</w:t>
      </w:r>
      <w:r>
        <w:rPr>
          <w:rFonts w:hint="eastAsia"/>
          <w:color w:val="auto"/>
          <w:szCs w:val="21"/>
        </w:rPr>
        <w:t>（</w:t>
      </w:r>
      <w:r>
        <w:rPr>
          <w:color w:val="auto"/>
          <w:szCs w:val="21"/>
        </w:rPr>
        <w:t>标段</w:t>
      </w:r>
      <w:r>
        <w:rPr>
          <w:rFonts w:hint="eastAsia"/>
          <w:color w:val="auto"/>
          <w:szCs w:val="21"/>
        </w:rPr>
        <w:t>名称）施工</w:t>
      </w:r>
      <w:r>
        <w:rPr>
          <w:rFonts w:hint="eastAsia" w:asciiTheme="minorEastAsia" w:hAnsiTheme="minorEastAsia"/>
          <w:color w:val="auto"/>
          <w:szCs w:val="21"/>
        </w:rPr>
        <w:t>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委托期限：_____________________。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代理人无转委托权。</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注：在本委托书后附法定代表人及委托代理人身份证扫描件，扫描件盖单位章。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身份证号码：_____________________________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委托代理人：_____________________（签字）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身份证号码：_____________________________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_________年_______月_______ 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180" w:name="_Toc511636066"/>
      <w:bookmarkStart w:id="1181" w:name="_Toc515441203"/>
      <w:bookmarkStart w:id="1182" w:name="_Toc516816395"/>
      <w:bookmarkStart w:id="1183" w:name="_Toc516816206"/>
      <w:r>
        <w:rPr>
          <w:rFonts w:hint="eastAsia"/>
          <w:color w:val="auto"/>
        </w:rPr>
        <w:t>五、联合体协议书（适用于联合体的情况）</w:t>
      </w:r>
      <w:bookmarkEnd w:id="1180"/>
      <w:r>
        <w:rPr>
          <w:rFonts w:hint="eastAsia"/>
          <w:color w:val="auto"/>
        </w:rPr>
        <w:t>（格式）</w:t>
      </w:r>
      <w:bookmarkEnd w:id="1181"/>
      <w:bookmarkEnd w:id="1182"/>
      <w:bookmarkEnd w:id="1183"/>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联合体协议书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______________（所有成员单位名称）自愿组成____________（联合体名称）联合体，共同参加___________</w:t>
      </w:r>
      <w:r>
        <w:rPr>
          <w:color w:val="auto"/>
          <w:szCs w:val="21"/>
        </w:rPr>
        <w:t>（项目名称）</w:t>
      </w:r>
      <w:r>
        <w:rPr>
          <w:rFonts w:hint="eastAsia" w:asciiTheme="minorEastAsia" w:hAnsiTheme="minorEastAsia"/>
          <w:color w:val="auto"/>
          <w:szCs w:val="21"/>
        </w:rPr>
        <w:t>___________</w:t>
      </w:r>
      <w:r>
        <w:rPr>
          <w:rFonts w:hint="eastAsia"/>
          <w:color w:val="auto"/>
          <w:szCs w:val="21"/>
        </w:rPr>
        <w:t>（</w:t>
      </w:r>
      <w:r>
        <w:rPr>
          <w:color w:val="auto"/>
          <w:szCs w:val="21"/>
        </w:rPr>
        <w:t>标段</w:t>
      </w:r>
      <w:r>
        <w:rPr>
          <w:rFonts w:hint="eastAsia"/>
          <w:color w:val="auto"/>
          <w:szCs w:val="21"/>
        </w:rPr>
        <w:t>名称）施工</w:t>
      </w:r>
      <w:r>
        <w:rPr>
          <w:rFonts w:hint="eastAsia" w:asciiTheme="minorEastAsia" w:hAnsiTheme="minorEastAsia"/>
          <w:color w:val="auto"/>
          <w:szCs w:val="21"/>
        </w:rPr>
        <w:t>招标项目投标。现就联合体投标事宜订立如下协议。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 本协议书自所有成员单位法定代表人或其委托代理人签字，并盖单位章之日起生效，合同履行完毕后自动失效。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_________年_____月_____日</w:t>
      </w:r>
    </w:p>
    <w:p>
      <w:pPr>
        <w:pStyle w:val="4"/>
        <w:rPr>
          <w:color w:val="auto"/>
        </w:rPr>
      </w:pPr>
      <w:bookmarkStart w:id="1184" w:name="_Toc511636067"/>
      <w:bookmarkStart w:id="1185" w:name="_Toc515441204"/>
      <w:bookmarkStart w:id="1186" w:name="_Toc516816396"/>
      <w:bookmarkStart w:id="1187" w:name="_Toc516816207"/>
      <w:r>
        <w:rPr>
          <w:rFonts w:hint="eastAsia"/>
          <w:color w:val="auto"/>
        </w:rPr>
        <w:t>六、投标保证金</w:t>
      </w:r>
      <w:bookmarkEnd w:id="1184"/>
      <w:r>
        <w:rPr>
          <w:rFonts w:hint="eastAsia"/>
          <w:color w:val="auto"/>
        </w:rPr>
        <w:t>（格式）</w:t>
      </w:r>
      <w:bookmarkEnd w:id="1185"/>
      <w:bookmarkEnd w:id="1186"/>
      <w:bookmarkEnd w:id="11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如采用现金或支票，投标人应在此提供凭证的扫描件，中国境内投标人还应在此提供基本账户开户许可证扫描件，扫描件盖单位章；如采用银行保函，格式如下。</w:t>
      </w:r>
    </w:p>
    <w:p>
      <w:pPr>
        <w:widowControl/>
        <w:shd w:val="clear" w:color="auto" w:fill="FFFFFF"/>
        <w:snapToGrid w:val="0"/>
        <w:jc w:val="left"/>
        <w:rPr>
          <w:rFonts w:asciiTheme="minorEastAsia" w:hAnsiTheme="minorEastAsia"/>
          <w:b/>
          <w:color w:val="auto"/>
          <w:sz w:val="28"/>
          <w:szCs w:val="28"/>
        </w:rPr>
      </w:pPr>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投标保证金</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鉴于________________（投标人名称）（以下称“投标人”）于_______年______月______日参加___________</w:t>
      </w:r>
      <w:r>
        <w:rPr>
          <w:color w:val="auto"/>
          <w:szCs w:val="21"/>
        </w:rPr>
        <w:t>（项目名称）</w:t>
      </w:r>
      <w:r>
        <w:rPr>
          <w:rFonts w:hint="eastAsia" w:asciiTheme="minorEastAsia" w:hAnsiTheme="minorEastAsia"/>
          <w:color w:val="auto"/>
          <w:szCs w:val="21"/>
        </w:rPr>
        <w:t>___________</w:t>
      </w:r>
      <w:r>
        <w:rPr>
          <w:rFonts w:hint="eastAsia"/>
          <w:color w:val="auto"/>
          <w:szCs w:val="21"/>
        </w:rPr>
        <w:t>（</w:t>
      </w:r>
      <w:r>
        <w:rPr>
          <w:color w:val="auto"/>
          <w:szCs w:val="21"/>
        </w:rPr>
        <w:t>标段</w:t>
      </w:r>
      <w:r>
        <w:rPr>
          <w:rFonts w:hint="eastAsia"/>
          <w:color w:val="auto"/>
          <w:szCs w:val="21"/>
        </w:rPr>
        <w:t>名称）施工</w:t>
      </w:r>
      <w:r>
        <w:rPr>
          <w:rFonts w:hint="eastAsia" w:asciiTheme="minorEastAsia" w:hAnsiTheme="minorEastAsia"/>
          <w:color w:val="auto"/>
          <w:szCs w:val="21"/>
        </w:rPr>
        <w:t>招标的投标，_________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本保函在投标有效期内保持有效。要求我方承担保证责任的通知应在投标有效期内送达我方。</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担保人名称：______________________________（盖单位章）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法定代表人或委托代理人：________（签字）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4"/>
        <w:rPr>
          <w:color w:val="auto"/>
        </w:rPr>
      </w:pPr>
      <w:bookmarkStart w:id="1188" w:name="_Toc511636068"/>
      <w:bookmarkStart w:id="1189" w:name="_Toc516816208"/>
      <w:bookmarkStart w:id="1190" w:name="_Toc515441205"/>
      <w:bookmarkStart w:id="1191" w:name="_Toc516816397"/>
      <w:r>
        <w:rPr>
          <w:rFonts w:hint="eastAsia"/>
          <w:color w:val="auto"/>
        </w:rPr>
        <w:t>七、近年财务状况表</w:t>
      </w:r>
      <w:bookmarkEnd w:id="1188"/>
      <w:r>
        <w:rPr>
          <w:rFonts w:hint="eastAsia"/>
          <w:color w:val="auto"/>
        </w:rPr>
        <w:t>（格式）</w:t>
      </w:r>
      <w:bookmarkEnd w:id="1189"/>
      <w:bookmarkEnd w:id="1190"/>
      <w:bookmarkEnd w:id="1191"/>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近年财务状况表</w:t>
      </w:r>
    </w:p>
    <w:p>
      <w:pPr>
        <w:widowControl/>
        <w:shd w:val="clear" w:color="auto" w:fill="FFFFFF"/>
        <w:snapToGrid w:val="0"/>
        <w:ind w:firstLine="420" w:firstLineChars="200"/>
        <w:jc w:val="left"/>
        <w:rPr>
          <w:rFonts w:asciiTheme="minorEastAsia" w:hAnsiTheme="minorEastAsia"/>
          <w:color w:val="auto"/>
          <w:szCs w:val="21"/>
        </w:rPr>
      </w:pPr>
    </w:p>
    <w:tbl>
      <w:tblPr>
        <w:tblStyle w:val="40"/>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名   称</w:t>
            </w:r>
          </w:p>
        </w:tc>
        <w:tc>
          <w:tcPr>
            <w:tcW w:w="121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单位</w:t>
            </w:r>
          </w:p>
        </w:tc>
        <w:tc>
          <w:tcPr>
            <w:tcW w:w="134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417"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418"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70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一、注册资金</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二、净资产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三、总资产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四、固定资产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五、流动资产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六、流动负债</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七、负债合计</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八、营业收入</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九、净利润</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在本表后附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192" w:name="_Toc511636069"/>
      <w:bookmarkStart w:id="1193" w:name="_Toc516816398"/>
      <w:bookmarkStart w:id="1194" w:name="_Toc515441206"/>
      <w:bookmarkStart w:id="1195" w:name="_Toc516816209"/>
      <w:r>
        <w:rPr>
          <w:rFonts w:hint="eastAsia"/>
          <w:color w:val="auto"/>
        </w:rPr>
        <w:t>八、近年完成的类似项目情况表</w:t>
      </w:r>
      <w:bookmarkEnd w:id="1192"/>
      <w:r>
        <w:rPr>
          <w:rFonts w:hint="eastAsia"/>
          <w:color w:val="auto"/>
        </w:rPr>
        <w:t>（格式）</w:t>
      </w:r>
      <w:bookmarkEnd w:id="1193"/>
      <w:bookmarkEnd w:id="1194"/>
      <w:bookmarkEnd w:id="1195"/>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近年完成的类似项目情况表</w:t>
      </w:r>
    </w:p>
    <w:p>
      <w:pPr>
        <w:widowControl/>
        <w:shd w:val="clear" w:color="auto" w:fill="FFFFFF"/>
        <w:snapToGrid w:val="0"/>
        <w:ind w:firstLine="420" w:firstLineChars="200"/>
        <w:jc w:val="left"/>
        <w:rPr>
          <w:rFonts w:asciiTheme="minorEastAsia" w:hAnsiTheme="minorEastAsia"/>
          <w:color w:val="auto"/>
          <w:szCs w:val="21"/>
        </w:rPr>
      </w:pPr>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61"/>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合同名称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合同项目所在地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发包人名称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发包人地址</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发包人电话</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签约合同价</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实际开工日期</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实际完工日期</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承担的工作</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工程质量</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项目经理</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技术负责人</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监理人和总监理工程师以及电话</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3261"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合同项目描述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5528" w:type="dxa"/>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合同项目描述内容至少包括项目概况，本合同在项目中的地位（部位、合同价格所占比例），合同工程完工或竣工验收结论。</w:t>
            </w: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须知前附表第1.4.1项有具体业绩要求的，业绩证明材料应按具体要求在本表后附合同协议书、发包人出具的证明文件扫描件，具体时间要求见投标人须知前附表第3.5.3项，每张表格只填写一个项目，并标明序号（投标人须知前附表第1.4.1项无具体业绩要求的，无须在本表后附相关业绩证明材料）；2、本表及扫描件盖单位章。</w:t>
      </w:r>
    </w:p>
    <w:p>
      <w:pPr>
        <w:pStyle w:val="4"/>
        <w:rPr>
          <w:color w:val="auto"/>
        </w:rPr>
      </w:pPr>
      <w:bookmarkStart w:id="1196" w:name="_Toc511636070"/>
      <w:bookmarkStart w:id="1197" w:name="_Toc516816399"/>
      <w:bookmarkStart w:id="1198" w:name="_Toc516816210"/>
      <w:bookmarkStart w:id="1199" w:name="_Toc515441207"/>
      <w:r>
        <w:rPr>
          <w:rFonts w:hint="eastAsia"/>
          <w:color w:val="auto"/>
        </w:rPr>
        <w:t>九、正在施工和新承接的项目情况表</w:t>
      </w:r>
      <w:bookmarkEnd w:id="1196"/>
      <w:r>
        <w:rPr>
          <w:rFonts w:hint="eastAsia"/>
          <w:color w:val="auto"/>
        </w:rPr>
        <w:t>（格式）</w:t>
      </w:r>
      <w:bookmarkEnd w:id="1197"/>
      <w:bookmarkEnd w:id="1198"/>
      <w:bookmarkEnd w:id="1199"/>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正在施工和新承接的项目情况表</w:t>
      </w:r>
    </w:p>
    <w:p>
      <w:pPr>
        <w:widowControl/>
        <w:shd w:val="clear" w:color="auto" w:fill="FFFFFF"/>
        <w:snapToGrid w:val="0"/>
        <w:ind w:firstLine="420" w:firstLineChars="200"/>
        <w:jc w:val="left"/>
        <w:rPr>
          <w:rFonts w:asciiTheme="minorEastAsia" w:hAnsiTheme="minorEastAsia"/>
          <w:color w:val="auto"/>
          <w:szCs w:val="21"/>
        </w:rPr>
      </w:pPr>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61"/>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合同名称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合同项目所在地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发包人名称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发包人地址</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发包人电话</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签约合同价</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合同开工日期</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合同完工日期</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承担的工作</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项目经理</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技术负责人</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监理人和总监理工程师以及电话</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3261"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合同项目描述</w:t>
            </w:r>
          </w:p>
        </w:tc>
        <w:tc>
          <w:tcPr>
            <w:tcW w:w="5528"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61"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5528" w:type="dxa"/>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合同项目描述内容至少包括项目概况，本合同在项目中的地位（部位、合同价格所占比例）。</w:t>
            </w: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注：1、投标人每张表格只填写一个项目，并标明序号，无须在本表后附相关证明材料；2、本表盖单位章。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00" w:name="_Toc511636071"/>
      <w:bookmarkStart w:id="1201" w:name="_Toc515441208"/>
      <w:bookmarkStart w:id="1202" w:name="_Toc516816211"/>
      <w:bookmarkStart w:id="1203" w:name="_Toc516816400"/>
      <w:r>
        <w:rPr>
          <w:rFonts w:hint="eastAsia"/>
          <w:color w:val="auto"/>
        </w:rPr>
        <w:t>十、近年发生的诉讼及仲裁情况</w:t>
      </w:r>
      <w:bookmarkEnd w:id="1200"/>
      <w:r>
        <w:rPr>
          <w:rFonts w:hint="eastAsia"/>
          <w:color w:val="auto"/>
        </w:rPr>
        <w:t>（格式）</w:t>
      </w:r>
      <w:bookmarkEnd w:id="1201"/>
      <w:bookmarkEnd w:id="1202"/>
      <w:bookmarkEnd w:id="1203"/>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近年发生的诉讼及仲裁情况</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注：1、投标人应说明投标人败诉的施工合同的相关情况，并附法院或仲裁机构作出的判决、裁决等有关法律文书扫描件，具体时间要求见投标人须知前附表第3.5.5项；2、本说明及扫描件盖单位章。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04" w:name="_Toc511636072"/>
      <w:bookmarkStart w:id="1205" w:name="_Toc516816401"/>
      <w:bookmarkStart w:id="1206" w:name="_Toc516816212"/>
      <w:bookmarkStart w:id="1207" w:name="_Toc515441209"/>
      <w:r>
        <w:rPr>
          <w:rFonts w:hint="eastAsia"/>
          <w:color w:val="auto"/>
        </w:rPr>
        <w:t>十一、拟委任的主要人员汇总表</w:t>
      </w:r>
      <w:bookmarkEnd w:id="1204"/>
      <w:r>
        <w:rPr>
          <w:rFonts w:hint="eastAsia"/>
          <w:color w:val="auto"/>
        </w:rPr>
        <w:t>（格式）</w:t>
      </w:r>
      <w:bookmarkEnd w:id="1205"/>
      <w:bookmarkEnd w:id="1206"/>
      <w:bookmarkEnd w:id="1207"/>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拟委任的主要人员汇总表</w:t>
      </w:r>
    </w:p>
    <w:p>
      <w:pPr>
        <w:widowControl/>
        <w:shd w:val="clear" w:color="auto" w:fill="FFFFFF"/>
        <w:snapToGrid w:val="0"/>
        <w:ind w:firstLine="420" w:firstLineChars="200"/>
        <w:jc w:val="left"/>
        <w:rPr>
          <w:rFonts w:asciiTheme="minorEastAsia" w:hAnsiTheme="minorEastAsia"/>
          <w:color w:val="auto"/>
          <w:szCs w:val="21"/>
        </w:rPr>
      </w:pPr>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851"/>
        <w:gridCol w:w="992"/>
        <w:gridCol w:w="1276"/>
        <w:gridCol w:w="992"/>
        <w:gridCol w:w="99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0" w:hRule="atLeast"/>
        </w:trPr>
        <w:tc>
          <w:tcPr>
            <w:tcW w:w="709" w:type="dxa"/>
            <w:vMerge w:val="restart"/>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序号</w:t>
            </w:r>
          </w:p>
        </w:tc>
        <w:tc>
          <w:tcPr>
            <w:tcW w:w="1276" w:type="dxa"/>
            <w:vMerge w:val="restart"/>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本项目任职</w:t>
            </w:r>
          </w:p>
        </w:tc>
        <w:tc>
          <w:tcPr>
            <w:tcW w:w="850"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851"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职称</w:t>
            </w:r>
          </w:p>
        </w:tc>
        <w:tc>
          <w:tcPr>
            <w:tcW w:w="992"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专业</w:t>
            </w:r>
          </w:p>
        </w:tc>
        <w:tc>
          <w:tcPr>
            <w:tcW w:w="3260" w:type="dxa"/>
            <w:gridSpan w:val="3"/>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执业或职业资格证明</w:t>
            </w:r>
          </w:p>
        </w:tc>
        <w:tc>
          <w:tcPr>
            <w:tcW w:w="851" w:type="dxa"/>
            <w:tcBorders>
              <w:left w:val="single" w:color="auto" w:sz="4" w:space="0"/>
              <w:bottom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709" w:type="dxa"/>
            <w:vMerge w:val="continue"/>
            <w:vAlign w:val="center"/>
          </w:tcPr>
          <w:p>
            <w:pPr>
              <w:widowControl/>
              <w:spacing w:line="360" w:lineRule="auto"/>
              <w:jc w:val="center"/>
              <w:rPr>
                <w:rFonts w:asciiTheme="minorEastAsia" w:hAnsiTheme="minorEastAsia"/>
                <w:color w:val="auto"/>
                <w:szCs w:val="21"/>
              </w:rPr>
            </w:pPr>
          </w:p>
        </w:tc>
        <w:tc>
          <w:tcPr>
            <w:tcW w:w="1276" w:type="dxa"/>
            <w:vMerge w:val="continue"/>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85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85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992"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证书名称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级别</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证号</w:t>
            </w:r>
          </w:p>
        </w:tc>
        <w:tc>
          <w:tcPr>
            <w:tcW w:w="851" w:type="dxa"/>
            <w:tcBorders>
              <w:top w:val="single" w:color="auto" w:sz="4" w:space="0"/>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08" w:name="_Toc511636073"/>
      <w:bookmarkStart w:id="1209" w:name="_Toc516816213"/>
      <w:bookmarkStart w:id="1210" w:name="_Toc516816402"/>
      <w:bookmarkStart w:id="1211" w:name="_Toc515441210"/>
      <w:r>
        <w:rPr>
          <w:rFonts w:hint="eastAsia"/>
          <w:color w:val="auto"/>
        </w:rPr>
        <w:t>十二、主要人员简历表</w:t>
      </w:r>
      <w:bookmarkEnd w:id="1208"/>
      <w:r>
        <w:rPr>
          <w:rFonts w:hint="eastAsia"/>
          <w:color w:val="auto"/>
        </w:rPr>
        <w:t>（格式）</w:t>
      </w:r>
      <w:bookmarkEnd w:id="1209"/>
      <w:bookmarkEnd w:id="1210"/>
      <w:bookmarkEnd w:id="1211"/>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主要人员简历表</w:t>
      </w:r>
    </w:p>
    <w:p>
      <w:pPr>
        <w:widowControl/>
        <w:shd w:val="clear" w:color="auto" w:fill="FFFFFF"/>
        <w:snapToGrid w:val="0"/>
        <w:ind w:firstLine="420" w:firstLineChars="200"/>
        <w:jc w:val="left"/>
        <w:rPr>
          <w:rFonts w:asciiTheme="minorEastAsia" w:hAnsiTheme="minorEastAsia"/>
          <w:color w:val="auto"/>
          <w:szCs w:val="21"/>
        </w:rPr>
      </w:pPr>
    </w:p>
    <w:tbl>
      <w:tblPr>
        <w:tblStyle w:val="40"/>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执业资格证书（或上岗</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学历</w:t>
            </w: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从事施工工作年限</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毕业学校</w:t>
            </w:r>
          </w:p>
        </w:tc>
        <w:tc>
          <w:tcPr>
            <w:tcW w:w="7655" w:type="dxa"/>
            <w:gridSpan w:val="8"/>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789" w:type="dxa"/>
            <w:gridSpan w:val="9"/>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委托人及联系电话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填报满足投标人须知前附表第1.4.1项规定的项目经理和其他主要人员的相关信息。“主要人员简历表”中项目经理应附身份证、学历证、职称证、注册建造师执业证书和社保缴费证明扫描件；其他主要人员应附身份证、学历证、职称证、有关证书和社保缴费证明复印件相关证明材料扫描件；投标人须知前附表第1.4.1项有具体业绩要求的，业绩证明材料应按具体要求附扫描件（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12" w:name="_Toc511636074"/>
      <w:bookmarkStart w:id="1213" w:name="_Toc516816403"/>
      <w:bookmarkStart w:id="1214" w:name="_Toc516816214"/>
      <w:bookmarkStart w:id="1215" w:name="_Toc515441211"/>
      <w:r>
        <w:rPr>
          <w:rFonts w:hint="eastAsia"/>
          <w:color w:val="auto"/>
        </w:rPr>
        <w:t>十三、项目机构派驻现场施工人员到位承诺书</w:t>
      </w:r>
      <w:bookmarkEnd w:id="1212"/>
      <w:r>
        <w:rPr>
          <w:rFonts w:hint="eastAsia"/>
          <w:color w:val="auto"/>
        </w:rPr>
        <w:t>（格式）</w:t>
      </w:r>
      <w:bookmarkEnd w:id="1213"/>
      <w:bookmarkEnd w:id="1214"/>
      <w:bookmarkEnd w:id="1215"/>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项目机构派驻现场施工人员到位承诺书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本人________（姓名）系_______________（投标人名称）的法定代表人，现承诺:我单位在本项目</w:t>
      </w:r>
      <w:r>
        <w:rPr>
          <w:rFonts w:hint="eastAsia"/>
          <w:color w:val="auto"/>
          <w:szCs w:val="21"/>
        </w:rPr>
        <w:t>中标后，按照招标文件承诺</w:t>
      </w:r>
      <w:r>
        <w:rPr>
          <w:rFonts w:hint="eastAsia" w:asciiTheme="minorEastAsia" w:hAnsiTheme="minorEastAsia"/>
          <w:color w:val="auto"/>
          <w:szCs w:val="21"/>
        </w:rPr>
        <w:t>派出的本项目的项目经理、项目技术负责人、施工员、质检员以及安全员，在本项目施工期内按照合同的约定到项目现场承担本项目的施工工作。若不能按投标文件承诺的项目机构派驻现场施工人员到位的，愿意无条件地接受招标人作出的以下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1、招标人按照本招标文件和施工合同约定所进行的处罚；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2、招标人有权解除合同并按违约追究我方责任。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特此承诺。</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16" w:name="_Toc511636075"/>
      <w:bookmarkStart w:id="1217" w:name="_Toc516816404"/>
      <w:bookmarkStart w:id="1218" w:name="_Toc515441212"/>
      <w:bookmarkStart w:id="1219" w:name="_Toc516816215"/>
      <w:r>
        <w:rPr>
          <w:rFonts w:hint="eastAsia"/>
          <w:color w:val="auto"/>
        </w:rPr>
        <w:t>十四、不拖欠农民工工资承诺书</w:t>
      </w:r>
      <w:bookmarkEnd w:id="1216"/>
      <w:r>
        <w:rPr>
          <w:rFonts w:hint="eastAsia"/>
          <w:color w:val="auto"/>
        </w:rPr>
        <w:t>（格式）</w:t>
      </w:r>
      <w:bookmarkEnd w:id="1217"/>
      <w:bookmarkEnd w:id="1218"/>
      <w:bookmarkEnd w:id="1219"/>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不拖欠农民工工资承诺书</w:t>
      </w:r>
    </w:p>
    <w:p>
      <w:pPr>
        <w:widowControl/>
        <w:shd w:val="clear" w:color="auto" w:fill="FFFFFF"/>
        <w:snapToGrid w:val="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本人________（姓名）系_______________（投标人名称）的法定代表人，现承诺:我单位在本项目</w:t>
      </w:r>
      <w:r>
        <w:rPr>
          <w:rFonts w:hint="eastAsia"/>
          <w:color w:val="auto"/>
          <w:szCs w:val="21"/>
        </w:rPr>
        <w:t>中标后，</w:t>
      </w:r>
      <w:r>
        <w:rPr>
          <w:rFonts w:hint="eastAsia" w:asciiTheme="minorEastAsia" w:hAnsiTheme="minorEastAsia"/>
          <w:color w:val="auto"/>
          <w:szCs w:val="21"/>
        </w:rPr>
        <w:t>将积极响应国务院、建设部（及所属行政主管部门）有关认真落实解决拖欠农民工工资的精神，执行有关规定，按照《建设领域农民工工资支付管理暂行办法》等，保证及时定额支付农民工工资，不以任何理由拖欠。如违反承诺，该行为可作为不良记录，并受到相应惩戒。</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特此承诺。</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20" w:name="_Toc511636076"/>
      <w:bookmarkStart w:id="1221" w:name="_Toc516816405"/>
      <w:bookmarkStart w:id="1222" w:name="_Toc516816216"/>
      <w:bookmarkStart w:id="1223" w:name="_Toc515441213"/>
      <w:r>
        <w:rPr>
          <w:rFonts w:hint="eastAsia"/>
          <w:color w:val="auto"/>
        </w:rPr>
        <w:t>十五、投标人承诺书</w:t>
      </w:r>
      <w:bookmarkEnd w:id="1220"/>
      <w:r>
        <w:rPr>
          <w:rFonts w:hint="eastAsia"/>
          <w:color w:val="auto"/>
        </w:rPr>
        <w:t>（格式）</w:t>
      </w:r>
      <w:bookmarkEnd w:id="1221"/>
      <w:bookmarkEnd w:id="1222"/>
      <w:bookmarkEnd w:id="1223"/>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投标人承诺书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本人________（姓名）系_______________（投标人名称）的法定代表人，现承诺：我单位参加本项目的工程投标，将积极响应有关投标人承诺制的精神，按照招投标法律法规和有关规范性文件要求，保证所递交</w:t>
      </w:r>
      <w:r>
        <w:rPr>
          <w:rFonts w:hint="eastAsia" w:ascii="宋体" w:hAnsi="宋体"/>
          <w:color w:val="auto"/>
          <w:szCs w:val="21"/>
        </w:rPr>
        <w:t>的投标文件及有关资料内容完整、真实和准确，且不存在第二章“投标人须知”第1.4.3项规定的任何一种情形。</w:t>
      </w:r>
      <w:r>
        <w:rPr>
          <w:rFonts w:hint="eastAsia" w:asciiTheme="minorEastAsia" w:hAnsiTheme="minorEastAsia"/>
          <w:color w:val="auto"/>
          <w:szCs w:val="21"/>
        </w:rPr>
        <w:t>保证不出现转包、挂靠、虚假文件证明等违法违规行为。如违反承诺，我单位将接受招标人解除合同的处理，并按照本招标文件和施工合同承担违约责任。该违法行为可作为不良记录，并受到相应惩戒。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特此承诺。</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24" w:name="_Toc511636077"/>
      <w:bookmarkStart w:id="1225" w:name="_Toc515441214"/>
      <w:bookmarkStart w:id="1226" w:name="_Toc516816217"/>
      <w:bookmarkStart w:id="1227" w:name="_Toc516816406"/>
      <w:r>
        <w:rPr>
          <w:rFonts w:hint="eastAsia"/>
          <w:color w:val="auto"/>
        </w:rPr>
        <w:t>十六、</w:t>
      </w:r>
      <w:r>
        <w:rPr>
          <w:color w:val="auto"/>
        </w:rPr>
        <w:t>其他资格材料</w:t>
      </w:r>
      <w:r>
        <w:rPr>
          <w:rFonts w:hint="eastAsia"/>
          <w:color w:val="auto"/>
        </w:rPr>
        <w:t>（如有）</w:t>
      </w:r>
      <w:bookmarkEnd w:id="1224"/>
      <w:r>
        <w:rPr>
          <w:rFonts w:hint="eastAsia"/>
          <w:color w:val="auto"/>
        </w:rPr>
        <w:t>（格式）</w:t>
      </w:r>
      <w:bookmarkEnd w:id="1225"/>
      <w:bookmarkEnd w:id="1226"/>
      <w:bookmarkEnd w:id="1227"/>
    </w:p>
    <w:p>
      <w:pPr>
        <w:widowControl/>
        <w:shd w:val="clear" w:color="auto" w:fill="FFFFFF"/>
        <w:adjustRightInd w:val="0"/>
        <w:snapToGrid w:val="0"/>
        <w:jc w:val="center"/>
        <w:rPr>
          <w:rFonts w:asciiTheme="minorEastAsia" w:hAnsiTheme="minorEastAsia"/>
          <w:b/>
          <w:color w:val="auto"/>
          <w:sz w:val="36"/>
          <w:szCs w:val="36"/>
        </w:rPr>
      </w:pPr>
      <w:r>
        <w:rPr>
          <w:rFonts w:asciiTheme="minorEastAsia" w:hAnsiTheme="minorEastAsia"/>
          <w:b/>
          <w:color w:val="auto"/>
          <w:sz w:val="36"/>
          <w:szCs w:val="36"/>
        </w:rPr>
        <w:t>其他</w:t>
      </w:r>
      <w:r>
        <w:rPr>
          <w:rFonts w:hint="eastAsia" w:asciiTheme="minorEastAsia" w:hAnsiTheme="minorEastAsia"/>
          <w:b/>
          <w:color w:val="auto"/>
          <w:sz w:val="36"/>
          <w:szCs w:val="36"/>
        </w:rPr>
        <w:t>资格</w:t>
      </w:r>
      <w:r>
        <w:rPr>
          <w:rFonts w:asciiTheme="minorEastAsia" w:hAnsiTheme="minorEastAsia"/>
          <w:b/>
          <w:color w:val="auto"/>
          <w:sz w:val="36"/>
          <w:szCs w:val="36"/>
        </w:rPr>
        <w:t>材料</w:t>
      </w:r>
    </w:p>
    <w:p>
      <w:pPr>
        <w:widowControl/>
        <w:shd w:val="clear" w:color="auto" w:fill="FFFFFF"/>
        <w:adjustRightInd w:val="0"/>
        <w:snapToGrid w:val="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注：1、投标人应根据投标人须知前附表第1</w:t>
      </w:r>
      <w:r>
        <w:rPr>
          <w:rFonts w:asciiTheme="minorEastAsia" w:hAnsiTheme="minorEastAsia"/>
          <w:color w:val="auto"/>
          <w:szCs w:val="21"/>
        </w:rPr>
        <w:t>.</w:t>
      </w:r>
      <w:r>
        <w:rPr>
          <w:rFonts w:hint="eastAsia" w:asciiTheme="minorEastAsia" w:hAnsiTheme="minorEastAsia"/>
          <w:color w:val="auto"/>
          <w:szCs w:val="21"/>
        </w:rPr>
        <w:t>4</w:t>
      </w:r>
      <w:r>
        <w:rPr>
          <w:rFonts w:asciiTheme="minorEastAsia" w:hAnsiTheme="minorEastAsia"/>
          <w:color w:val="auto"/>
          <w:szCs w:val="21"/>
        </w:rPr>
        <w:t>.</w:t>
      </w:r>
      <w:r>
        <w:rPr>
          <w:rFonts w:hint="eastAsia" w:asciiTheme="minorEastAsia" w:hAnsiTheme="minorEastAsia"/>
          <w:color w:val="auto"/>
          <w:szCs w:val="21"/>
        </w:rPr>
        <w:t>1</w:t>
      </w:r>
      <w:r>
        <w:rPr>
          <w:rFonts w:asciiTheme="minorEastAsia" w:hAnsiTheme="minorEastAsia"/>
          <w:color w:val="auto"/>
          <w:szCs w:val="21"/>
        </w:rPr>
        <w:t>项</w:t>
      </w:r>
      <w:r>
        <w:rPr>
          <w:color w:val="auto"/>
          <w:szCs w:val="21"/>
        </w:rPr>
        <w:t>的</w:t>
      </w:r>
      <w:r>
        <w:rPr>
          <w:rFonts w:hint="eastAsia" w:asciiTheme="minorEastAsia" w:hAnsiTheme="minorEastAsia"/>
          <w:color w:val="auto"/>
          <w:szCs w:val="21"/>
        </w:rPr>
        <w:t>要求，在此说明并附其他资格材料扫描件（如有）；2、本说明及扫描件盖单位章。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3"/>
        <w:spacing w:before="0" w:after="0" w:line="520" w:lineRule="exact"/>
        <w:jc w:val="center"/>
        <w:rPr>
          <w:rFonts w:asciiTheme="majorEastAsia" w:hAnsiTheme="majorEastAsia" w:eastAsiaTheme="majorEastAsia"/>
          <w:color w:val="auto"/>
          <w:sz w:val="36"/>
          <w:szCs w:val="36"/>
        </w:rPr>
      </w:pPr>
      <w:bookmarkStart w:id="1228" w:name="_Toc516816407"/>
      <w:bookmarkStart w:id="1229" w:name="_Toc515441215"/>
      <w:bookmarkStart w:id="1230" w:name="_Toc516816218"/>
      <w:bookmarkStart w:id="1231" w:name="_Toc511636078"/>
      <w:r>
        <w:rPr>
          <w:rFonts w:hint="eastAsia" w:asciiTheme="majorEastAsia" w:hAnsiTheme="majorEastAsia" w:eastAsiaTheme="majorEastAsia"/>
          <w:color w:val="auto"/>
          <w:sz w:val="36"/>
          <w:szCs w:val="36"/>
        </w:rPr>
        <w:t>第二节 商务文件格式</w:t>
      </w:r>
      <w:bookmarkEnd w:id="1228"/>
      <w:bookmarkEnd w:id="1229"/>
      <w:bookmarkEnd w:id="1230"/>
      <w:bookmarkEnd w:id="1231"/>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pStyle w:val="4"/>
        <w:rPr>
          <w:color w:val="auto"/>
        </w:rPr>
      </w:pPr>
      <w:bookmarkStart w:id="1232" w:name="_Toc516816408"/>
      <w:bookmarkStart w:id="1233" w:name="_Toc516816219"/>
      <w:bookmarkStart w:id="1234" w:name="_Toc515441216"/>
      <w:r>
        <w:rPr>
          <w:color w:val="auto"/>
        </w:rPr>
        <w:t>投标文件</w:t>
      </w:r>
      <w:r>
        <w:rPr>
          <w:rFonts w:hint="eastAsia"/>
          <w:color w:val="auto"/>
        </w:rPr>
        <w:t>（二）（格式）</w:t>
      </w:r>
      <w:bookmarkEnd w:id="1232"/>
      <w:bookmarkEnd w:id="1233"/>
      <w:bookmarkEnd w:id="1234"/>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720" w:firstLineChars="200"/>
        <w:jc w:val="center"/>
        <w:rPr>
          <w:rFonts w:asciiTheme="minorEastAsia" w:hAnsiTheme="minorEastAsia"/>
          <w:b/>
          <w:color w:val="auto"/>
          <w:sz w:val="36"/>
          <w:szCs w:val="36"/>
        </w:rPr>
      </w:pPr>
      <w:r>
        <w:rPr>
          <w:rFonts w:hint="eastAsia" w:asciiTheme="minorEastAsia" w:hAnsiTheme="minorEastAsia"/>
          <w:color w:val="auto"/>
          <w:sz w:val="36"/>
          <w:szCs w:val="36"/>
        </w:rPr>
        <w:t>________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________</w:t>
      </w:r>
      <w:r>
        <w:rPr>
          <w:rFonts w:hint="eastAsia" w:asciiTheme="minorEastAsia" w:hAnsiTheme="minorEastAsia"/>
          <w:b/>
          <w:color w:val="auto"/>
          <w:sz w:val="36"/>
          <w:szCs w:val="36"/>
        </w:rPr>
        <w:t>（标段名称）施工招标项目</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招标编号：</w:t>
      </w:r>
      <w:r>
        <w:rPr>
          <w:rFonts w:hint="eastAsia" w:asciiTheme="minorEastAsia" w:hAnsiTheme="minorEastAsia"/>
          <w:color w:val="auto"/>
          <w:sz w:val="36"/>
          <w:szCs w:val="36"/>
        </w:rPr>
        <w:t>________</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044" w:firstLineChars="200"/>
        <w:jc w:val="center"/>
        <w:rPr>
          <w:rFonts w:asciiTheme="minorEastAsia" w:hAnsiTheme="minorEastAsia"/>
          <w:b/>
          <w:color w:val="auto"/>
          <w:sz w:val="52"/>
          <w:szCs w:val="52"/>
        </w:rPr>
      </w:pPr>
      <w:r>
        <w:rPr>
          <w:rFonts w:hint="eastAsia" w:asciiTheme="minorEastAsia" w:hAnsiTheme="minorEastAsia"/>
          <w:b/>
          <w:color w:val="auto"/>
          <w:sz w:val="52"/>
          <w:szCs w:val="52"/>
        </w:rPr>
        <w:t>投 标 文 件（二）</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商务文件</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left"/>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4"/>
        <w:rPr>
          <w:color w:val="auto"/>
        </w:rPr>
      </w:pPr>
      <w:bookmarkStart w:id="1235" w:name="_Toc516816220"/>
      <w:bookmarkStart w:id="1236" w:name="_Toc516816409"/>
      <w:bookmarkStart w:id="1237" w:name="_Toc515441217"/>
      <w:r>
        <w:rPr>
          <w:rFonts w:hint="eastAsia"/>
          <w:color w:val="auto"/>
        </w:rPr>
        <w:t>目录（格式）</w:t>
      </w:r>
      <w:bookmarkEnd w:id="1235"/>
      <w:bookmarkEnd w:id="1236"/>
      <w:bookmarkEnd w:id="1237"/>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目录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w:t>
      </w:r>
      <w:r>
        <w:rPr>
          <w:rFonts w:asciiTheme="minorEastAsia" w:hAnsiTheme="minorEastAsia"/>
          <w:color w:val="auto"/>
          <w:szCs w:val="21"/>
        </w:rPr>
        <w:t>一）投标函</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（二）投标函附录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二、已标价工程量清单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（一）工程项目总价表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（二）工程量清单报价表（建筑或临时工程）</w:t>
      </w:r>
    </w:p>
    <w:p>
      <w:pPr>
        <w:widowControl/>
        <w:shd w:val="clear" w:color="auto" w:fill="FFFFFF"/>
        <w:snapToGrid w:val="0"/>
        <w:ind w:firstLine="1050" w:firstLineChars="500"/>
        <w:jc w:val="left"/>
        <w:rPr>
          <w:rFonts w:asciiTheme="minorEastAsia" w:hAnsiTheme="minorEastAsia"/>
          <w:color w:val="auto"/>
          <w:szCs w:val="21"/>
        </w:rPr>
      </w:pPr>
      <w:r>
        <w:rPr>
          <w:rFonts w:hint="eastAsia" w:asciiTheme="minorEastAsia" w:hAnsiTheme="minorEastAsia"/>
          <w:color w:val="auto"/>
          <w:szCs w:val="21"/>
        </w:rPr>
        <w:t>工程量清单报价表（机电或金属结构设备及安装工程）</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（三）</w:t>
      </w:r>
      <w:r>
        <w:rPr>
          <w:rFonts w:hint="eastAsia" w:asciiTheme="minorEastAsia" w:hAnsiTheme="minorEastAsia"/>
          <w:color w:val="auto"/>
          <w:szCs w:val="21"/>
        </w:rPr>
        <w:t>已标价工程量清单辅助表格</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rPr>
          <w:color w:val="auto"/>
        </w:rPr>
      </w:pPr>
      <w:bookmarkStart w:id="1238" w:name="_Toc511636079"/>
      <w:bookmarkStart w:id="1239" w:name="_Toc516816221"/>
      <w:bookmarkStart w:id="1240" w:name="_Toc516816410"/>
      <w:bookmarkStart w:id="1241" w:name="_Toc515441218"/>
      <w:r>
        <w:rPr>
          <w:rFonts w:hint="eastAsia"/>
          <w:color w:val="auto"/>
        </w:rPr>
        <w:t>一、投标函及投标函附录</w:t>
      </w:r>
      <w:bookmarkEnd w:id="1238"/>
      <w:r>
        <w:rPr>
          <w:rFonts w:hint="eastAsia"/>
          <w:color w:val="auto"/>
        </w:rPr>
        <w:t>（格式）</w:t>
      </w:r>
      <w:bookmarkEnd w:id="1239"/>
      <w:bookmarkEnd w:id="1240"/>
      <w:bookmarkEnd w:id="1241"/>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投标函及投标函附录</w:t>
      </w:r>
      <w:bookmarkStart w:id="1242" w:name="_Toc487490022"/>
    </w:p>
    <w:bookmarkEnd w:id="1242"/>
    <w:p>
      <w:pPr>
        <w:widowControl/>
        <w:shd w:val="clear" w:color="auto" w:fill="FFFFFF"/>
        <w:snapToGrid w:val="0"/>
        <w:jc w:val="center"/>
        <w:rPr>
          <w:rFonts w:asciiTheme="minorEastAsia" w:hAnsiTheme="minorEastAsia"/>
          <w:b/>
          <w:color w:val="auto"/>
          <w:sz w:val="28"/>
          <w:szCs w:val="28"/>
        </w:rPr>
      </w:pPr>
      <w:r>
        <w:rPr>
          <w:rFonts w:hint="eastAsia" w:asciiTheme="minorEastAsia" w:hAnsiTheme="minorEastAsia"/>
          <w:b/>
          <w:color w:val="auto"/>
          <w:sz w:val="28"/>
          <w:szCs w:val="28"/>
        </w:rPr>
        <w:t>（</w:t>
      </w:r>
      <w:r>
        <w:rPr>
          <w:rFonts w:asciiTheme="minorEastAsia" w:hAnsiTheme="minorEastAsia"/>
          <w:b/>
          <w:color w:val="auto"/>
          <w:sz w:val="28"/>
          <w:szCs w:val="28"/>
        </w:rPr>
        <w:t>一）投标函</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__________________（招标人名称）：</w:t>
      </w:r>
    </w:p>
    <w:p>
      <w:pPr>
        <w:ind w:firstLine="420" w:firstLineChars="200"/>
        <w:rPr>
          <w:rFonts w:ascii="宋体" w:hAnsi="宋体"/>
          <w:color w:val="auto"/>
          <w:szCs w:val="21"/>
        </w:rPr>
      </w:pPr>
      <w:r>
        <w:rPr>
          <w:rFonts w:ascii="宋体" w:hAnsi="宋体"/>
          <w:color w:val="auto"/>
          <w:szCs w:val="21"/>
        </w:rPr>
        <w:t>1．我方已仔细研究了</w:t>
      </w:r>
      <w:r>
        <w:rPr>
          <w:rFonts w:hint="eastAsia" w:asciiTheme="minorEastAsia" w:hAnsiTheme="minorEastAsia"/>
          <w:color w:val="auto"/>
          <w:szCs w:val="21"/>
        </w:rPr>
        <w:t>_________________</w:t>
      </w:r>
      <w:r>
        <w:rPr>
          <w:rFonts w:ascii="宋体" w:hAnsi="宋体"/>
          <w:color w:val="auto"/>
          <w:szCs w:val="21"/>
        </w:rPr>
        <w:t>（</w:t>
      </w:r>
      <w:r>
        <w:rPr>
          <w:rFonts w:hint="eastAsia" w:ascii="宋体" w:hAnsi="宋体"/>
          <w:color w:val="auto"/>
          <w:szCs w:val="21"/>
        </w:rPr>
        <w:t>项目名称）</w:t>
      </w:r>
      <w:r>
        <w:rPr>
          <w:rFonts w:hint="eastAsia" w:asciiTheme="minorEastAsia" w:hAnsiTheme="minorEastAsia"/>
          <w:color w:val="auto"/>
          <w:szCs w:val="21"/>
        </w:rPr>
        <w:t>________________（标段名称）</w:t>
      </w:r>
      <w:r>
        <w:rPr>
          <w:rFonts w:hint="eastAsia" w:ascii="宋体" w:hAnsi="宋体"/>
          <w:color w:val="auto"/>
          <w:szCs w:val="21"/>
        </w:rPr>
        <w:t>施工招标项目</w:t>
      </w:r>
      <w:r>
        <w:rPr>
          <w:rFonts w:ascii="宋体" w:hAnsi="宋体"/>
          <w:color w:val="auto"/>
          <w:szCs w:val="21"/>
        </w:rPr>
        <w:t>招标文件的全部内容，愿意以人民币（大写）</w:t>
      </w:r>
      <w:r>
        <w:rPr>
          <w:rFonts w:hint="eastAsia" w:asciiTheme="minorEastAsia" w:hAnsiTheme="minorEastAsia"/>
          <w:color w:val="auto"/>
          <w:szCs w:val="21"/>
        </w:rPr>
        <w:t>________________</w:t>
      </w:r>
      <w:r>
        <w:rPr>
          <w:rFonts w:ascii="宋体" w:hAnsi="宋体"/>
          <w:color w:val="auto"/>
          <w:szCs w:val="21"/>
        </w:rPr>
        <w:t>（¥</w:t>
      </w:r>
      <w:r>
        <w:rPr>
          <w:rFonts w:hint="eastAsia" w:asciiTheme="minorEastAsia" w:hAnsiTheme="minorEastAsia"/>
          <w:color w:val="auto"/>
          <w:szCs w:val="21"/>
        </w:rPr>
        <w:t>______________</w:t>
      </w:r>
      <w:r>
        <w:rPr>
          <w:rFonts w:ascii="宋体" w:hAnsi="宋体"/>
          <w:color w:val="auto"/>
          <w:szCs w:val="21"/>
        </w:rPr>
        <w:t>）的投标总报价</w:t>
      </w:r>
      <w:r>
        <w:rPr>
          <w:rFonts w:hint="eastAsia" w:asciiTheme="minorEastAsia" w:hAnsiTheme="minorEastAsia"/>
          <w:color w:val="auto"/>
          <w:szCs w:val="21"/>
        </w:rPr>
        <w:t>，</w:t>
      </w:r>
      <w:r>
        <w:rPr>
          <w:rFonts w:hint="eastAsia" w:ascii="宋体" w:hAnsi="宋体"/>
          <w:color w:val="auto"/>
          <w:szCs w:val="21"/>
        </w:rPr>
        <w:t>工期</w:t>
      </w:r>
      <w:r>
        <w:rPr>
          <w:rFonts w:hint="eastAsia" w:asciiTheme="minorEastAsia" w:hAnsiTheme="minorEastAsia"/>
          <w:color w:val="auto"/>
          <w:szCs w:val="21"/>
        </w:rPr>
        <w:t>_________</w:t>
      </w:r>
      <w:r>
        <w:rPr>
          <w:rFonts w:hint="eastAsia" w:ascii="宋体" w:hAnsi="宋体"/>
          <w:color w:val="auto"/>
          <w:szCs w:val="21"/>
        </w:rPr>
        <w:t>日历天（其中各关键节点的工期要求为</w:t>
      </w:r>
      <w:r>
        <w:rPr>
          <w:rFonts w:hint="eastAsia" w:asciiTheme="minorEastAsia" w:hAnsiTheme="minorEastAsia"/>
          <w:color w:val="auto"/>
          <w:szCs w:val="21"/>
        </w:rPr>
        <w:t>__________</w:t>
      </w:r>
      <w:r>
        <w:rPr>
          <w:rFonts w:hint="eastAsia" w:ascii="宋体" w:hAnsi="宋体"/>
          <w:color w:val="auto"/>
          <w:szCs w:val="21"/>
        </w:rPr>
        <w:t>），</w:t>
      </w:r>
      <w:r>
        <w:rPr>
          <w:rFonts w:ascii="宋体" w:hAnsi="宋体"/>
          <w:color w:val="auto"/>
          <w:szCs w:val="21"/>
        </w:rPr>
        <w:t>按合同约定实施和完成承包工程，修补工程中的任何缺陷，工程质量达到</w:t>
      </w:r>
      <w:r>
        <w:rPr>
          <w:rFonts w:hint="eastAsia" w:asciiTheme="minorEastAsia" w:hAnsiTheme="minorEastAsia"/>
          <w:color w:val="auto"/>
          <w:szCs w:val="21"/>
        </w:rPr>
        <w:t>_________________</w:t>
      </w:r>
      <w:r>
        <w:rPr>
          <w:rFonts w:hint="eastAsia" w:ascii="宋体" w:hAnsi="宋体"/>
          <w:color w:val="auto"/>
          <w:szCs w:val="21"/>
        </w:rPr>
        <w:t>标准。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2.我方的投标文件包括下列内容：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（1）资格审查资料；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（2）商务文件；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（3）技术文件（如有）；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投标文件的上述组成部分如存在内容不一致的，以投标函为准。</w:t>
      </w:r>
    </w:p>
    <w:p>
      <w:pPr>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w:t>
      </w:r>
      <w:r>
        <w:rPr>
          <w:rFonts w:hint="eastAsia" w:asciiTheme="minorEastAsia" w:hAnsiTheme="minorEastAsia"/>
          <w:color w:val="auto"/>
          <w:szCs w:val="21"/>
        </w:rPr>
        <w:t>我方承诺在招标文件规定的投标有效期内不撤销投标文件。</w:t>
      </w:r>
    </w:p>
    <w:p>
      <w:pPr>
        <w:ind w:firstLine="420" w:firstLineChars="200"/>
        <w:rPr>
          <w:rFonts w:ascii="宋体" w:hAnsi="宋体"/>
          <w:color w:val="auto"/>
          <w:szCs w:val="21"/>
        </w:rPr>
      </w:pPr>
      <w:r>
        <w:rPr>
          <w:rFonts w:hint="eastAsia" w:ascii="宋体" w:hAnsi="宋体"/>
          <w:color w:val="auto"/>
          <w:szCs w:val="21"/>
        </w:rPr>
        <w:t>4</w:t>
      </w:r>
      <w:r>
        <w:rPr>
          <w:rFonts w:ascii="宋体" w:hAnsi="宋体"/>
          <w:color w:val="auto"/>
          <w:szCs w:val="21"/>
        </w:rPr>
        <w:t>．如我方中标</w:t>
      </w:r>
      <w:r>
        <w:rPr>
          <w:rFonts w:hint="eastAsia" w:ascii="宋体" w:hAnsi="宋体"/>
          <w:color w:val="auto"/>
          <w:szCs w:val="21"/>
        </w:rPr>
        <w:t>，</w:t>
      </w:r>
      <w:r>
        <w:rPr>
          <w:rFonts w:ascii="宋体" w:hAnsi="宋体"/>
          <w:color w:val="auto"/>
          <w:szCs w:val="21"/>
        </w:rPr>
        <w:t>我方承诺：</w:t>
      </w:r>
    </w:p>
    <w:p>
      <w:pPr>
        <w:ind w:firstLine="420" w:firstLineChars="200"/>
        <w:rPr>
          <w:rFonts w:ascii="宋体" w:hAnsi="宋体"/>
          <w:color w:val="auto"/>
          <w:szCs w:val="21"/>
        </w:rPr>
      </w:pPr>
      <w:r>
        <w:rPr>
          <w:rFonts w:hint="eastAsia" w:ascii="宋体" w:hAnsi="宋体"/>
          <w:color w:val="auto"/>
          <w:szCs w:val="21"/>
        </w:rPr>
        <w:t>（1）在收到中标通知书后，在中标通知书规定的期限内与你方签订合同；</w:t>
      </w:r>
    </w:p>
    <w:p>
      <w:pPr>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2</w:t>
      </w:r>
      <w:r>
        <w:rPr>
          <w:rFonts w:ascii="宋体" w:hAnsi="宋体"/>
          <w:color w:val="auto"/>
          <w:szCs w:val="21"/>
        </w:rPr>
        <w:t>）</w:t>
      </w:r>
      <w:r>
        <w:rPr>
          <w:rFonts w:hint="eastAsia" w:asciiTheme="minorEastAsia" w:hAnsiTheme="minorEastAsia"/>
          <w:color w:val="auto"/>
          <w:szCs w:val="21"/>
        </w:rPr>
        <w:t>在签订合同时不向你方提出附加条件；</w:t>
      </w:r>
    </w:p>
    <w:p>
      <w:pPr>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3</w:t>
      </w:r>
      <w:r>
        <w:rPr>
          <w:rFonts w:ascii="宋体" w:hAnsi="宋体"/>
          <w:color w:val="auto"/>
          <w:szCs w:val="21"/>
        </w:rPr>
        <w:t>）</w:t>
      </w:r>
      <w:r>
        <w:rPr>
          <w:rFonts w:hint="eastAsia" w:ascii="宋体" w:hAnsi="宋体"/>
          <w:color w:val="auto"/>
          <w:szCs w:val="21"/>
        </w:rPr>
        <w:t>按照招标文件规定向你方递交履约担保；</w:t>
      </w:r>
    </w:p>
    <w:p>
      <w:pPr>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4</w:t>
      </w:r>
      <w:r>
        <w:rPr>
          <w:rFonts w:ascii="宋体" w:hAnsi="宋体"/>
          <w:color w:val="auto"/>
          <w:szCs w:val="21"/>
        </w:rPr>
        <w:t>）</w:t>
      </w:r>
      <w:r>
        <w:rPr>
          <w:rFonts w:hint="eastAsia" w:ascii="宋体" w:hAnsi="宋体"/>
          <w:color w:val="auto"/>
          <w:szCs w:val="21"/>
        </w:rPr>
        <w:t>在合同约定的期限内完成并移交全部合同工程。</w:t>
      </w:r>
    </w:p>
    <w:p>
      <w:pPr>
        <w:ind w:firstLine="420" w:firstLineChars="200"/>
        <w:rPr>
          <w:rFonts w:ascii="宋体" w:hAnsi="宋体"/>
          <w:color w:val="auto"/>
          <w:szCs w:val="21"/>
        </w:rPr>
      </w:pPr>
      <w:r>
        <w:rPr>
          <w:rFonts w:hint="eastAsia" w:ascii="宋体" w:hAnsi="宋体"/>
          <w:color w:val="auto"/>
          <w:szCs w:val="21"/>
        </w:rPr>
        <w:t>5．我方在此声明，所递交的投标文件及有关资料内容完整、真实和准确，且不存在第二章“投标人须知”第1.4.3项规定的任何一种情形。</w:t>
      </w:r>
    </w:p>
    <w:p>
      <w:pPr>
        <w:spacing w:line="440" w:lineRule="exact"/>
        <w:ind w:firstLine="420" w:firstLineChars="200"/>
        <w:rPr>
          <w:rFonts w:ascii="宋体" w:hAnsi="宋体"/>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网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传     真：__________________________________________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jc w:val="center"/>
        <w:rPr>
          <w:rFonts w:asciiTheme="minorEastAsia" w:hAnsiTheme="minorEastAsia"/>
          <w:b/>
          <w:color w:val="auto"/>
          <w:sz w:val="28"/>
          <w:szCs w:val="28"/>
        </w:rPr>
      </w:pPr>
      <w:r>
        <w:rPr>
          <w:rFonts w:asciiTheme="minorEastAsia" w:hAnsiTheme="minorEastAsia"/>
          <w:b/>
          <w:color w:val="auto"/>
          <w:sz w:val="28"/>
          <w:szCs w:val="28"/>
        </w:rPr>
        <w:t>（二）投标函附录</w:t>
      </w:r>
    </w:p>
    <w:tbl>
      <w:tblPr>
        <w:tblStyle w:val="39"/>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7"/>
        <w:gridCol w:w="2562"/>
        <w:gridCol w:w="1656"/>
        <w:gridCol w:w="3166"/>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717" w:type="dxa"/>
            <w:vAlign w:val="center"/>
          </w:tcPr>
          <w:p>
            <w:pPr>
              <w:widowControl/>
              <w:spacing w:line="360" w:lineRule="auto"/>
              <w:jc w:val="center"/>
              <w:rPr>
                <w:color w:val="auto"/>
                <w:szCs w:val="21"/>
              </w:rPr>
            </w:pPr>
            <w:r>
              <w:rPr>
                <w:color w:val="auto"/>
                <w:szCs w:val="21"/>
              </w:rPr>
              <w:t>序号</w:t>
            </w:r>
          </w:p>
        </w:tc>
        <w:tc>
          <w:tcPr>
            <w:tcW w:w="2562" w:type="dxa"/>
            <w:vAlign w:val="center"/>
          </w:tcPr>
          <w:p>
            <w:pPr>
              <w:widowControl/>
              <w:spacing w:line="360" w:lineRule="auto"/>
              <w:jc w:val="center"/>
              <w:rPr>
                <w:color w:val="auto"/>
                <w:szCs w:val="21"/>
              </w:rPr>
            </w:pPr>
            <w:r>
              <w:rPr>
                <w:rFonts w:hint="eastAsia"/>
                <w:color w:val="auto"/>
                <w:szCs w:val="21"/>
              </w:rPr>
              <w:t>条款名称</w:t>
            </w:r>
          </w:p>
        </w:tc>
        <w:tc>
          <w:tcPr>
            <w:tcW w:w="1656" w:type="dxa"/>
            <w:vAlign w:val="center"/>
          </w:tcPr>
          <w:p>
            <w:pPr>
              <w:widowControl/>
              <w:spacing w:line="360" w:lineRule="auto"/>
              <w:jc w:val="center"/>
              <w:rPr>
                <w:color w:val="auto"/>
                <w:szCs w:val="21"/>
              </w:rPr>
            </w:pPr>
            <w:r>
              <w:rPr>
                <w:color w:val="auto"/>
                <w:szCs w:val="21"/>
              </w:rPr>
              <w:t>合同条款号</w:t>
            </w:r>
          </w:p>
        </w:tc>
        <w:tc>
          <w:tcPr>
            <w:tcW w:w="3166" w:type="dxa"/>
            <w:vAlign w:val="center"/>
          </w:tcPr>
          <w:p>
            <w:pPr>
              <w:widowControl/>
              <w:spacing w:line="360" w:lineRule="auto"/>
              <w:jc w:val="center"/>
              <w:rPr>
                <w:color w:val="auto"/>
                <w:szCs w:val="21"/>
              </w:rPr>
            </w:pPr>
            <w:r>
              <w:rPr>
                <w:rFonts w:hint="eastAsia"/>
                <w:color w:val="auto"/>
                <w:szCs w:val="21"/>
              </w:rPr>
              <w:t>约定</w:t>
            </w:r>
            <w:r>
              <w:rPr>
                <w:color w:val="auto"/>
                <w:szCs w:val="21"/>
              </w:rPr>
              <w:t>内容</w:t>
            </w:r>
          </w:p>
        </w:tc>
        <w:tc>
          <w:tcPr>
            <w:tcW w:w="959" w:type="dxa"/>
            <w:vAlign w:val="center"/>
          </w:tcPr>
          <w:p>
            <w:pPr>
              <w:widowControl/>
              <w:spacing w:line="360" w:lineRule="auto"/>
              <w:jc w:val="center"/>
              <w:rPr>
                <w:color w:val="auto"/>
                <w:szCs w:val="21"/>
              </w:rPr>
            </w:pPr>
            <w:r>
              <w:rPr>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717" w:type="dxa"/>
            <w:vAlign w:val="center"/>
          </w:tcPr>
          <w:p>
            <w:pPr>
              <w:widowControl/>
              <w:spacing w:line="360" w:lineRule="auto"/>
              <w:jc w:val="center"/>
              <w:rPr>
                <w:color w:val="auto"/>
                <w:szCs w:val="21"/>
              </w:rPr>
            </w:pPr>
            <w:r>
              <w:rPr>
                <w:rFonts w:hint="eastAsia"/>
                <w:color w:val="auto"/>
                <w:szCs w:val="21"/>
              </w:rPr>
              <w:t>1</w:t>
            </w:r>
          </w:p>
        </w:tc>
        <w:tc>
          <w:tcPr>
            <w:tcW w:w="2562" w:type="dxa"/>
            <w:vAlign w:val="center"/>
          </w:tcPr>
          <w:p>
            <w:pPr>
              <w:widowControl/>
              <w:spacing w:line="360" w:lineRule="auto"/>
              <w:jc w:val="center"/>
              <w:rPr>
                <w:color w:val="auto"/>
                <w:szCs w:val="21"/>
              </w:rPr>
            </w:pPr>
            <w:r>
              <w:rPr>
                <w:rFonts w:hint="eastAsia"/>
                <w:color w:val="auto"/>
                <w:szCs w:val="21"/>
              </w:rPr>
              <w:t>项目经理</w:t>
            </w:r>
          </w:p>
        </w:tc>
        <w:tc>
          <w:tcPr>
            <w:tcW w:w="1656" w:type="dxa"/>
            <w:vAlign w:val="center"/>
          </w:tcPr>
          <w:p>
            <w:pPr>
              <w:widowControl/>
              <w:spacing w:line="360" w:lineRule="auto"/>
              <w:jc w:val="center"/>
              <w:rPr>
                <w:color w:val="auto"/>
                <w:szCs w:val="21"/>
              </w:rPr>
            </w:pPr>
            <w:r>
              <w:rPr>
                <w:color w:val="auto"/>
                <w:szCs w:val="21"/>
              </w:rPr>
              <w:t>1.1.2.4</w:t>
            </w:r>
          </w:p>
        </w:tc>
        <w:tc>
          <w:tcPr>
            <w:tcW w:w="3166" w:type="dxa"/>
            <w:vAlign w:val="center"/>
          </w:tcPr>
          <w:p>
            <w:pPr>
              <w:widowControl/>
              <w:spacing w:line="360" w:lineRule="auto"/>
              <w:jc w:val="center"/>
              <w:rPr>
                <w:color w:val="auto"/>
                <w:szCs w:val="21"/>
              </w:rPr>
            </w:pPr>
            <w:r>
              <w:rPr>
                <w:rFonts w:hint="eastAsia"/>
                <w:color w:val="auto"/>
                <w:szCs w:val="21"/>
              </w:rPr>
              <w:t>姓名：_________</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jc w:val="center"/>
        </w:trPr>
        <w:tc>
          <w:tcPr>
            <w:tcW w:w="717" w:type="dxa"/>
            <w:vAlign w:val="center"/>
          </w:tcPr>
          <w:p>
            <w:pPr>
              <w:widowControl/>
              <w:spacing w:line="360" w:lineRule="auto"/>
              <w:jc w:val="center"/>
              <w:rPr>
                <w:color w:val="auto"/>
                <w:szCs w:val="21"/>
              </w:rPr>
            </w:pPr>
            <w:r>
              <w:rPr>
                <w:rFonts w:hint="eastAsia"/>
                <w:color w:val="auto"/>
                <w:szCs w:val="21"/>
              </w:rPr>
              <w:t>2</w:t>
            </w:r>
          </w:p>
        </w:tc>
        <w:tc>
          <w:tcPr>
            <w:tcW w:w="2562" w:type="dxa"/>
            <w:vAlign w:val="center"/>
          </w:tcPr>
          <w:p>
            <w:pPr>
              <w:widowControl/>
              <w:spacing w:line="360" w:lineRule="auto"/>
              <w:jc w:val="center"/>
              <w:rPr>
                <w:color w:val="auto"/>
                <w:szCs w:val="21"/>
              </w:rPr>
            </w:pPr>
            <w:r>
              <w:rPr>
                <w:color w:val="auto"/>
                <w:szCs w:val="21"/>
              </w:rPr>
              <w:t>工期</w:t>
            </w:r>
          </w:p>
        </w:tc>
        <w:tc>
          <w:tcPr>
            <w:tcW w:w="1656" w:type="dxa"/>
            <w:vAlign w:val="center"/>
          </w:tcPr>
          <w:p>
            <w:pPr>
              <w:widowControl/>
              <w:spacing w:line="360" w:lineRule="auto"/>
              <w:jc w:val="center"/>
              <w:rPr>
                <w:color w:val="auto"/>
                <w:szCs w:val="21"/>
              </w:rPr>
            </w:pPr>
            <w:r>
              <w:rPr>
                <w:color w:val="auto"/>
                <w:szCs w:val="21"/>
              </w:rPr>
              <w:t>1.1.4.</w:t>
            </w:r>
            <w:r>
              <w:rPr>
                <w:rFonts w:hint="eastAsia"/>
                <w:color w:val="auto"/>
                <w:szCs w:val="21"/>
              </w:rPr>
              <w:t>3</w:t>
            </w:r>
          </w:p>
        </w:tc>
        <w:tc>
          <w:tcPr>
            <w:tcW w:w="3166" w:type="dxa"/>
            <w:vAlign w:val="center"/>
          </w:tcPr>
          <w:p>
            <w:pPr>
              <w:widowControl/>
              <w:spacing w:line="360" w:lineRule="auto"/>
              <w:rPr>
                <w:color w:val="auto"/>
                <w:szCs w:val="21"/>
              </w:rPr>
            </w:pPr>
            <w:r>
              <w:rPr>
                <w:rFonts w:hint="eastAsia"/>
                <w:color w:val="auto"/>
                <w:szCs w:val="21"/>
              </w:rPr>
              <w:t>工期______日历天（其中各关键节点的工期：__________）</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jc w:val="center"/>
        </w:trPr>
        <w:tc>
          <w:tcPr>
            <w:tcW w:w="717" w:type="dxa"/>
            <w:vAlign w:val="center"/>
          </w:tcPr>
          <w:p>
            <w:pPr>
              <w:widowControl/>
              <w:spacing w:line="360" w:lineRule="auto"/>
              <w:jc w:val="center"/>
              <w:rPr>
                <w:color w:val="auto"/>
                <w:szCs w:val="21"/>
              </w:rPr>
            </w:pPr>
            <w:r>
              <w:rPr>
                <w:rFonts w:hint="eastAsia"/>
                <w:color w:val="auto"/>
                <w:szCs w:val="21"/>
              </w:rPr>
              <w:t>3</w:t>
            </w:r>
          </w:p>
        </w:tc>
        <w:tc>
          <w:tcPr>
            <w:tcW w:w="2562" w:type="dxa"/>
            <w:vAlign w:val="center"/>
          </w:tcPr>
          <w:p>
            <w:pPr>
              <w:widowControl/>
              <w:spacing w:line="360" w:lineRule="auto"/>
              <w:jc w:val="center"/>
              <w:rPr>
                <w:color w:val="auto"/>
                <w:szCs w:val="21"/>
              </w:rPr>
            </w:pPr>
            <w:r>
              <w:rPr>
                <w:color w:val="auto"/>
                <w:szCs w:val="21"/>
              </w:rPr>
              <w:t>缺陷责任期</w:t>
            </w:r>
          </w:p>
          <w:p>
            <w:pPr>
              <w:widowControl/>
              <w:spacing w:line="360" w:lineRule="auto"/>
              <w:jc w:val="center"/>
              <w:rPr>
                <w:color w:val="auto"/>
                <w:szCs w:val="21"/>
              </w:rPr>
            </w:pPr>
            <w:r>
              <w:rPr>
                <w:rFonts w:hint="eastAsia"/>
                <w:color w:val="auto"/>
                <w:szCs w:val="21"/>
              </w:rPr>
              <w:t>（工程质量保修期）</w:t>
            </w:r>
          </w:p>
        </w:tc>
        <w:tc>
          <w:tcPr>
            <w:tcW w:w="1656" w:type="dxa"/>
            <w:vAlign w:val="center"/>
          </w:tcPr>
          <w:p>
            <w:pPr>
              <w:widowControl/>
              <w:spacing w:line="360" w:lineRule="auto"/>
              <w:jc w:val="center"/>
              <w:rPr>
                <w:color w:val="auto"/>
                <w:szCs w:val="21"/>
              </w:rPr>
            </w:pPr>
            <w:r>
              <w:rPr>
                <w:color w:val="auto"/>
                <w:szCs w:val="21"/>
              </w:rPr>
              <w:t>1.1.4.5</w:t>
            </w:r>
          </w:p>
        </w:tc>
        <w:tc>
          <w:tcPr>
            <w:tcW w:w="3166" w:type="dxa"/>
            <w:vAlign w:val="center"/>
          </w:tcPr>
          <w:p>
            <w:pPr>
              <w:widowControl/>
              <w:spacing w:line="360" w:lineRule="auto"/>
              <w:rPr>
                <w:color w:val="auto"/>
                <w:szCs w:val="21"/>
              </w:rPr>
            </w:pPr>
            <w:r>
              <w:rPr>
                <w:rFonts w:hint="eastAsia"/>
                <w:color w:val="auto"/>
                <w:szCs w:val="21"/>
              </w:rPr>
              <w:t>通过合同工程完工验收后_____年</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717" w:type="dxa"/>
            <w:vAlign w:val="center"/>
          </w:tcPr>
          <w:p>
            <w:pPr>
              <w:widowControl/>
              <w:spacing w:line="360" w:lineRule="auto"/>
              <w:jc w:val="center"/>
              <w:rPr>
                <w:color w:val="auto"/>
                <w:szCs w:val="21"/>
              </w:rPr>
            </w:pPr>
            <w:r>
              <w:rPr>
                <w:rFonts w:hint="eastAsia"/>
                <w:color w:val="auto"/>
                <w:szCs w:val="21"/>
              </w:rPr>
              <w:t>4</w:t>
            </w:r>
          </w:p>
        </w:tc>
        <w:tc>
          <w:tcPr>
            <w:tcW w:w="2562" w:type="dxa"/>
            <w:vAlign w:val="center"/>
          </w:tcPr>
          <w:p>
            <w:pPr>
              <w:widowControl/>
              <w:spacing w:line="360" w:lineRule="auto"/>
              <w:jc w:val="center"/>
              <w:rPr>
                <w:color w:val="auto"/>
                <w:szCs w:val="21"/>
              </w:rPr>
            </w:pPr>
            <w:r>
              <w:rPr>
                <w:rFonts w:hint="eastAsia"/>
                <w:color w:val="auto"/>
                <w:szCs w:val="21"/>
              </w:rPr>
              <w:t>逾期完工违约金</w:t>
            </w:r>
          </w:p>
        </w:tc>
        <w:tc>
          <w:tcPr>
            <w:tcW w:w="1656" w:type="dxa"/>
            <w:vAlign w:val="center"/>
          </w:tcPr>
          <w:p>
            <w:pPr>
              <w:widowControl/>
              <w:spacing w:line="360" w:lineRule="auto"/>
              <w:jc w:val="center"/>
              <w:rPr>
                <w:color w:val="auto"/>
                <w:szCs w:val="21"/>
              </w:rPr>
            </w:pPr>
            <w:r>
              <w:rPr>
                <w:rFonts w:hint="eastAsia"/>
                <w:color w:val="auto"/>
                <w:szCs w:val="21"/>
              </w:rPr>
              <w:t>11.5</w:t>
            </w:r>
          </w:p>
        </w:tc>
        <w:tc>
          <w:tcPr>
            <w:tcW w:w="3166" w:type="dxa"/>
            <w:vAlign w:val="center"/>
          </w:tcPr>
          <w:p>
            <w:pPr>
              <w:widowControl/>
              <w:spacing w:line="360" w:lineRule="auto"/>
              <w:rPr>
                <w:color w:val="auto"/>
                <w:szCs w:val="21"/>
              </w:rPr>
            </w:pPr>
            <w:r>
              <w:rPr>
                <w:rFonts w:hint="eastAsia"/>
                <w:color w:val="auto"/>
                <w:szCs w:val="21"/>
              </w:rPr>
              <w:t>_____元/天</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jc w:val="center"/>
        </w:trPr>
        <w:tc>
          <w:tcPr>
            <w:tcW w:w="717" w:type="dxa"/>
            <w:vAlign w:val="center"/>
          </w:tcPr>
          <w:p>
            <w:pPr>
              <w:widowControl/>
              <w:spacing w:line="360" w:lineRule="auto"/>
              <w:jc w:val="center"/>
              <w:rPr>
                <w:color w:val="auto"/>
                <w:szCs w:val="21"/>
              </w:rPr>
            </w:pPr>
            <w:r>
              <w:rPr>
                <w:rFonts w:hint="eastAsia"/>
                <w:color w:val="auto"/>
                <w:szCs w:val="21"/>
              </w:rPr>
              <w:t>5</w:t>
            </w:r>
          </w:p>
        </w:tc>
        <w:tc>
          <w:tcPr>
            <w:tcW w:w="2562" w:type="dxa"/>
            <w:vAlign w:val="center"/>
          </w:tcPr>
          <w:p>
            <w:pPr>
              <w:widowControl/>
              <w:spacing w:line="360" w:lineRule="auto"/>
              <w:jc w:val="center"/>
              <w:rPr>
                <w:color w:val="auto"/>
                <w:szCs w:val="21"/>
              </w:rPr>
            </w:pPr>
            <w:r>
              <w:rPr>
                <w:rFonts w:hint="eastAsia"/>
                <w:color w:val="auto"/>
                <w:szCs w:val="21"/>
              </w:rPr>
              <w:t>逾期完工违约金限额</w:t>
            </w:r>
          </w:p>
        </w:tc>
        <w:tc>
          <w:tcPr>
            <w:tcW w:w="1656" w:type="dxa"/>
            <w:vAlign w:val="center"/>
          </w:tcPr>
          <w:p>
            <w:pPr>
              <w:widowControl/>
              <w:spacing w:line="360" w:lineRule="auto"/>
              <w:jc w:val="center"/>
              <w:rPr>
                <w:color w:val="auto"/>
                <w:szCs w:val="21"/>
              </w:rPr>
            </w:pPr>
            <w:r>
              <w:rPr>
                <w:rFonts w:hint="eastAsia"/>
                <w:color w:val="auto"/>
                <w:szCs w:val="21"/>
              </w:rPr>
              <w:t>11.5</w:t>
            </w:r>
          </w:p>
        </w:tc>
        <w:tc>
          <w:tcPr>
            <w:tcW w:w="3166" w:type="dxa"/>
            <w:vAlign w:val="center"/>
          </w:tcPr>
          <w:p>
            <w:pPr>
              <w:widowControl/>
              <w:spacing w:line="360" w:lineRule="auto"/>
              <w:rPr>
                <w:color w:val="auto"/>
                <w:szCs w:val="21"/>
              </w:rPr>
            </w:pPr>
            <w:r>
              <w:rPr>
                <w:rFonts w:hint="eastAsia"/>
                <w:color w:val="auto"/>
                <w:szCs w:val="21"/>
              </w:rPr>
              <w:t>不超过合同总价的_____</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jc w:val="center"/>
        </w:trPr>
        <w:tc>
          <w:tcPr>
            <w:tcW w:w="717" w:type="dxa"/>
            <w:vAlign w:val="center"/>
          </w:tcPr>
          <w:p>
            <w:pPr>
              <w:widowControl/>
              <w:spacing w:line="360" w:lineRule="auto"/>
              <w:jc w:val="center"/>
              <w:rPr>
                <w:color w:val="auto"/>
                <w:szCs w:val="21"/>
              </w:rPr>
            </w:pPr>
            <w:r>
              <w:rPr>
                <w:rFonts w:hint="eastAsia"/>
                <w:color w:val="auto"/>
                <w:szCs w:val="21"/>
              </w:rPr>
              <w:t>…</w:t>
            </w:r>
          </w:p>
        </w:tc>
        <w:tc>
          <w:tcPr>
            <w:tcW w:w="2562" w:type="dxa"/>
            <w:vAlign w:val="center"/>
          </w:tcPr>
          <w:p>
            <w:pPr>
              <w:widowControl/>
              <w:spacing w:line="360" w:lineRule="auto"/>
              <w:jc w:val="center"/>
              <w:rPr>
                <w:color w:val="auto"/>
                <w:szCs w:val="21"/>
              </w:rPr>
            </w:pPr>
            <w:r>
              <w:rPr>
                <w:rFonts w:hint="eastAsia"/>
                <w:color w:val="auto"/>
                <w:szCs w:val="21"/>
              </w:rPr>
              <w:t>……</w:t>
            </w:r>
          </w:p>
        </w:tc>
        <w:tc>
          <w:tcPr>
            <w:tcW w:w="1656" w:type="dxa"/>
            <w:vAlign w:val="center"/>
          </w:tcPr>
          <w:p>
            <w:pPr>
              <w:widowControl/>
              <w:spacing w:line="360" w:lineRule="auto"/>
              <w:jc w:val="center"/>
              <w:rPr>
                <w:color w:val="auto"/>
                <w:szCs w:val="21"/>
              </w:rPr>
            </w:pPr>
            <w:r>
              <w:rPr>
                <w:rFonts w:hint="eastAsia"/>
                <w:color w:val="auto"/>
                <w:szCs w:val="21"/>
              </w:rPr>
              <w:t>……</w:t>
            </w:r>
          </w:p>
        </w:tc>
        <w:tc>
          <w:tcPr>
            <w:tcW w:w="3166" w:type="dxa"/>
            <w:vAlign w:val="center"/>
          </w:tcPr>
          <w:p>
            <w:pPr>
              <w:widowControl/>
              <w:spacing w:line="360" w:lineRule="auto"/>
              <w:jc w:val="center"/>
              <w:rPr>
                <w:color w:val="auto"/>
                <w:szCs w:val="21"/>
              </w:rPr>
            </w:pPr>
            <w:r>
              <w:rPr>
                <w:rFonts w:hint="eastAsia"/>
                <w:color w:val="auto"/>
                <w:szCs w:val="21"/>
              </w:rPr>
              <w:t>……</w:t>
            </w:r>
          </w:p>
        </w:tc>
        <w:tc>
          <w:tcPr>
            <w:tcW w:w="959" w:type="dxa"/>
            <w:vAlign w:val="center"/>
          </w:tcPr>
          <w:p>
            <w:pPr>
              <w:widowControl/>
              <w:spacing w:line="360" w:lineRule="auto"/>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717" w:type="dxa"/>
            <w:vAlign w:val="center"/>
          </w:tcPr>
          <w:p>
            <w:pPr>
              <w:widowControl/>
              <w:spacing w:line="360" w:lineRule="auto"/>
              <w:jc w:val="center"/>
              <w:rPr>
                <w:color w:val="auto"/>
                <w:szCs w:val="21"/>
              </w:rPr>
            </w:pPr>
            <w:r>
              <w:rPr>
                <w:rFonts w:hint="eastAsia"/>
                <w:color w:val="auto"/>
                <w:szCs w:val="21"/>
              </w:rPr>
              <w:t>…</w:t>
            </w:r>
          </w:p>
        </w:tc>
        <w:tc>
          <w:tcPr>
            <w:tcW w:w="2562" w:type="dxa"/>
            <w:vAlign w:val="center"/>
          </w:tcPr>
          <w:p>
            <w:pPr>
              <w:widowControl/>
              <w:spacing w:line="360" w:lineRule="auto"/>
              <w:jc w:val="center"/>
              <w:rPr>
                <w:color w:val="auto"/>
                <w:szCs w:val="21"/>
              </w:rPr>
            </w:pPr>
            <w:r>
              <w:rPr>
                <w:rFonts w:hint="eastAsia"/>
                <w:color w:val="auto"/>
                <w:szCs w:val="21"/>
              </w:rPr>
              <w:t>……</w:t>
            </w:r>
          </w:p>
        </w:tc>
        <w:tc>
          <w:tcPr>
            <w:tcW w:w="1656" w:type="dxa"/>
            <w:vAlign w:val="center"/>
          </w:tcPr>
          <w:p>
            <w:pPr>
              <w:widowControl/>
              <w:spacing w:line="360" w:lineRule="auto"/>
              <w:jc w:val="center"/>
              <w:rPr>
                <w:color w:val="auto"/>
                <w:szCs w:val="21"/>
              </w:rPr>
            </w:pPr>
            <w:r>
              <w:rPr>
                <w:rFonts w:hint="eastAsia"/>
                <w:color w:val="auto"/>
                <w:szCs w:val="21"/>
              </w:rPr>
              <w:t>……</w:t>
            </w:r>
          </w:p>
        </w:tc>
        <w:tc>
          <w:tcPr>
            <w:tcW w:w="3166" w:type="dxa"/>
            <w:vAlign w:val="center"/>
          </w:tcPr>
          <w:p>
            <w:pPr>
              <w:widowControl/>
              <w:spacing w:line="360" w:lineRule="auto"/>
              <w:jc w:val="center"/>
              <w:rPr>
                <w:color w:val="auto"/>
                <w:szCs w:val="21"/>
              </w:rPr>
            </w:pPr>
            <w:r>
              <w:rPr>
                <w:rFonts w:hint="eastAsia"/>
                <w:color w:val="auto"/>
                <w:szCs w:val="21"/>
              </w:rPr>
              <w:t>……</w:t>
            </w:r>
          </w:p>
        </w:tc>
        <w:tc>
          <w:tcPr>
            <w:tcW w:w="959" w:type="dxa"/>
            <w:vAlign w:val="center"/>
          </w:tcPr>
          <w:p>
            <w:pPr>
              <w:widowControl/>
              <w:spacing w:line="360" w:lineRule="auto"/>
              <w:jc w:val="center"/>
              <w:rPr>
                <w:color w:val="auto"/>
                <w:szCs w:val="21"/>
              </w:rPr>
            </w:pPr>
          </w:p>
        </w:tc>
      </w:tr>
    </w:tbl>
    <w:p>
      <w:pPr>
        <w:spacing w:line="500" w:lineRule="exact"/>
        <w:ind w:firstLine="2625" w:firstLineChars="1250"/>
        <w:rPr>
          <w:rFonts w:ascii="宋体" w:hAnsi="宋体"/>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4"/>
        <w:rPr>
          <w:color w:val="auto"/>
        </w:rPr>
      </w:pPr>
      <w:bookmarkStart w:id="1243" w:name="_Toc511636080"/>
      <w:bookmarkStart w:id="1244" w:name="_Toc516816411"/>
      <w:bookmarkStart w:id="1245" w:name="_Toc516816222"/>
      <w:bookmarkStart w:id="1246" w:name="_Toc515441219"/>
      <w:r>
        <w:rPr>
          <w:rFonts w:hint="eastAsia"/>
          <w:color w:val="auto"/>
        </w:rPr>
        <w:t>二、已标价工程量清单</w:t>
      </w:r>
      <w:bookmarkEnd w:id="1243"/>
      <w:r>
        <w:rPr>
          <w:rFonts w:hint="eastAsia"/>
          <w:color w:val="auto"/>
        </w:rPr>
        <w:t>（格式）</w:t>
      </w:r>
      <w:bookmarkEnd w:id="1244"/>
      <w:bookmarkEnd w:id="1245"/>
      <w:bookmarkEnd w:id="1246"/>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已标价工程量清单</w:t>
      </w:r>
    </w:p>
    <w:p>
      <w:pPr>
        <w:jc w:val="center"/>
        <w:rPr>
          <w:rFonts w:ascii="宋体" w:hAnsi="宋体"/>
          <w:b/>
          <w:color w:val="auto"/>
          <w:sz w:val="28"/>
          <w:szCs w:val="28"/>
        </w:rPr>
      </w:pPr>
      <w:r>
        <w:rPr>
          <w:rFonts w:hint="eastAsia" w:ascii="宋体" w:hAnsi="宋体"/>
          <w:b/>
          <w:color w:val="auto"/>
          <w:sz w:val="28"/>
          <w:szCs w:val="28"/>
        </w:rPr>
        <w:t>（一）工程项目总价表</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815" w:type="dxa"/>
        <w:jc w:val="center"/>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004"/>
        <w:gridCol w:w="1811"/>
        <w:gridCol w:w="185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135" w:type="dxa"/>
            <w:vAlign w:val="center"/>
          </w:tcPr>
          <w:p>
            <w:pPr>
              <w:widowControl/>
              <w:spacing w:line="360" w:lineRule="auto"/>
              <w:jc w:val="center"/>
              <w:rPr>
                <w:color w:val="auto"/>
                <w:szCs w:val="21"/>
              </w:rPr>
            </w:pPr>
            <w:r>
              <w:rPr>
                <w:rFonts w:hint="eastAsia"/>
                <w:color w:val="auto"/>
                <w:szCs w:val="21"/>
              </w:rPr>
              <w:t>编号</w:t>
            </w:r>
          </w:p>
        </w:tc>
        <w:tc>
          <w:tcPr>
            <w:tcW w:w="4004" w:type="dxa"/>
            <w:vAlign w:val="center"/>
          </w:tcPr>
          <w:p>
            <w:pPr>
              <w:widowControl/>
              <w:spacing w:line="360" w:lineRule="auto"/>
              <w:jc w:val="center"/>
              <w:rPr>
                <w:color w:val="auto"/>
                <w:szCs w:val="21"/>
              </w:rPr>
            </w:pPr>
            <w:r>
              <w:rPr>
                <w:rFonts w:hint="eastAsia"/>
                <w:color w:val="auto"/>
                <w:szCs w:val="21"/>
              </w:rPr>
              <w:t>项目</w:t>
            </w:r>
            <w:r>
              <w:rPr>
                <w:color w:val="auto"/>
                <w:szCs w:val="21"/>
              </w:rPr>
              <w:t>名称</w:t>
            </w:r>
          </w:p>
        </w:tc>
        <w:tc>
          <w:tcPr>
            <w:tcW w:w="1811" w:type="dxa"/>
            <w:vAlign w:val="center"/>
          </w:tcPr>
          <w:p>
            <w:pPr>
              <w:widowControl/>
              <w:spacing w:line="360" w:lineRule="auto"/>
              <w:jc w:val="center"/>
              <w:rPr>
                <w:color w:val="auto"/>
                <w:szCs w:val="21"/>
              </w:rPr>
            </w:pPr>
            <w:r>
              <w:rPr>
                <w:rFonts w:hint="eastAsia"/>
                <w:color w:val="auto"/>
                <w:szCs w:val="21"/>
              </w:rPr>
              <w:t>金额(元)</w:t>
            </w:r>
          </w:p>
        </w:tc>
        <w:tc>
          <w:tcPr>
            <w:tcW w:w="1865" w:type="dxa"/>
            <w:gridSpan w:val="2"/>
            <w:vAlign w:val="center"/>
          </w:tcPr>
          <w:p>
            <w:pPr>
              <w:widowControl/>
              <w:spacing w:line="360" w:lineRule="auto"/>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35" w:type="dxa"/>
            <w:vAlign w:val="center"/>
          </w:tcPr>
          <w:p>
            <w:pPr>
              <w:widowControl/>
              <w:spacing w:line="360" w:lineRule="auto"/>
              <w:jc w:val="center"/>
              <w:rPr>
                <w:color w:val="auto"/>
                <w:szCs w:val="21"/>
              </w:rPr>
            </w:pPr>
          </w:p>
        </w:tc>
        <w:tc>
          <w:tcPr>
            <w:tcW w:w="4004" w:type="dxa"/>
            <w:vAlign w:val="center"/>
          </w:tcPr>
          <w:p>
            <w:pPr>
              <w:widowControl/>
              <w:spacing w:line="360" w:lineRule="auto"/>
              <w:jc w:val="center"/>
              <w:rPr>
                <w:color w:val="auto"/>
                <w:szCs w:val="21"/>
              </w:rPr>
            </w:pPr>
            <w:r>
              <w:rPr>
                <w:rFonts w:hint="eastAsia"/>
                <w:color w:val="auto"/>
                <w:szCs w:val="21"/>
              </w:rPr>
              <w:t>小      计（</w:t>
            </w:r>
            <w:r>
              <w:rPr>
                <w:color w:val="auto"/>
                <w:szCs w:val="21"/>
              </w:rPr>
              <w:t>B）</w:t>
            </w: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39" w:type="dxa"/>
            <w:gridSpan w:val="2"/>
            <w:vAlign w:val="center"/>
          </w:tcPr>
          <w:p>
            <w:pPr>
              <w:widowControl/>
              <w:spacing w:line="360" w:lineRule="auto"/>
              <w:jc w:val="center"/>
              <w:rPr>
                <w:color w:val="auto"/>
                <w:szCs w:val="21"/>
              </w:rPr>
            </w:pPr>
            <w:r>
              <w:rPr>
                <w:color w:val="auto"/>
                <w:szCs w:val="21"/>
              </w:rPr>
              <w:t>工程暂列</w:t>
            </w:r>
            <w:r>
              <w:rPr>
                <w:rFonts w:hint="eastAsia"/>
                <w:color w:val="auto"/>
                <w:szCs w:val="21"/>
              </w:rPr>
              <w:t>金额</w:t>
            </w:r>
            <w:r>
              <w:rPr>
                <w:color w:val="auto"/>
                <w:szCs w:val="21"/>
              </w:rPr>
              <w:t>（</w:t>
            </w:r>
            <w:r>
              <w:rPr>
                <w:rFonts w:hint="eastAsia"/>
                <w:color w:val="auto"/>
                <w:szCs w:val="21"/>
              </w:rPr>
              <w:t>C）</w:t>
            </w:r>
          </w:p>
        </w:tc>
        <w:tc>
          <w:tcPr>
            <w:tcW w:w="1811" w:type="dxa"/>
          </w:tcPr>
          <w:p>
            <w:pPr>
              <w:widowControl/>
              <w:spacing w:line="360" w:lineRule="auto"/>
              <w:jc w:val="center"/>
              <w:rPr>
                <w:color w:val="auto"/>
                <w:szCs w:val="21"/>
              </w:rPr>
            </w:pP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39" w:type="dxa"/>
            <w:gridSpan w:val="2"/>
            <w:vAlign w:val="center"/>
          </w:tcPr>
          <w:p>
            <w:pPr>
              <w:widowControl/>
              <w:spacing w:line="360" w:lineRule="auto"/>
              <w:jc w:val="center"/>
              <w:rPr>
                <w:color w:val="auto"/>
                <w:szCs w:val="21"/>
              </w:rPr>
            </w:pPr>
            <w:r>
              <w:rPr>
                <w:rFonts w:hint="eastAsia"/>
                <w:color w:val="auto"/>
                <w:szCs w:val="21"/>
              </w:rPr>
              <w:t>……</w:t>
            </w:r>
            <w:r>
              <w:rPr>
                <w:color w:val="auto"/>
                <w:szCs w:val="21"/>
              </w:rPr>
              <w:t>（</w:t>
            </w:r>
            <w:r>
              <w:rPr>
                <w:rFonts w:hint="eastAsia"/>
                <w:color w:val="auto"/>
                <w:szCs w:val="21"/>
              </w:rPr>
              <w:t>D）</w:t>
            </w:r>
          </w:p>
        </w:tc>
        <w:tc>
          <w:tcPr>
            <w:tcW w:w="1811" w:type="dxa"/>
          </w:tcPr>
          <w:p>
            <w:pPr>
              <w:widowControl/>
              <w:spacing w:line="360" w:lineRule="auto"/>
              <w:jc w:val="center"/>
              <w:rPr>
                <w:color w:val="auto"/>
                <w:szCs w:val="21"/>
              </w:rPr>
            </w:pPr>
            <w:r>
              <w:rPr>
                <w:color w:val="auto"/>
                <w:szCs w:val="21"/>
              </w:rPr>
              <w:t>……</w:t>
            </w:r>
          </w:p>
        </w:tc>
        <w:tc>
          <w:tcPr>
            <w:tcW w:w="1865" w:type="dxa"/>
            <w:gridSpan w:val="2"/>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227" w:hRule="atLeast"/>
          <w:jc w:val="center"/>
        </w:trPr>
        <w:tc>
          <w:tcPr>
            <w:tcW w:w="5139" w:type="dxa"/>
            <w:gridSpan w:val="2"/>
            <w:vAlign w:val="center"/>
          </w:tcPr>
          <w:p>
            <w:pPr>
              <w:widowControl/>
              <w:spacing w:line="360" w:lineRule="auto"/>
              <w:jc w:val="center"/>
              <w:rPr>
                <w:color w:val="auto"/>
                <w:szCs w:val="21"/>
              </w:rPr>
            </w:pPr>
            <w:r>
              <w:rPr>
                <w:color w:val="auto"/>
                <w:szCs w:val="21"/>
              </w:rPr>
              <w:t xml:space="preserve">合 </w:t>
            </w:r>
            <w:r>
              <w:rPr>
                <w:rFonts w:hint="eastAsia"/>
                <w:color w:val="auto"/>
                <w:szCs w:val="21"/>
              </w:rPr>
              <w:t xml:space="preserve">     </w:t>
            </w:r>
            <w:r>
              <w:rPr>
                <w:color w:val="auto"/>
                <w:szCs w:val="21"/>
              </w:rPr>
              <w:t>计</w:t>
            </w:r>
            <w:r>
              <w:rPr>
                <w:rFonts w:hint="eastAsia"/>
                <w:color w:val="auto"/>
                <w:szCs w:val="21"/>
              </w:rPr>
              <w:t>（A）</w:t>
            </w:r>
          </w:p>
        </w:tc>
        <w:tc>
          <w:tcPr>
            <w:tcW w:w="1811" w:type="dxa"/>
          </w:tcPr>
          <w:p>
            <w:pPr>
              <w:widowControl/>
              <w:spacing w:line="360" w:lineRule="auto"/>
              <w:jc w:val="center"/>
              <w:rPr>
                <w:color w:val="auto"/>
                <w:szCs w:val="21"/>
              </w:rPr>
            </w:pPr>
          </w:p>
        </w:tc>
        <w:tc>
          <w:tcPr>
            <w:tcW w:w="1853" w:type="dxa"/>
          </w:tcPr>
          <w:p>
            <w:pPr>
              <w:widowControl/>
              <w:spacing w:line="360" w:lineRule="auto"/>
              <w:jc w:val="center"/>
              <w:rPr>
                <w:color w:val="auto"/>
                <w:szCs w:val="21"/>
              </w:rPr>
            </w:pPr>
          </w:p>
        </w:tc>
      </w:tr>
    </w:tbl>
    <w:p>
      <w:pPr>
        <w:widowControl/>
        <w:spacing w:line="360" w:lineRule="auto"/>
        <w:jc w:val="center"/>
        <w:rPr>
          <w:color w:val="auto"/>
          <w:szCs w:val="21"/>
        </w:rPr>
      </w:pPr>
      <w:r>
        <w:rPr>
          <w:rFonts w:hint="eastAsia"/>
          <w:color w:val="auto"/>
          <w:szCs w:val="21"/>
        </w:rPr>
        <w:t>投标总报价（A）=（</w:t>
      </w:r>
      <w:r>
        <w:rPr>
          <w:color w:val="auto"/>
          <w:szCs w:val="21"/>
        </w:rPr>
        <w:t>B</w:t>
      </w:r>
      <w:r>
        <w:rPr>
          <w:rFonts w:hint="eastAsia"/>
          <w:color w:val="auto"/>
          <w:szCs w:val="21"/>
        </w:rPr>
        <w:t>）</w:t>
      </w:r>
      <w:r>
        <w:rPr>
          <w:color w:val="auto"/>
          <w:szCs w:val="21"/>
        </w:rPr>
        <w:t>+</w:t>
      </w:r>
      <w:r>
        <w:rPr>
          <w:rFonts w:hint="eastAsia"/>
          <w:color w:val="auto"/>
          <w:szCs w:val="21"/>
        </w:rPr>
        <w:t>（</w:t>
      </w:r>
      <w:r>
        <w:rPr>
          <w:color w:val="auto"/>
          <w:szCs w:val="21"/>
        </w:rPr>
        <w:t>C</w:t>
      </w:r>
      <w:r>
        <w:rPr>
          <w:rFonts w:hint="eastAsia"/>
          <w:color w:val="auto"/>
          <w:szCs w:val="21"/>
        </w:rPr>
        <w:t>）</w:t>
      </w:r>
      <w:r>
        <w:rPr>
          <w:color w:val="auto"/>
          <w:szCs w:val="21"/>
        </w:rPr>
        <w:t>+</w:t>
      </w:r>
      <w:r>
        <w:rPr>
          <w:rFonts w:hint="eastAsia"/>
          <w:color w:val="auto"/>
          <w:szCs w:val="21"/>
        </w:rPr>
        <w:t>… 小写：________________</w:t>
      </w:r>
    </w:p>
    <w:p>
      <w:pPr>
        <w:widowControl/>
        <w:spacing w:line="360" w:lineRule="auto"/>
        <w:jc w:val="center"/>
        <w:rPr>
          <w:color w:val="auto"/>
          <w:szCs w:val="21"/>
        </w:rPr>
      </w:pPr>
      <w:r>
        <w:rPr>
          <w:rFonts w:hint="eastAsia"/>
          <w:color w:val="auto"/>
          <w:szCs w:val="21"/>
        </w:rPr>
        <w:t>大写：</w:t>
      </w:r>
      <w:r>
        <w:rPr>
          <w:rFonts w:hint="eastAsia"/>
          <w:color w:val="auto"/>
          <w:szCs w:val="21"/>
          <w:u w:val="single"/>
        </w:rPr>
        <w:t>（填入投标总报价）</w:t>
      </w:r>
    </w:p>
    <w:p>
      <w:pPr>
        <w:widowControl/>
        <w:spacing w:line="360" w:lineRule="auto"/>
        <w:jc w:val="center"/>
        <w:rPr>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jc w:val="center"/>
        <w:rPr>
          <w:rFonts w:asciiTheme="minorEastAsia" w:hAnsiTheme="minorEastAsia"/>
          <w:b/>
          <w:color w:val="auto"/>
          <w:sz w:val="28"/>
          <w:szCs w:val="28"/>
        </w:rPr>
      </w:pPr>
      <w:r>
        <w:rPr>
          <w:rFonts w:hint="eastAsia" w:asciiTheme="minorEastAsia" w:hAnsiTheme="minorEastAsia"/>
          <w:b/>
          <w:color w:val="auto"/>
          <w:sz w:val="28"/>
          <w:szCs w:val="28"/>
        </w:rPr>
        <w:t>（二）工程量清单报价表（建筑或临时工程）</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805" w:type="dxa"/>
        <w:jc w:val="center"/>
        <w:tblInd w:w="0" w:type="dxa"/>
        <w:tblLayout w:type="fixed"/>
        <w:tblCellMar>
          <w:top w:w="0" w:type="dxa"/>
          <w:left w:w="0" w:type="dxa"/>
          <w:bottom w:w="0" w:type="dxa"/>
          <w:right w:w="0" w:type="dxa"/>
        </w:tblCellMar>
      </w:tblPr>
      <w:tblGrid>
        <w:gridCol w:w="547"/>
        <w:gridCol w:w="3209"/>
        <w:gridCol w:w="842"/>
        <w:gridCol w:w="1127"/>
        <w:gridCol w:w="1187"/>
        <w:gridCol w:w="1171"/>
        <w:gridCol w:w="722"/>
      </w:tblGrid>
      <w:tr>
        <w:tblPrEx>
          <w:tblLayout w:type="fixed"/>
          <w:tblCellMar>
            <w:top w:w="0" w:type="dxa"/>
            <w:left w:w="0" w:type="dxa"/>
            <w:bottom w:w="0" w:type="dxa"/>
            <w:right w:w="0" w:type="dxa"/>
          </w:tblCellMar>
        </w:tblPrEx>
        <w:trPr>
          <w:trHeight w:val="291" w:hRule="atLeast"/>
          <w:jc w:val="center"/>
        </w:trPr>
        <w:tc>
          <w:tcPr>
            <w:tcW w:w="5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编号</w:t>
            </w:r>
          </w:p>
        </w:tc>
        <w:tc>
          <w:tcPr>
            <w:tcW w:w="32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项目名称及特征</w:t>
            </w:r>
          </w:p>
        </w:tc>
        <w:tc>
          <w:tcPr>
            <w:tcW w:w="8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计量</w:t>
            </w:r>
          </w:p>
          <w:p>
            <w:pPr>
              <w:widowControl/>
              <w:spacing w:line="360" w:lineRule="auto"/>
              <w:jc w:val="center"/>
              <w:rPr>
                <w:color w:val="auto"/>
                <w:szCs w:val="21"/>
              </w:rPr>
            </w:pPr>
            <w:r>
              <w:rPr>
                <w:rFonts w:hint="eastAsia"/>
                <w:color w:val="auto"/>
                <w:szCs w:val="21"/>
              </w:rPr>
              <w:t>单位</w:t>
            </w:r>
          </w:p>
        </w:tc>
        <w:tc>
          <w:tcPr>
            <w:tcW w:w="11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工程量</w:t>
            </w:r>
          </w:p>
        </w:tc>
        <w:tc>
          <w:tcPr>
            <w:tcW w:w="118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单价（元）</w:t>
            </w:r>
          </w:p>
        </w:tc>
        <w:tc>
          <w:tcPr>
            <w:tcW w:w="1171"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合价（元）</w:t>
            </w:r>
          </w:p>
        </w:tc>
        <w:tc>
          <w:tcPr>
            <w:tcW w:w="7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备注</w:t>
            </w:r>
          </w:p>
        </w:tc>
      </w:tr>
      <w:tr>
        <w:tblPrEx>
          <w:tblLayout w:type="fixed"/>
          <w:tblCellMar>
            <w:top w:w="0" w:type="dxa"/>
            <w:left w:w="0" w:type="dxa"/>
            <w:bottom w:w="0" w:type="dxa"/>
            <w:right w:w="0" w:type="dxa"/>
          </w:tblCellMar>
        </w:tblPrEx>
        <w:trPr>
          <w:trHeight w:val="291" w:hRule="atLeast"/>
          <w:jc w:val="center"/>
        </w:trPr>
        <w:tc>
          <w:tcPr>
            <w:tcW w:w="54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nil"/>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nil"/>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nil"/>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r>
              <w:rPr>
                <w:rFonts w:hint="eastAsia"/>
                <w:color w:val="auto"/>
                <w:szCs w:val="21"/>
              </w:rPr>
              <w:t xml:space="preserve">  </w:t>
            </w: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nil"/>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nil"/>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r>
        <w:tblPrEx>
          <w:tblLayout w:type="fixed"/>
          <w:tblCellMar>
            <w:top w:w="0" w:type="dxa"/>
            <w:left w:w="0" w:type="dxa"/>
            <w:bottom w:w="0" w:type="dxa"/>
            <w:right w:w="0" w:type="dxa"/>
          </w:tblCellMar>
        </w:tblPrEx>
        <w:trPr>
          <w:trHeight w:val="291" w:hRule="atLeast"/>
          <w:jc w:val="center"/>
        </w:trPr>
        <w:tc>
          <w:tcPr>
            <w:tcW w:w="54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3209"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8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2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c>
          <w:tcPr>
            <w:tcW w:w="1171" w:type="dxa"/>
            <w:tcBorders>
              <w:top w:val="single" w:color="auto" w:sz="4" w:space="0"/>
              <w:left w:val="nil"/>
              <w:bottom w:val="single" w:color="auto" w:sz="4" w:space="0"/>
              <w:right w:val="single" w:color="auto" w:sz="4" w:space="0"/>
            </w:tcBorders>
          </w:tcPr>
          <w:p>
            <w:pPr>
              <w:widowControl/>
              <w:spacing w:line="360" w:lineRule="auto"/>
              <w:jc w:val="center"/>
              <w:rPr>
                <w:color w:val="auto"/>
                <w:szCs w:val="21"/>
              </w:rPr>
            </w:pPr>
          </w:p>
        </w:tc>
        <w:tc>
          <w:tcPr>
            <w:tcW w:w="72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jc w:val="center"/>
              <w:rPr>
                <w:color w:val="auto"/>
                <w:szCs w:val="21"/>
              </w:rPr>
            </w:pPr>
          </w:p>
        </w:tc>
      </w:tr>
    </w:tbl>
    <w:p>
      <w:pPr>
        <w:widowControl/>
        <w:spacing w:line="360" w:lineRule="auto"/>
        <w:jc w:val="center"/>
        <w:rPr>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jc w:val="center"/>
        <w:rPr>
          <w:rFonts w:asciiTheme="minorEastAsia" w:hAnsiTheme="minorEastAsia"/>
          <w:b/>
          <w:color w:val="auto"/>
          <w:sz w:val="28"/>
          <w:szCs w:val="28"/>
        </w:rPr>
      </w:pPr>
      <w:r>
        <w:rPr>
          <w:rFonts w:hint="eastAsia" w:asciiTheme="minorEastAsia" w:hAnsiTheme="minorEastAsia"/>
          <w:b/>
          <w:color w:val="auto"/>
          <w:sz w:val="28"/>
          <w:szCs w:val="28"/>
        </w:rPr>
        <w:t>（二）工程量清单报价表（机电或金属结构设备及安装工程）</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815" w:type="dxa"/>
        <w:jc w:val="center"/>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842"/>
        <w:gridCol w:w="673"/>
        <w:gridCol w:w="1125"/>
        <w:gridCol w:w="1114"/>
        <w:gridCol w:w="938"/>
        <w:gridCol w:w="1075"/>
        <w:gridCol w:w="94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87" w:type="dxa"/>
            <w:vMerge w:val="restart"/>
            <w:vAlign w:val="center"/>
          </w:tcPr>
          <w:p>
            <w:pPr>
              <w:widowControl/>
              <w:spacing w:line="360" w:lineRule="auto"/>
              <w:jc w:val="center"/>
              <w:rPr>
                <w:color w:val="auto"/>
                <w:szCs w:val="21"/>
              </w:rPr>
            </w:pPr>
            <w:r>
              <w:rPr>
                <w:rFonts w:hint="eastAsia"/>
                <w:color w:val="auto"/>
                <w:szCs w:val="21"/>
              </w:rPr>
              <w:t>编号</w:t>
            </w:r>
          </w:p>
        </w:tc>
        <w:tc>
          <w:tcPr>
            <w:tcW w:w="1842" w:type="dxa"/>
            <w:vMerge w:val="restart"/>
            <w:vAlign w:val="center"/>
          </w:tcPr>
          <w:p>
            <w:pPr>
              <w:widowControl/>
              <w:spacing w:line="360" w:lineRule="auto"/>
              <w:jc w:val="center"/>
              <w:rPr>
                <w:color w:val="auto"/>
                <w:szCs w:val="21"/>
              </w:rPr>
            </w:pPr>
            <w:r>
              <w:rPr>
                <w:rFonts w:hint="eastAsia"/>
                <w:color w:val="auto"/>
                <w:szCs w:val="21"/>
              </w:rPr>
              <w:t>项目名称及规格</w:t>
            </w:r>
          </w:p>
        </w:tc>
        <w:tc>
          <w:tcPr>
            <w:tcW w:w="673" w:type="dxa"/>
            <w:vMerge w:val="restart"/>
            <w:vAlign w:val="center"/>
          </w:tcPr>
          <w:p>
            <w:pPr>
              <w:widowControl/>
              <w:spacing w:line="360" w:lineRule="auto"/>
              <w:jc w:val="center"/>
              <w:rPr>
                <w:color w:val="auto"/>
                <w:szCs w:val="21"/>
              </w:rPr>
            </w:pPr>
            <w:r>
              <w:rPr>
                <w:rFonts w:hint="eastAsia"/>
                <w:color w:val="auto"/>
                <w:szCs w:val="21"/>
              </w:rPr>
              <w:t>计量</w:t>
            </w:r>
          </w:p>
          <w:p>
            <w:pPr>
              <w:widowControl/>
              <w:spacing w:line="360" w:lineRule="auto"/>
              <w:jc w:val="center"/>
              <w:rPr>
                <w:color w:val="auto"/>
                <w:szCs w:val="21"/>
              </w:rPr>
            </w:pPr>
            <w:r>
              <w:rPr>
                <w:rFonts w:hint="eastAsia"/>
                <w:color w:val="auto"/>
                <w:szCs w:val="21"/>
              </w:rPr>
              <w:t>单位</w:t>
            </w:r>
          </w:p>
        </w:tc>
        <w:tc>
          <w:tcPr>
            <w:tcW w:w="1125" w:type="dxa"/>
            <w:vMerge w:val="restart"/>
            <w:vAlign w:val="center"/>
          </w:tcPr>
          <w:p>
            <w:pPr>
              <w:widowControl/>
              <w:spacing w:line="360" w:lineRule="auto"/>
              <w:jc w:val="center"/>
              <w:rPr>
                <w:color w:val="auto"/>
                <w:szCs w:val="21"/>
              </w:rPr>
            </w:pPr>
            <w:r>
              <w:rPr>
                <w:rFonts w:hint="eastAsia"/>
                <w:color w:val="auto"/>
                <w:szCs w:val="21"/>
              </w:rPr>
              <w:t>工程量</w:t>
            </w:r>
          </w:p>
        </w:tc>
        <w:tc>
          <w:tcPr>
            <w:tcW w:w="2052" w:type="dxa"/>
            <w:gridSpan w:val="2"/>
            <w:vAlign w:val="center"/>
          </w:tcPr>
          <w:p>
            <w:pPr>
              <w:widowControl/>
              <w:spacing w:line="360" w:lineRule="auto"/>
              <w:jc w:val="center"/>
              <w:rPr>
                <w:color w:val="auto"/>
                <w:szCs w:val="21"/>
              </w:rPr>
            </w:pPr>
            <w:r>
              <w:rPr>
                <w:rFonts w:hint="eastAsia"/>
                <w:color w:val="auto"/>
                <w:szCs w:val="21"/>
              </w:rPr>
              <w:t>单价（元）</w:t>
            </w:r>
          </w:p>
        </w:tc>
        <w:tc>
          <w:tcPr>
            <w:tcW w:w="2015" w:type="dxa"/>
            <w:gridSpan w:val="2"/>
            <w:vAlign w:val="center"/>
          </w:tcPr>
          <w:p>
            <w:pPr>
              <w:widowControl/>
              <w:spacing w:line="360" w:lineRule="auto"/>
              <w:jc w:val="center"/>
              <w:rPr>
                <w:color w:val="auto"/>
                <w:szCs w:val="21"/>
              </w:rPr>
            </w:pPr>
            <w:r>
              <w:rPr>
                <w:rFonts w:hint="eastAsia"/>
                <w:color w:val="auto"/>
                <w:szCs w:val="21"/>
              </w:rPr>
              <w:t>合价（元）</w:t>
            </w:r>
          </w:p>
        </w:tc>
        <w:tc>
          <w:tcPr>
            <w:tcW w:w="621" w:type="dxa"/>
            <w:vMerge w:val="restart"/>
            <w:vAlign w:val="center"/>
          </w:tcPr>
          <w:p>
            <w:pPr>
              <w:widowControl/>
              <w:spacing w:line="360" w:lineRule="auto"/>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487" w:type="dxa"/>
            <w:vMerge w:val="continue"/>
          </w:tcPr>
          <w:p>
            <w:pPr>
              <w:widowControl/>
              <w:spacing w:line="360" w:lineRule="auto"/>
              <w:jc w:val="center"/>
              <w:rPr>
                <w:color w:val="auto"/>
                <w:szCs w:val="21"/>
              </w:rPr>
            </w:pPr>
          </w:p>
        </w:tc>
        <w:tc>
          <w:tcPr>
            <w:tcW w:w="1842" w:type="dxa"/>
            <w:vMerge w:val="continue"/>
          </w:tcPr>
          <w:p>
            <w:pPr>
              <w:widowControl/>
              <w:spacing w:line="360" w:lineRule="auto"/>
              <w:jc w:val="center"/>
              <w:rPr>
                <w:color w:val="auto"/>
                <w:szCs w:val="21"/>
              </w:rPr>
            </w:pPr>
          </w:p>
        </w:tc>
        <w:tc>
          <w:tcPr>
            <w:tcW w:w="673" w:type="dxa"/>
            <w:vMerge w:val="continue"/>
          </w:tcPr>
          <w:p>
            <w:pPr>
              <w:widowControl/>
              <w:spacing w:line="360" w:lineRule="auto"/>
              <w:jc w:val="center"/>
              <w:rPr>
                <w:color w:val="auto"/>
                <w:szCs w:val="21"/>
              </w:rPr>
            </w:pPr>
          </w:p>
        </w:tc>
        <w:tc>
          <w:tcPr>
            <w:tcW w:w="1125" w:type="dxa"/>
            <w:vMerge w:val="continue"/>
          </w:tcPr>
          <w:p>
            <w:pPr>
              <w:widowControl/>
              <w:spacing w:line="360" w:lineRule="auto"/>
              <w:jc w:val="center"/>
              <w:rPr>
                <w:color w:val="auto"/>
                <w:szCs w:val="21"/>
              </w:rPr>
            </w:pPr>
          </w:p>
        </w:tc>
        <w:tc>
          <w:tcPr>
            <w:tcW w:w="1114" w:type="dxa"/>
            <w:vAlign w:val="center"/>
          </w:tcPr>
          <w:p>
            <w:pPr>
              <w:widowControl/>
              <w:spacing w:line="360" w:lineRule="auto"/>
              <w:jc w:val="center"/>
              <w:rPr>
                <w:color w:val="auto"/>
                <w:szCs w:val="21"/>
              </w:rPr>
            </w:pPr>
            <w:r>
              <w:rPr>
                <w:rFonts w:hint="eastAsia"/>
                <w:color w:val="auto"/>
                <w:szCs w:val="21"/>
              </w:rPr>
              <w:t>设备费</w:t>
            </w:r>
          </w:p>
        </w:tc>
        <w:tc>
          <w:tcPr>
            <w:tcW w:w="938" w:type="dxa"/>
            <w:vAlign w:val="center"/>
          </w:tcPr>
          <w:p>
            <w:pPr>
              <w:widowControl/>
              <w:spacing w:line="360" w:lineRule="auto"/>
              <w:jc w:val="center"/>
              <w:rPr>
                <w:color w:val="auto"/>
                <w:szCs w:val="21"/>
              </w:rPr>
            </w:pPr>
            <w:r>
              <w:rPr>
                <w:rFonts w:hint="eastAsia"/>
                <w:color w:val="auto"/>
                <w:szCs w:val="21"/>
              </w:rPr>
              <w:t>安装费</w:t>
            </w:r>
          </w:p>
        </w:tc>
        <w:tc>
          <w:tcPr>
            <w:tcW w:w="1075" w:type="dxa"/>
            <w:vAlign w:val="center"/>
          </w:tcPr>
          <w:p>
            <w:pPr>
              <w:widowControl/>
              <w:spacing w:line="360" w:lineRule="auto"/>
              <w:jc w:val="center"/>
              <w:rPr>
                <w:color w:val="auto"/>
                <w:szCs w:val="21"/>
              </w:rPr>
            </w:pPr>
            <w:r>
              <w:rPr>
                <w:rFonts w:hint="eastAsia"/>
                <w:color w:val="auto"/>
                <w:szCs w:val="21"/>
              </w:rPr>
              <w:t>设备费</w:t>
            </w:r>
          </w:p>
        </w:tc>
        <w:tc>
          <w:tcPr>
            <w:tcW w:w="940" w:type="dxa"/>
            <w:vAlign w:val="center"/>
          </w:tcPr>
          <w:p>
            <w:pPr>
              <w:widowControl/>
              <w:spacing w:line="360" w:lineRule="auto"/>
              <w:jc w:val="center"/>
              <w:rPr>
                <w:color w:val="auto"/>
                <w:szCs w:val="21"/>
              </w:rPr>
            </w:pPr>
            <w:r>
              <w:rPr>
                <w:rFonts w:hint="eastAsia"/>
                <w:color w:val="auto"/>
                <w:szCs w:val="21"/>
              </w:rPr>
              <w:t>安装费</w:t>
            </w:r>
          </w:p>
        </w:tc>
        <w:tc>
          <w:tcPr>
            <w:tcW w:w="621" w:type="dxa"/>
            <w:vMerge w:val="continue"/>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7" w:type="dxa"/>
          </w:tcPr>
          <w:p>
            <w:pPr>
              <w:widowControl/>
              <w:spacing w:line="360" w:lineRule="auto"/>
              <w:jc w:val="center"/>
              <w:rPr>
                <w:color w:val="auto"/>
                <w:szCs w:val="21"/>
              </w:rPr>
            </w:pPr>
          </w:p>
        </w:tc>
        <w:tc>
          <w:tcPr>
            <w:tcW w:w="1842" w:type="dxa"/>
          </w:tcPr>
          <w:p>
            <w:pPr>
              <w:widowControl/>
              <w:spacing w:line="360" w:lineRule="auto"/>
              <w:jc w:val="center"/>
              <w:rPr>
                <w:color w:val="auto"/>
                <w:szCs w:val="21"/>
              </w:rPr>
            </w:pPr>
          </w:p>
        </w:tc>
        <w:tc>
          <w:tcPr>
            <w:tcW w:w="673" w:type="dxa"/>
          </w:tcPr>
          <w:p>
            <w:pPr>
              <w:widowControl/>
              <w:spacing w:line="360" w:lineRule="auto"/>
              <w:jc w:val="center"/>
              <w:rPr>
                <w:color w:val="auto"/>
                <w:szCs w:val="21"/>
              </w:rPr>
            </w:pPr>
          </w:p>
        </w:tc>
        <w:tc>
          <w:tcPr>
            <w:tcW w:w="1125" w:type="dxa"/>
          </w:tcPr>
          <w:p>
            <w:pPr>
              <w:widowControl/>
              <w:spacing w:line="360" w:lineRule="auto"/>
              <w:jc w:val="center"/>
              <w:rPr>
                <w:color w:val="auto"/>
                <w:szCs w:val="21"/>
              </w:rPr>
            </w:pPr>
          </w:p>
        </w:tc>
        <w:tc>
          <w:tcPr>
            <w:tcW w:w="1114" w:type="dxa"/>
          </w:tcPr>
          <w:p>
            <w:pPr>
              <w:widowControl/>
              <w:spacing w:line="360" w:lineRule="auto"/>
              <w:jc w:val="center"/>
              <w:rPr>
                <w:color w:val="auto"/>
                <w:szCs w:val="21"/>
              </w:rPr>
            </w:pPr>
          </w:p>
        </w:tc>
        <w:tc>
          <w:tcPr>
            <w:tcW w:w="938" w:type="dxa"/>
          </w:tcPr>
          <w:p>
            <w:pPr>
              <w:widowControl/>
              <w:spacing w:line="360" w:lineRule="auto"/>
              <w:jc w:val="center"/>
              <w:rPr>
                <w:color w:val="auto"/>
                <w:szCs w:val="21"/>
              </w:rPr>
            </w:pPr>
          </w:p>
        </w:tc>
        <w:tc>
          <w:tcPr>
            <w:tcW w:w="1075" w:type="dxa"/>
          </w:tcPr>
          <w:p>
            <w:pPr>
              <w:widowControl/>
              <w:spacing w:line="360" w:lineRule="auto"/>
              <w:jc w:val="center"/>
              <w:rPr>
                <w:color w:val="auto"/>
                <w:szCs w:val="21"/>
              </w:rPr>
            </w:pPr>
          </w:p>
        </w:tc>
        <w:tc>
          <w:tcPr>
            <w:tcW w:w="940" w:type="dxa"/>
          </w:tcPr>
          <w:p>
            <w:pPr>
              <w:widowControl/>
              <w:spacing w:line="360" w:lineRule="auto"/>
              <w:jc w:val="center"/>
              <w:rPr>
                <w:color w:val="auto"/>
                <w:szCs w:val="21"/>
              </w:rPr>
            </w:pPr>
          </w:p>
        </w:tc>
        <w:tc>
          <w:tcPr>
            <w:tcW w:w="621" w:type="dxa"/>
          </w:tcPr>
          <w:p>
            <w:pPr>
              <w:widowControl/>
              <w:spacing w:line="360" w:lineRule="auto"/>
              <w:jc w:val="center"/>
              <w:rPr>
                <w:color w:val="auto"/>
                <w:szCs w:val="21"/>
              </w:rPr>
            </w:pPr>
          </w:p>
        </w:tc>
      </w:tr>
    </w:tbl>
    <w:p>
      <w:pPr>
        <w:ind w:left="1132" w:leftChars="1" w:hanging="1130" w:hangingChars="471"/>
        <w:rPr>
          <w:rFonts w:ascii="宋体" w:hAnsi="宋体"/>
          <w:color w:val="auto"/>
          <w:sz w:val="24"/>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jc w:val="center"/>
        <w:rPr>
          <w:rFonts w:asciiTheme="minorEastAsia" w:hAnsiTheme="minorEastAsia"/>
          <w:b/>
          <w:color w:val="auto"/>
          <w:sz w:val="28"/>
          <w:szCs w:val="28"/>
        </w:rPr>
      </w:pPr>
      <w:r>
        <w:rPr>
          <w:rFonts w:asciiTheme="minorEastAsia" w:hAnsiTheme="minorEastAsia"/>
          <w:b/>
          <w:color w:val="auto"/>
          <w:sz w:val="28"/>
          <w:szCs w:val="28"/>
        </w:rPr>
        <w:t>（三）</w:t>
      </w:r>
      <w:r>
        <w:rPr>
          <w:rFonts w:hint="eastAsia" w:asciiTheme="minorEastAsia" w:hAnsiTheme="minorEastAsia"/>
          <w:b/>
          <w:color w:val="auto"/>
          <w:sz w:val="28"/>
          <w:szCs w:val="28"/>
        </w:rPr>
        <w:t>已标价工程量清单辅助表格</w:t>
      </w:r>
    </w:p>
    <w:p>
      <w:pPr>
        <w:rPr>
          <w:rFonts w:ascii="宋体" w:hAnsi="宋体"/>
          <w:color w:val="auto"/>
          <w:sz w:val="24"/>
        </w:rPr>
      </w:pPr>
      <w:r>
        <w:rPr>
          <w:rFonts w:hint="eastAsia" w:ascii="宋体" w:hAnsi="宋体"/>
          <w:color w:val="auto"/>
          <w:sz w:val="24"/>
        </w:rPr>
        <w:t>1.已标价工程量清单编制说明</w:t>
      </w:r>
    </w:p>
    <w:p>
      <w:pPr>
        <w:spacing w:line="440" w:lineRule="exact"/>
        <w:rPr>
          <w:rFonts w:ascii="宋体" w:hAnsi="宋体"/>
          <w:bCs/>
          <w:color w:val="auto"/>
          <w:sz w:val="28"/>
          <w:szCs w:val="28"/>
        </w:rPr>
      </w:pPr>
      <w:r>
        <w:rPr>
          <w:rFonts w:hint="eastAsia" w:ascii="宋体" w:hAnsi="宋体"/>
          <w:color w:val="auto"/>
          <w:sz w:val="24"/>
        </w:rPr>
        <w:t>2.单价分析表</w:t>
      </w:r>
    </w:p>
    <w:p>
      <w:pPr>
        <w:ind w:firstLine="420"/>
        <w:rPr>
          <w:rFonts w:ascii="宋体" w:hAnsi="宋体"/>
          <w:color w:val="auto"/>
          <w:szCs w:val="21"/>
        </w:rPr>
      </w:pPr>
      <w:r>
        <w:rPr>
          <w:rFonts w:hint="eastAsia" w:ascii="宋体" w:hAnsi="宋体"/>
          <w:color w:val="auto"/>
          <w:szCs w:val="21"/>
        </w:rPr>
        <w:t>投标人应按下列表格格式编制工程量清单中主要项目的单价分析表，每种单价一份，项目编号和名称应与工程量清单一致。</w:t>
      </w: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rPr>
          <w:rFonts w:ascii="宋体" w:hAnsi="宋体"/>
          <w:b/>
          <w:color w:val="auto"/>
          <w:sz w:val="28"/>
        </w:rPr>
      </w:pPr>
    </w:p>
    <w:p>
      <w:pPr>
        <w:ind w:firstLine="420"/>
        <w:jc w:val="center"/>
        <w:rPr>
          <w:rFonts w:ascii="宋体" w:hAnsi="宋体"/>
          <w:b/>
          <w:color w:val="auto"/>
          <w:sz w:val="28"/>
          <w:szCs w:val="28"/>
        </w:rPr>
      </w:pPr>
      <w:r>
        <w:rPr>
          <w:rFonts w:hint="eastAsia" w:ascii="宋体" w:hAnsi="宋体"/>
          <w:b/>
          <w:color w:val="auto"/>
          <w:sz w:val="28"/>
          <w:szCs w:val="28"/>
        </w:rPr>
        <w:t>单价分析表</w:t>
      </w:r>
    </w:p>
    <w:p>
      <w:pPr>
        <w:widowControl/>
        <w:spacing w:line="360" w:lineRule="auto"/>
        <w:jc w:val="left"/>
        <w:rPr>
          <w:color w:val="auto"/>
          <w:szCs w:val="21"/>
        </w:rPr>
      </w:pPr>
      <w:r>
        <w:rPr>
          <w:rFonts w:hint="eastAsia"/>
          <w:color w:val="auto"/>
          <w:szCs w:val="21"/>
        </w:rPr>
        <w:t>项目编号：</w:t>
      </w:r>
      <w:r>
        <w:rPr>
          <w:color w:val="auto"/>
          <w:szCs w:val="21"/>
        </w:rPr>
        <w:t>___________</w:t>
      </w:r>
    </w:p>
    <w:p>
      <w:pPr>
        <w:widowControl/>
        <w:spacing w:line="360" w:lineRule="auto"/>
        <w:jc w:val="left"/>
        <w:rPr>
          <w:color w:val="auto"/>
          <w:szCs w:val="21"/>
        </w:rPr>
      </w:pPr>
      <w:r>
        <w:rPr>
          <w:rFonts w:hint="eastAsia"/>
          <w:color w:val="auto"/>
          <w:szCs w:val="21"/>
        </w:rPr>
        <w:t>项目名称：</w:t>
      </w:r>
      <w:r>
        <w:rPr>
          <w:color w:val="auto"/>
          <w:szCs w:val="21"/>
        </w:rPr>
        <w:t xml:space="preserve">___________      </w:t>
      </w:r>
      <w:r>
        <w:rPr>
          <w:rFonts w:hint="eastAsia"/>
          <w:color w:val="auto"/>
          <w:szCs w:val="21"/>
        </w:rPr>
        <w:t>定额依据：</w:t>
      </w:r>
      <w:r>
        <w:rPr>
          <w:color w:val="auto"/>
          <w:szCs w:val="21"/>
        </w:rPr>
        <w:t>___________</w:t>
      </w:r>
    </w:p>
    <w:p>
      <w:pPr>
        <w:widowControl/>
        <w:spacing w:line="360" w:lineRule="auto"/>
        <w:jc w:val="left"/>
        <w:rPr>
          <w:color w:val="auto"/>
          <w:szCs w:val="21"/>
        </w:rPr>
      </w:pPr>
      <w:r>
        <w:rPr>
          <w:rFonts w:hint="eastAsia"/>
          <w:color w:val="auto"/>
          <w:szCs w:val="21"/>
        </w:rPr>
        <w:t>工作内容：</w:t>
      </w:r>
      <w:r>
        <w:rPr>
          <w:color w:val="auto"/>
          <w:szCs w:val="21"/>
        </w:rPr>
        <w:t xml:space="preserve">___________      </w:t>
      </w:r>
      <w:r>
        <w:rPr>
          <w:rFonts w:hint="eastAsia"/>
          <w:color w:val="auto"/>
          <w:szCs w:val="21"/>
        </w:rPr>
        <w:t>单</w:t>
      </w:r>
      <w:r>
        <w:rPr>
          <w:color w:val="auto"/>
          <w:szCs w:val="21"/>
        </w:rPr>
        <w:t xml:space="preserve">    </w:t>
      </w:r>
      <w:r>
        <w:rPr>
          <w:rFonts w:hint="eastAsia"/>
          <w:color w:val="auto"/>
          <w:szCs w:val="21"/>
        </w:rPr>
        <w:t>价：</w:t>
      </w:r>
      <w:r>
        <w:rPr>
          <w:color w:val="auto"/>
          <w:szCs w:val="21"/>
        </w:rPr>
        <w:t xml:space="preserve">___________   </w:t>
      </w:r>
      <w:r>
        <w:rPr>
          <w:rFonts w:hint="eastAsia"/>
          <w:color w:val="auto"/>
          <w:szCs w:val="21"/>
        </w:rPr>
        <w:t>计算单位：</w:t>
      </w:r>
      <w:r>
        <w:rPr>
          <w:color w:val="auto"/>
          <w:szCs w:val="21"/>
        </w:rPr>
        <w:t>_______</w:t>
      </w:r>
    </w:p>
    <w:tbl>
      <w:tblPr>
        <w:tblStyle w:val="39"/>
        <w:tblW w:w="8897" w:type="dxa"/>
        <w:jc w:val="center"/>
        <w:tblInd w:w="1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973"/>
        <w:gridCol w:w="835"/>
        <w:gridCol w:w="1087"/>
        <w:gridCol w:w="1087"/>
        <w:gridCol w:w="1087"/>
        <w:gridCol w:w="1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color w:val="auto"/>
                <w:szCs w:val="21"/>
              </w:rPr>
            </w:pPr>
            <w:r>
              <w:rPr>
                <w:rFonts w:hint="eastAsia"/>
                <w:color w:val="auto"/>
                <w:szCs w:val="21"/>
              </w:rPr>
              <w:t>编号</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名称及规格</w:t>
            </w: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单位</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数量</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单价（元）</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合价(元)</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直接费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1.1</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直接工程费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1.1.1</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人工费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1.1.2</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材料费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color w:val="auto"/>
                <w:szCs w:val="21"/>
              </w:rPr>
              <w:t>（1）</w:t>
            </w:r>
          </w:p>
        </w:tc>
        <w:tc>
          <w:tcPr>
            <w:tcW w:w="2973"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w:t>
            </w:r>
          </w:p>
        </w:tc>
        <w:tc>
          <w:tcPr>
            <w:tcW w:w="2973"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1.1.3</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机械使用费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(2)</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1.2</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措施费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2</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间接费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3</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利润</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4</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主材价差</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5</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主材费</w:t>
            </w:r>
            <w:r>
              <w:rPr>
                <w:color w:val="auto"/>
                <w:szCs w:val="21"/>
              </w:rPr>
              <w:t>/</w:t>
            </w:r>
            <w:r>
              <w:rPr>
                <w:rFonts w:hint="eastAsia"/>
                <w:color w:val="auto"/>
                <w:szCs w:val="21"/>
              </w:rPr>
              <w:t>未计价装置性材料费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color w:val="auto"/>
                <w:szCs w:val="21"/>
              </w:rPr>
              <w:t>6</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税金</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color w:val="auto"/>
                <w:szCs w:val="21"/>
              </w:rPr>
              <w:t>7</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临时工程摊销费</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color w:val="auto"/>
                <w:szCs w:val="21"/>
              </w:rPr>
              <w:t>8</w:t>
            </w: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其他费用摊销</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743"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29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auto"/>
                <w:szCs w:val="21"/>
              </w:rPr>
            </w:pPr>
            <w:r>
              <w:rPr>
                <w:rFonts w:hint="eastAsia"/>
                <w:color w:val="auto"/>
                <w:szCs w:val="21"/>
              </w:rPr>
              <w:t>合计</w:t>
            </w:r>
          </w:p>
        </w:tc>
        <w:tc>
          <w:tcPr>
            <w:tcW w:w="83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7"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c>
          <w:tcPr>
            <w:tcW w:w="1085" w:type="dxa"/>
            <w:tcBorders>
              <w:top w:val="single" w:color="auto" w:sz="4" w:space="0"/>
              <w:left w:val="single" w:color="auto" w:sz="4" w:space="0"/>
              <w:bottom w:val="single" w:color="auto" w:sz="4" w:space="0"/>
              <w:right w:val="single" w:color="auto" w:sz="4" w:space="0"/>
            </w:tcBorders>
          </w:tcPr>
          <w:p>
            <w:pPr>
              <w:widowControl/>
              <w:spacing w:line="360" w:lineRule="auto"/>
              <w:jc w:val="left"/>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spacing w:line="500" w:lineRule="exact"/>
        <w:ind w:left="300" w:firstLine="420"/>
        <w:rPr>
          <w:rFonts w:ascii="宋体" w:hAnsi="宋体" w:cs="Wingdings"/>
          <w:color w:val="auto"/>
          <w:kern w:val="0"/>
          <w:szCs w:val="21"/>
        </w:rPr>
      </w:pPr>
    </w:p>
    <w:p>
      <w:pPr>
        <w:spacing w:line="500" w:lineRule="exact"/>
        <w:ind w:left="300" w:firstLine="420"/>
        <w:rPr>
          <w:rFonts w:ascii="宋体" w:hAnsi="宋体" w:cs="Wingdings"/>
          <w:color w:val="auto"/>
          <w:kern w:val="0"/>
          <w:szCs w:val="21"/>
        </w:rPr>
      </w:pPr>
    </w:p>
    <w:p>
      <w:pPr>
        <w:spacing w:after="240" w:line="500" w:lineRule="exact"/>
        <w:jc w:val="center"/>
        <w:rPr>
          <w:rFonts w:ascii="宋体" w:hAnsi="宋体"/>
          <w:b/>
          <w:color w:val="auto"/>
          <w:sz w:val="28"/>
          <w:szCs w:val="28"/>
        </w:rPr>
      </w:pPr>
      <w:r>
        <w:rPr>
          <w:rFonts w:hint="eastAsia" w:ascii="宋体" w:hAnsi="宋体"/>
          <w:b/>
          <w:color w:val="auto"/>
          <w:sz w:val="28"/>
          <w:szCs w:val="28"/>
        </w:rPr>
        <w:t>单价分析汇总表</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756" w:type="dxa"/>
        <w:jc w:val="center"/>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654"/>
        <w:gridCol w:w="538"/>
        <w:gridCol w:w="813"/>
        <w:gridCol w:w="487"/>
        <w:gridCol w:w="487"/>
        <w:gridCol w:w="487"/>
        <w:gridCol w:w="487"/>
        <w:gridCol w:w="487"/>
        <w:gridCol w:w="487"/>
        <w:gridCol w:w="487"/>
        <w:gridCol w:w="813"/>
        <w:gridCol w:w="487"/>
        <w:gridCol w:w="65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75" w:type="dxa"/>
            <w:vMerge w:val="restart"/>
          </w:tcPr>
          <w:p>
            <w:pPr>
              <w:widowControl/>
              <w:spacing w:line="360" w:lineRule="auto"/>
              <w:jc w:val="center"/>
              <w:rPr>
                <w:color w:val="auto"/>
                <w:szCs w:val="21"/>
              </w:rPr>
            </w:pPr>
          </w:p>
          <w:p>
            <w:pPr>
              <w:widowControl/>
              <w:spacing w:line="360" w:lineRule="auto"/>
              <w:jc w:val="center"/>
              <w:rPr>
                <w:color w:val="auto"/>
                <w:szCs w:val="21"/>
              </w:rPr>
            </w:pPr>
          </w:p>
          <w:p>
            <w:pPr>
              <w:widowControl/>
              <w:spacing w:line="360" w:lineRule="auto"/>
              <w:jc w:val="center"/>
              <w:rPr>
                <w:color w:val="auto"/>
                <w:szCs w:val="21"/>
              </w:rPr>
            </w:pPr>
            <w:r>
              <w:rPr>
                <w:rFonts w:hint="eastAsia"/>
                <w:color w:val="auto"/>
                <w:szCs w:val="21"/>
              </w:rPr>
              <w:t>编号</w:t>
            </w:r>
          </w:p>
        </w:tc>
        <w:tc>
          <w:tcPr>
            <w:tcW w:w="654" w:type="dxa"/>
            <w:vMerge w:val="restart"/>
          </w:tcPr>
          <w:p>
            <w:pPr>
              <w:widowControl/>
              <w:spacing w:line="360" w:lineRule="auto"/>
              <w:jc w:val="center"/>
              <w:rPr>
                <w:color w:val="auto"/>
                <w:szCs w:val="21"/>
              </w:rPr>
            </w:pPr>
          </w:p>
          <w:p>
            <w:pPr>
              <w:widowControl/>
              <w:spacing w:line="360" w:lineRule="auto"/>
              <w:jc w:val="center"/>
              <w:rPr>
                <w:color w:val="auto"/>
                <w:szCs w:val="21"/>
              </w:rPr>
            </w:pPr>
          </w:p>
          <w:p>
            <w:pPr>
              <w:widowControl/>
              <w:spacing w:line="360" w:lineRule="auto"/>
              <w:jc w:val="center"/>
              <w:rPr>
                <w:color w:val="auto"/>
                <w:szCs w:val="21"/>
              </w:rPr>
            </w:pPr>
            <w:r>
              <w:rPr>
                <w:rFonts w:hint="eastAsia"/>
                <w:color w:val="auto"/>
                <w:szCs w:val="21"/>
              </w:rPr>
              <w:t>项目</w:t>
            </w:r>
          </w:p>
          <w:p>
            <w:pPr>
              <w:widowControl/>
              <w:spacing w:line="360" w:lineRule="auto"/>
              <w:jc w:val="center"/>
              <w:rPr>
                <w:color w:val="auto"/>
                <w:szCs w:val="21"/>
              </w:rPr>
            </w:pPr>
            <w:r>
              <w:rPr>
                <w:rFonts w:hint="eastAsia"/>
                <w:color w:val="auto"/>
                <w:szCs w:val="21"/>
              </w:rPr>
              <w:t>名称</w:t>
            </w:r>
          </w:p>
        </w:tc>
        <w:tc>
          <w:tcPr>
            <w:tcW w:w="538" w:type="dxa"/>
            <w:vMerge w:val="restart"/>
          </w:tcPr>
          <w:p>
            <w:pPr>
              <w:widowControl/>
              <w:spacing w:line="360" w:lineRule="auto"/>
              <w:jc w:val="center"/>
              <w:rPr>
                <w:color w:val="auto"/>
                <w:szCs w:val="21"/>
              </w:rPr>
            </w:pPr>
          </w:p>
          <w:p>
            <w:pPr>
              <w:widowControl/>
              <w:spacing w:line="360" w:lineRule="auto"/>
              <w:jc w:val="center"/>
              <w:rPr>
                <w:color w:val="auto"/>
                <w:szCs w:val="21"/>
              </w:rPr>
            </w:pPr>
          </w:p>
          <w:p>
            <w:pPr>
              <w:widowControl/>
              <w:spacing w:line="360" w:lineRule="auto"/>
              <w:jc w:val="center"/>
              <w:rPr>
                <w:color w:val="auto"/>
                <w:szCs w:val="21"/>
              </w:rPr>
            </w:pPr>
            <w:r>
              <w:rPr>
                <w:rFonts w:hint="eastAsia"/>
                <w:color w:val="auto"/>
                <w:szCs w:val="21"/>
              </w:rPr>
              <w:t>单位</w:t>
            </w:r>
          </w:p>
        </w:tc>
        <w:tc>
          <w:tcPr>
            <w:tcW w:w="813" w:type="dxa"/>
            <w:vMerge w:val="restart"/>
          </w:tcPr>
          <w:p>
            <w:pPr>
              <w:widowControl/>
              <w:spacing w:line="360" w:lineRule="auto"/>
              <w:jc w:val="center"/>
              <w:rPr>
                <w:color w:val="auto"/>
                <w:szCs w:val="21"/>
              </w:rPr>
            </w:pPr>
          </w:p>
          <w:p>
            <w:pPr>
              <w:widowControl/>
              <w:spacing w:line="360" w:lineRule="auto"/>
              <w:jc w:val="center"/>
              <w:rPr>
                <w:color w:val="auto"/>
                <w:szCs w:val="21"/>
              </w:rPr>
            </w:pPr>
          </w:p>
          <w:p>
            <w:pPr>
              <w:widowControl/>
              <w:spacing w:line="360" w:lineRule="auto"/>
              <w:jc w:val="center"/>
              <w:rPr>
                <w:color w:val="auto"/>
                <w:szCs w:val="21"/>
              </w:rPr>
            </w:pPr>
            <w:r>
              <w:rPr>
                <w:rFonts w:hint="eastAsia"/>
                <w:color w:val="auto"/>
                <w:szCs w:val="21"/>
              </w:rPr>
              <w:t>单价(元)</w:t>
            </w:r>
          </w:p>
        </w:tc>
        <w:tc>
          <w:tcPr>
            <w:tcW w:w="6176" w:type="dxa"/>
            <w:gridSpan w:val="11"/>
          </w:tcPr>
          <w:p>
            <w:pPr>
              <w:widowControl/>
              <w:spacing w:line="360" w:lineRule="auto"/>
              <w:jc w:val="center"/>
              <w:rPr>
                <w:color w:val="auto"/>
                <w:szCs w:val="21"/>
              </w:rPr>
            </w:pPr>
            <w:r>
              <w:rPr>
                <w:rFonts w:hint="eastAsia"/>
                <w:color w:val="auto"/>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575" w:type="dxa"/>
            <w:vMerge w:val="continue"/>
          </w:tcPr>
          <w:p>
            <w:pPr>
              <w:widowControl/>
              <w:spacing w:line="360" w:lineRule="auto"/>
              <w:jc w:val="center"/>
              <w:rPr>
                <w:color w:val="auto"/>
                <w:szCs w:val="21"/>
              </w:rPr>
            </w:pPr>
          </w:p>
        </w:tc>
        <w:tc>
          <w:tcPr>
            <w:tcW w:w="654" w:type="dxa"/>
            <w:vMerge w:val="continue"/>
          </w:tcPr>
          <w:p>
            <w:pPr>
              <w:widowControl/>
              <w:spacing w:line="360" w:lineRule="auto"/>
              <w:jc w:val="center"/>
              <w:rPr>
                <w:color w:val="auto"/>
                <w:szCs w:val="21"/>
              </w:rPr>
            </w:pPr>
          </w:p>
        </w:tc>
        <w:tc>
          <w:tcPr>
            <w:tcW w:w="538" w:type="dxa"/>
            <w:vMerge w:val="continue"/>
          </w:tcPr>
          <w:p>
            <w:pPr>
              <w:widowControl/>
              <w:spacing w:line="360" w:lineRule="auto"/>
              <w:jc w:val="center"/>
              <w:rPr>
                <w:color w:val="auto"/>
                <w:szCs w:val="21"/>
              </w:rPr>
            </w:pPr>
          </w:p>
        </w:tc>
        <w:tc>
          <w:tcPr>
            <w:tcW w:w="813" w:type="dxa"/>
            <w:vMerge w:val="continue"/>
          </w:tcPr>
          <w:p>
            <w:pPr>
              <w:widowControl/>
              <w:spacing w:line="360" w:lineRule="auto"/>
              <w:jc w:val="center"/>
              <w:rPr>
                <w:color w:val="auto"/>
                <w:szCs w:val="21"/>
              </w:rPr>
            </w:pPr>
          </w:p>
        </w:tc>
        <w:tc>
          <w:tcPr>
            <w:tcW w:w="487" w:type="dxa"/>
          </w:tcPr>
          <w:p>
            <w:pPr>
              <w:widowControl/>
              <w:spacing w:line="360" w:lineRule="auto"/>
              <w:jc w:val="center"/>
              <w:rPr>
                <w:color w:val="auto"/>
                <w:szCs w:val="21"/>
              </w:rPr>
            </w:pPr>
            <w:r>
              <w:rPr>
                <w:rFonts w:hint="eastAsia"/>
                <w:color w:val="auto"/>
                <w:szCs w:val="21"/>
              </w:rPr>
              <w:t>人工费</w:t>
            </w:r>
          </w:p>
        </w:tc>
        <w:tc>
          <w:tcPr>
            <w:tcW w:w="487" w:type="dxa"/>
          </w:tcPr>
          <w:p>
            <w:pPr>
              <w:widowControl/>
              <w:spacing w:line="360" w:lineRule="auto"/>
              <w:jc w:val="center"/>
              <w:rPr>
                <w:color w:val="auto"/>
                <w:szCs w:val="21"/>
              </w:rPr>
            </w:pPr>
            <w:r>
              <w:rPr>
                <w:rFonts w:hint="eastAsia"/>
                <w:color w:val="auto"/>
                <w:szCs w:val="21"/>
              </w:rPr>
              <w:t>材料费</w:t>
            </w:r>
          </w:p>
        </w:tc>
        <w:tc>
          <w:tcPr>
            <w:tcW w:w="487" w:type="dxa"/>
          </w:tcPr>
          <w:p>
            <w:pPr>
              <w:widowControl/>
              <w:spacing w:line="360" w:lineRule="auto"/>
              <w:jc w:val="center"/>
              <w:rPr>
                <w:color w:val="auto"/>
                <w:szCs w:val="21"/>
              </w:rPr>
            </w:pPr>
            <w:r>
              <w:rPr>
                <w:rFonts w:hint="eastAsia"/>
                <w:color w:val="auto"/>
                <w:szCs w:val="21"/>
              </w:rPr>
              <w:t>机械使用费</w:t>
            </w:r>
          </w:p>
        </w:tc>
        <w:tc>
          <w:tcPr>
            <w:tcW w:w="487" w:type="dxa"/>
          </w:tcPr>
          <w:p>
            <w:pPr>
              <w:widowControl/>
              <w:spacing w:line="360" w:lineRule="auto"/>
              <w:jc w:val="center"/>
              <w:rPr>
                <w:color w:val="auto"/>
                <w:szCs w:val="21"/>
              </w:rPr>
            </w:pPr>
            <w:r>
              <w:rPr>
                <w:rFonts w:hint="eastAsia"/>
                <w:color w:val="auto"/>
                <w:szCs w:val="21"/>
              </w:rPr>
              <w:t>措施费</w:t>
            </w:r>
          </w:p>
        </w:tc>
        <w:tc>
          <w:tcPr>
            <w:tcW w:w="487" w:type="dxa"/>
          </w:tcPr>
          <w:p>
            <w:pPr>
              <w:widowControl/>
              <w:spacing w:line="360" w:lineRule="auto"/>
              <w:jc w:val="center"/>
              <w:rPr>
                <w:color w:val="auto"/>
                <w:szCs w:val="21"/>
              </w:rPr>
            </w:pPr>
            <w:r>
              <w:rPr>
                <w:rFonts w:hint="eastAsia"/>
                <w:color w:val="auto"/>
                <w:szCs w:val="21"/>
              </w:rPr>
              <w:t>间接费</w:t>
            </w:r>
          </w:p>
        </w:tc>
        <w:tc>
          <w:tcPr>
            <w:tcW w:w="487" w:type="dxa"/>
          </w:tcPr>
          <w:p>
            <w:pPr>
              <w:widowControl/>
              <w:spacing w:line="360" w:lineRule="auto"/>
              <w:jc w:val="center"/>
              <w:rPr>
                <w:color w:val="auto"/>
                <w:szCs w:val="21"/>
              </w:rPr>
            </w:pPr>
            <w:r>
              <w:rPr>
                <w:rFonts w:hint="eastAsia"/>
                <w:color w:val="auto"/>
                <w:szCs w:val="21"/>
              </w:rPr>
              <w:t>利润</w:t>
            </w:r>
          </w:p>
        </w:tc>
        <w:tc>
          <w:tcPr>
            <w:tcW w:w="487" w:type="dxa"/>
          </w:tcPr>
          <w:p>
            <w:pPr>
              <w:widowControl/>
              <w:spacing w:line="360" w:lineRule="auto"/>
              <w:jc w:val="center"/>
              <w:rPr>
                <w:color w:val="auto"/>
                <w:szCs w:val="21"/>
              </w:rPr>
            </w:pPr>
            <w:r>
              <w:rPr>
                <w:rFonts w:hint="eastAsia"/>
                <w:color w:val="auto"/>
                <w:szCs w:val="21"/>
              </w:rPr>
              <w:t>主材价差</w:t>
            </w:r>
          </w:p>
        </w:tc>
        <w:tc>
          <w:tcPr>
            <w:tcW w:w="813" w:type="dxa"/>
          </w:tcPr>
          <w:p>
            <w:pPr>
              <w:widowControl/>
              <w:spacing w:line="360" w:lineRule="auto"/>
              <w:jc w:val="center"/>
              <w:rPr>
                <w:color w:val="auto"/>
                <w:szCs w:val="21"/>
              </w:rPr>
            </w:pPr>
            <w:r>
              <w:rPr>
                <w:rFonts w:hint="eastAsia"/>
                <w:color w:val="auto"/>
                <w:szCs w:val="21"/>
              </w:rPr>
              <w:t>主材费/未计价装置性材料费</w:t>
            </w:r>
          </w:p>
        </w:tc>
        <w:tc>
          <w:tcPr>
            <w:tcW w:w="487" w:type="dxa"/>
          </w:tcPr>
          <w:p>
            <w:pPr>
              <w:widowControl/>
              <w:spacing w:line="360" w:lineRule="auto"/>
              <w:jc w:val="center"/>
              <w:rPr>
                <w:color w:val="auto"/>
                <w:szCs w:val="21"/>
              </w:rPr>
            </w:pPr>
            <w:r>
              <w:rPr>
                <w:rFonts w:hint="eastAsia"/>
                <w:color w:val="auto"/>
                <w:szCs w:val="21"/>
              </w:rPr>
              <w:t>税金</w:t>
            </w:r>
          </w:p>
        </w:tc>
        <w:tc>
          <w:tcPr>
            <w:tcW w:w="651" w:type="dxa"/>
          </w:tcPr>
          <w:p>
            <w:pPr>
              <w:widowControl/>
              <w:spacing w:line="360" w:lineRule="auto"/>
              <w:jc w:val="center"/>
              <w:rPr>
                <w:color w:val="auto"/>
                <w:szCs w:val="21"/>
              </w:rPr>
            </w:pPr>
            <w:r>
              <w:rPr>
                <w:rFonts w:hint="eastAsia"/>
                <w:color w:val="auto"/>
                <w:szCs w:val="21"/>
              </w:rPr>
              <w:t>临时工程摊销费</w:t>
            </w:r>
          </w:p>
        </w:tc>
        <w:tc>
          <w:tcPr>
            <w:tcW w:w="816" w:type="dxa"/>
          </w:tcPr>
          <w:p>
            <w:pPr>
              <w:widowControl/>
              <w:spacing w:line="360" w:lineRule="auto"/>
              <w:jc w:val="center"/>
              <w:rPr>
                <w:color w:val="auto"/>
                <w:szCs w:val="21"/>
              </w:rPr>
            </w:pPr>
            <w:r>
              <w:rPr>
                <w:rFonts w:hint="eastAsia"/>
                <w:color w:val="auto"/>
                <w:szCs w:val="21"/>
              </w:rPr>
              <w:t>其他费用摊销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vAlign w:val="center"/>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575" w:type="dxa"/>
          </w:tcPr>
          <w:p>
            <w:pPr>
              <w:widowControl/>
              <w:spacing w:line="360" w:lineRule="auto"/>
              <w:jc w:val="center"/>
              <w:rPr>
                <w:color w:val="auto"/>
                <w:szCs w:val="21"/>
              </w:rPr>
            </w:pPr>
          </w:p>
        </w:tc>
        <w:tc>
          <w:tcPr>
            <w:tcW w:w="654" w:type="dxa"/>
          </w:tcPr>
          <w:p>
            <w:pPr>
              <w:widowControl/>
              <w:spacing w:line="360" w:lineRule="auto"/>
              <w:jc w:val="center"/>
              <w:rPr>
                <w:color w:val="auto"/>
                <w:szCs w:val="21"/>
              </w:rPr>
            </w:pPr>
          </w:p>
        </w:tc>
        <w:tc>
          <w:tcPr>
            <w:tcW w:w="538"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813" w:type="dxa"/>
          </w:tcPr>
          <w:p>
            <w:pPr>
              <w:widowControl/>
              <w:spacing w:line="360" w:lineRule="auto"/>
              <w:jc w:val="center"/>
              <w:rPr>
                <w:color w:val="auto"/>
                <w:szCs w:val="21"/>
              </w:rPr>
            </w:pPr>
          </w:p>
        </w:tc>
        <w:tc>
          <w:tcPr>
            <w:tcW w:w="487" w:type="dxa"/>
          </w:tcPr>
          <w:p>
            <w:pPr>
              <w:widowControl/>
              <w:spacing w:line="360" w:lineRule="auto"/>
              <w:jc w:val="center"/>
              <w:rPr>
                <w:color w:val="auto"/>
                <w:szCs w:val="21"/>
              </w:rPr>
            </w:pPr>
          </w:p>
        </w:tc>
        <w:tc>
          <w:tcPr>
            <w:tcW w:w="651" w:type="dxa"/>
          </w:tcPr>
          <w:p>
            <w:pPr>
              <w:widowControl/>
              <w:spacing w:line="360" w:lineRule="auto"/>
              <w:jc w:val="center"/>
              <w:rPr>
                <w:color w:val="auto"/>
                <w:szCs w:val="21"/>
              </w:rPr>
            </w:pPr>
          </w:p>
        </w:tc>
        <w:tc>
          <w:tcPr>
            <w:tcW w:w="816" w:type="dxa"/>
          </w:tcPr>
          <w:p>
            <w:pPr>
              <w:widowControl/>
              <w:spacing w:line="360" w:lineRule="auto"/>
              <w:jc w:val="center"/>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ind w:firstLine="420"/>
        <w:jc w:val="center"/>
        <w:rPr>
          <w:rFonts w:ascii="宋体" w:hAnsi="宋体"/>
          <w:b/>
          <w:color w:val="auto"/>
          <w:sz w:val="28"/>
          <w:szCs w:val="28"/>
        </w:rPr>
      </w:pPr>
      <w:r>
        <w:rPr>
          <w:rFonts w:hint="eastAsia" w:ascii="宋体" w:hAnsi="宋体"/>
          <w:b/>
          <w:color w:val="auto"/>
          <w:sz w:val="28"/>
          <w:szCs w:val="28"/>
        </w:rPr>
        <w:t>材料预算价格汇总表</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815" w:type="dxa"/>
        <w:jc w:val="center"/>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505"/>
        <w:gridCol w:w="1135"/>
        <w:gridCol w:w="185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38" w:type="dxa"/>
            <w:vAlign w:val="center"/>
          </w:tcPr>
          <w:p>
            <w:pPr>
              <w:widowControl/>
              <w:spacing w:line="360" w:lineRule="auto"/>
              <w:jc w:val="center"/>
              <w:rPr>
                <w:color w:val="auto"/>
                <w:szCs w:val="21"/>
              </w:rPr>
            </w:pPr>
            <w:r>
              <w:rPr>
                <w:rFonts w:hint="eastAsia"/>
                <w:color w:val="auto"/>
                <w:szCs w:val="21"/>
              </w:rPr>
              <w:t>序号</w:t>
            </w:r>
          </w:p>
        </w:tc>
        <w:tc>
          <w:tcPr>
            <w:tcW w:w="3505" w:type="dxa"/>
            <w:vAlign w:val="center"/>
          </w:tcPr>
          <w:p>
            <w:pPr>
              <w:widowControl/>
              <w:spacing w:line="360" w:lineRule="auto"/>
              <w:jc w:val="center"/>
              <w:rPr>
                <w:color w:val="auto"/>
                <w:szCs w:val="21"/>
              </w:rPr>
            </w:pPr>
            <w:r>
              <w:rPr>
                <w:rFonts w:hint="eastAsia"/>
                <w:color w:val="auto"/>
                <w:szCs w:val="21"/>
              </w:rPr>
              <w:t>名称及规格</w:t>
            </w:r>
          </w:p>
        </w:tc>
        <w:tc>
          <w:tcPr>
            <w:tcW w:w="1135" w:type="dxa"/>
            <w:vAlign w:val="center"/>
          </w:tcPr>
          <w:p>
            <w:pPr>
              <w:widowControl/>
              <w:spacing w:line="360" w:lineRule="auto"/>
              <w:jc w:val="center"/>
              <w:rPr>
                <w:color w:val="auto"/>
                <w:szCs w:val="21"/>
              </w:rPr>
            </w:pPr>
            <w:r>
              <w:rPr>
                <w:rFonts w:hint="eastAsia"/>
                <w:color w:val="auto"/>
                <w:szCs w:val="21"/>
              </w:rPr>
              <w:t>单位</w:t>
            </w:r>
          </w:p>
        </w:tc>
        <w:tc>
          <w:tcPr>
            <w:tcW w:w="1851" w:type="dxa"/>
            <w:vAlign w:val="center"/>
          </w:tcPr>
          <w:p>
            <w:pPr>
              <w:widowControl/>
              <w:spacing w:line="360" w:lineRule="auto"/>
              <w:jc w:val="center"/>
              <w:rPr>
                <w:color w:val="auto"/>
                <w:szCs w:val="21"/>
              </w:rPr>
            </w:pPr>
            <w:r>
              <w:rPr>
                <w:rFonts w:hint="eastAsia"/>
                <w:color w:val="auto"/>
                <w:szCs w:val="21"/>
              </w:rPr>
              <w:t>预算价格(元)</w:t>
            </w:r>
          </w:p>
        </w:tc>
        <w:tc>
          <w:tcPr>
            <w:tcW w:w="1486" w:type="dxa"/>
            <w:vAlign w:val="center"/>
          </w:tcPr>
          <w:p>
            <w:pPr>
              <w:widowControl/>
              <w:spacing w:line="360" w:lineRule="auto"/>
              <w:jc w:val="center"/>
              <w:rPr>
                <w:color w:val="auto"/>
                <w:szCs w:val="21"/>
              </w:rPr>
            </w:pPr>
            <w:r>
              <w:rPr>
                <w:rFonts w:hint="eastAsia"/>
                <w:color w:val="auto"/>
                <w:szCs w:val="21"/>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38" w:type="dxa"/>
            <w:vAlign w:val="center"/>
          </w:tcPr>
          <w:p>
            <w:pPr>
              <w:widowControl/>
              <w:spacing w:line="360" w:lineRule="auto"/>
              <w:jc w:val="center"/>
              <w:rPr>
                <w:color w:val="auto"/>
                <w:szCs w:val="21"/>
              </w:rPr>
            </w:pPr>
          </w:p>
        </w:tc>
        <w:tc>
          <w:tcPr>
            <w:tcW w:w="3505" w:type="dxa"/>
            <w:vAlign w:val="center"/>
          </w:tcPr>
          <w:p>
            <w:pPr>
              <w:widowControl/>
              <w:spacing w:line="360" w:lineRule="auto"/>
              <w:jc w:val="center"/>
              <w:rPr>
                <w:color w:val="auto"/>
                <w:szCs w:val="21"/>
              </w:rPr>
            </w:pPr>
          </w:p>
        </w:tc>
        <w:tc>
          <w:tcPr>
            <w:tcW w:w="1135" w:type="dxa"/>
            <w:vAlign w:val="center"/>
          </w:tcPr>
          <w:p>
            <w:pPr>
              <w:widowControl/>
              <w:spacing w:line="360" w:lineRule="auto"/>
              <w:jc w:val="center"/>
              <w:rPr>
                <w:color w:val="auto"/>
                <w:szCs w:val="21"/>
              </w:rPr>
            </w:pPr>
          </w:p>
        </w:tc>
        <w:tc>
          <w:tcPr>
            <w:tcW w:w="1851" w:type="dxa"/>
            <w:vAlign w:val="center"/>
          </w:tcPr>
          <w:p>
            <w:pPr>
              <w:widowControl/>
              <w:spacing w:line="360" w:lineRule="auto"/>
              <w:jc w:val="center"/>
              <w:rPr>
                <w:color w:val="auto"/>
                <w:szCs w:val="21"/>
              </w:rPr>
            </w:pPr>
          </w:p>
        </w:tc>
        <w:tc>
          <w:tcPr>
            <w:tcW w:w="1486" w:type="dxa"/>
            <w:vAlign w:val="center"/>
          </w:tcPr>
          <w:p>
            <w:pPr>
              <w:widowControl/>
              <w:spacing w:line="360" w:lineRule="auto"/>
              <w:jc w:val="center"/>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adjustRightInd w:val="0"/>
        <w:snapToGrid w:val="0"/>
        <w:spacing w:beforeLines="50" w:afterLines="50" w:line="500" w:lineRule="exact"/>
        <w:ind w:right="102"/>
        <w:rPr>
          <w:rFonts w:ascii="宋体" w:hAnsi="宋体"/>
          <w:b/>
          <w:color w:val="auto"/>
          <w:sz w:val="28"/>
          <w:szCs w:val="28"/>
        </w:rPr>
      </w:pPr>
    </w:p>
    <w:p>
      <w:pPr>
        <w:ind w:firstLine="420"/>
        <w:jc w:val="center"/>
        <w:rPr>
          <w:rFonts w:ascii="宋体" w:hAnsi="宋体"/>
          <w:b/>
          <w:color w:val="auto"/>
          <w:sz w:val="36"/>
          <w:szCs w:val="36"/>
        </w:rPr>
      </w:pPr>
    </w:p>
    <w:p>
      <w:pPr>
        <w:ind w:firstLine="420"/>
        <w:jc w:val="center"/>
        <w:rPr>
          <w:rFonts w:ascii="宋体" w:hAnsi="宋体"/>
          <w:b/>
          <w:color w:val="auto"/>
          <w:sz w:val="36"/>
          <w:szCs w:val="36"/>
        </w:rPr>
      </w:pPr>
    </w:p>
    <w:p>
      <w:pPr>
        <w:ind w:firstLine="420"/>
        <w:jc w:val="center"/>
        <w:rPr>
          <w:rFonts w:ascii="宋体" w:hAnsi="宋体"/>
          <w:b/>
          <w:color w:val="auto"/>
          <w:sz w:val="36"/>
          <w:szCs w:val="36"/>
        </w:rPr>
      </w:pPr>
    </w:p>
    <w:p>
      <w:pPr>
        <w:ind w:firstLine="420"/>
        <w:jc w:val="center"/>
        <w:rPr>
          <w:rFonts w:ascii="宋体" w:hAnsi="宋体"/>
          <w:b/>
          <w:color w:val="auto"/>
          <w:sz w:val="28"/>
          <w:szCs w:val="28"/>
        </w:rPr>
      </w:pPr>
      <w:r>
        <w:rPr>
          <w:rFonts w:hint="eastAsia" w:ascii="宋体" w:hAnsi="宋体"/>
          <w:b/>
          <w:color w:val="auto"/>
          <w:sz w:val="28"/>
          <w:szCs w:val="28"/>
        </w:rPr>
        <w:t>混凝土、砂浆材料单价计算表</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728" w:type="dxa"/>
        <w:jc w:val="center"/>
        <w:tblInd w:w="331" w:type="dxa"/>
        <w:tblLayout w:type="fixed"/>
        <w:tblCellMar>
          <w:top w:w="0" w:type="dxa"/>
          <w:left w:w="108" w:type="dxa"/>
          <w:bottom w:w="0" w:type="dxa"/>
          <w:right w:w="108" w:type="dxa"/>
        </w:tblCellMar>
      </w:tblPr>
      <w:tblGrid>
        <w:gridCol w:w="466"/>
        <w:gridCol w:w="2449"/>
        <w:gridCol w:w="429"/>
        <w:gridCol w:w="992"/>
        <w:gridCol w:w="1093"/>
        <w:gridCol w:w="1103"/>
        <w:gridCol w:w="1091"/>
        <w:gridCol w:w="1105"/>
      </w:tblGrid>
      <w:tr>
        <w:tblPrEx>
          <w:tblLayout w:type="fixed"/>
          <w:tblCellMar>
            <w:top w:w="0" w:type="dxa"/>
            <w:left w:w="108" w:type="dxa"/>
            <w:bottom w:w="0" w:type="dxa"/>
            <w:right w:w="108" w:type="dxa"/>
          </w:tblCellMar>
        </w:tblPrEx>
        <w:trPr>
          <w:trHeight w:val="464"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编号</w:t>
            </w:r>
          </w:p>
        </w:tc>
        <w:tc>
          <w:tcPr>
            <w:tcW w:w="2449"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名称及规格</w:t>
            </w:r>
          </w:p>
        </w:tc>
        <w:tc>
          <w:tcPr>
            <w:tcW w:w="429"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单位</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预算量</w:t>
            </w:r>
          </w:p>
        </w:tc>
        <w:tc>
          <w:tcPr>
            <w:tcW w:w="1093"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实际单价(元)</w:t>
            </w:r>
          </w:p>
        </w:tc>
        <w:tc>
          <w:tcPr>
            <w:tcW w:w="1103"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实际小计(元)</w:t>
            </w:r>
          </w:p>
        </w:tc>
        <w:tc>
          <w:tcPr>
            <w:tcW w:w="1091"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材料限价(元)</w:t>
            </w:r>
          </w:p>
        </w:tc>
        <w:tc>
          <w:tcPr>
            <w:tcW w:w="110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限价小计(元)</w:t>
            </w: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20" w:hRule="atLeast"/>
          <w:jc w:val="center"/>
        </w:trPr>
        <w:tc>
          <w:tcPr>
            <w:tcW w:w="466"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4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42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3"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91"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10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adjustRightInd w:val="0"/>
        <w:snapToGrid w:val="0"/>
        <w:spacing w:line="500" w:lineRule="exact"/>
        <w:ind w:right="103"/>
        <w:rPr>
          <w:rFonts w:ascii="宋体" w:hAnsi="宋体"/>
          <w:b/>
          <w:color w:val="auto"/>
          <w:sz w:val="28"/>
          <w:szCs w:val="28"/>
        </w:rPr>
      </w:pPr>
    </w:p>
    <w:p>
      <w:pPr>
        <w:ind w:firstLine="420"/>
        <w:jc w:val="center"/>
        <w:rPr>
          <w:rFonts w:ascii="宋体" w:hAnsi="宋体"/>
          <w:b/>
          <w:color w:val="auto"/>
          <w:sz w:val="28"/>
          <w:szCs w:val="28"/>
        </w:rPr>
      </w:pPr>
    </w:p>
    <w:p>
      <w:pPr>
        <w:ind w:firstLine="420"/>
        <w:jc w:val="center"/>
        <w:rPr>
          <w:rFonts w:ascii="宋体" w:hAnsi="宋体"/>
          <w:b/>
          <w:color w:val="auto"/>
          <w:sz w:val="28"/>
          <w:szCs w:val="28"/>
        </w:rPr>
      </w:pPr>
      <w:r>
        <w:rPr>
          <w:rFonts w:hint="eastAsia" w:ascii="宋体" w:hAnsi="宋体"/>
          <w:b/>
          <w:color w:val="auto"/>
          <w:sz w:val="28"/>
          <w:szCs w:val="28"/>
        </w:rPr>
        <w:t>施工机械台班费汇总表</w:t>
      </w:r>
    </w:p>
    <w:p>
      <w:pPr>
        <w:widowControl/>
        <w:spacing w:line="360" w:lineRule="auto"/>
        <w:jc w:val="left"/>
        <w:rPr>
          <w:color w:val="auto"/>
          <w:szCs w:val="21"/>
        </w:rPr>
      </w:pPr>
      <w:r>
        <w:rPr>
          <w:rFonts w:hint="eastAsia"/>
          <w:color w:val="auto"/>
          <w:szCs w:val="21"/>
        </w:rPr>
        <w:t>项目名称:________________标段:________________</w:t>
      </w:r>
    </w:p>
    <w:tbl>
      <w:tblPr>
        <w:tblStyle w:val="39"/>
        <w:tblW w:w="8810" w:type="dxa"/>
        <w:jc w:val="center"/>
        <w:tblInd w:w="250" w:type="dxa"/>
        <w:tblLayout w:type="fixed"/>
        <w:tblCellMar>
          <w:top w:w="0" w:type="dxa"/>
          <w:left w:w="108" w:type="dxa"/>
          <w:bottom w:w="0" w:type="dxa"/>
          <w:right w:w="108" w:type="dxa"/>
        </w:tblCellMar>
      </w:tblPr>
      <w:tblGrid>
        <w:gridCol w:w="709"/>
        <w:gridCol w:w="2269"/>
        <w:gridCol w:w="708"/>
        <w:gridCol w:w="1417"/>
        <w:gridCol w:w="1235"/>
        <w:gridCol w:w="1212"/>
        <w:gridCol w:w="1260"/>
      </w:tblGrid>
      <w:tr>
        <w:tblPrEx>
          <w:tblLayout w:type="fixed"/>
          <w:tblCellMar>
            <w:top w:w="0" w:type="dxa"/>
            <w:left w:w="108" w:type="dxa"/>
            <w:bottom w:w="0" w:type="dxa"/>
            <w:right w:w="108" w:type="dxa"/>
          </w:tblCellMar>
        </w:tblPrEx>
        <w:trPr>
          <w:trHeight w:val="310" w:hRule="atLeast"/>
          <w:jc w:val="center"/>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r>
              <w:rPr>
                <w:rFonts w:hint="eastAsia"/>
                <w:color w:val="auto"/>
                <w:szCs w:val="21"/>
              </w:rPr>
              <w:t>序号</w:t>
            </w:r>
          </w:p>
        </w:tc>
        <w:tc>
          <w:tcPr>
            <w:tcW w:w="226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r>
              <w:rPr>
                <w:rFonts w:hint="eastAsia"/>
                <w:color w:val="auto"/>
                <w:szCs w:val="21"/>
              </w:rPr>
              <w:t>名称及规格</w:t>
            </w:r>
          </w:p>
        </w:tc>
        <w:tc>
          <w:tcPr>
            <w:tcW w:w="70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r>
              <w:rPr>
                <w:rFonts w:hint="eastAsia"/>
                <w:color w:val="auto"/>
                <w:szCs w:val="21"/>
              </w:rPr>
              <w:t>单位</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r>
              <w:rPr>
                <w:rFonts w:hint="eastAsia"/>
                <w:color w:val="auto"/>
                <w:szCs w:val="21"/>
              </w:rPr>
              <w:t>实际台班费(元)</w:t>
            </w:r>
          </w:p>
        </w:tc>
        <w:tc>
          <w:tcPr>
            <w:tcW w:w="123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r>
              <w:rPr>
                <w:rFonts w:hint="eastAsia"/>
                <w:color w:val="auto"/>
                <w:szCs w:val="21"/>
              </w:rPr>
              <w:t>限价台班费(元)</w:t>
            </w:r>
          </w:p>
        </w:tc>
        <w:tc>
          <w:tcPr>
            <w:tcW w:w="2472" w:type="dxa"/>
            <w:gridSpan w:val="2"/>
            <w:tcBorders>
              <w:top w:val="single" w:color="auto" w:sz="4" w:space="0"/>
              <w:left w:val="nil"/>
              <w:bottom w:val="single" w:color="auto" w:sz="4" w:space="0"/>
              <w:right w:val="single" w:color="000000" w:sz="4" w:space="0"/>
            </w:tcBorders>
            <w:vAlign w:val="center"/>
          </w:tcPr>
          <w:p>
            <w:pPr>
              <w:widowControl/>
              <w:spacing w:line="360" w:lineRule="auto"/>
              <w:jc w:val="center"/>
              <w:rPr>
                <w:color w:val="auto"/>
                <w:szCs w:val="21"/>
              </w:rPr>
            </w:pPr>
            <w:r>
              <w:rPr>
                <w:rFonts w:hint="eastAsia"/>
                <w:color w:val="auto"/>
                <w:szCs w:val="21"/>
              </w:rPr>
              <w:t>其中(元)</w:t>
            </w:r>
          </w:p>
        </w:tc>
      </w:tr>
      <w:tr>
        <w:tblPrEx>
          <w:tblLayout w:type="fixed"/>
          <w:tblCellMar>
            <w:top w:w="0" w:type="dxa"/>
            <w:left w:w="108" w:type="dxa"/>
            <w:bottom w:w="0" w:type="dxa"/>
            <w:right w:w="108" w:type="dxa"/>
          </w:tblCellMar>
        </w:tblPrEx>
        <w:trPr>
          <w:trHeight w:val="551" w:hRule="atLeast"/>
          <w:jc w:val="center"/>
        </w:trPr>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p>
        </w:tc>
        <w:tc>
          <w:tcPr>
            <w:tcW w:w="226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p>
        </w:tc>
        <w:tc>
          <w:tcPr>
            <w:tcW w:w="12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一类费用</w:t>
            </w: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二类费用</w:t>
            </w:r>
            <w:r>
              <w:rPr>
                <w:rFonts w:hint="eastAsia"/>
                <w:color w:val="auto"/>
                <w:szCs w:val="21"/>
              </w:rPr>
              <w:br w:type="textWrapping"/>
            </w:r>
            <w:r>
              <w:rPr>
                <w:rFonts w:hint="eastAsia"/>
                <w:color w:val="auto"/>
                <w:szCs w:val="21"/>
              </w:rPr>
              <w:t>(限价)</w:t>
            </w:r>
          </w:p>
        </w:tc>
      </w:tr>
      <w:tr>
        <w:tblPrEx>
          <w:tblLayout w:type="fixed"/>
          <w:tblCellMar>
            <w:top w:w="0" w:type="dxa"/>
            <w:left w:w="108" w:type="dxa"/>
            <w:bottom w:w="0" w:type="dxa"/>
            <w:right w:w="108" w:type="dxa"/>
          </w:tblCellMar>
        </w:tblPrEx>
        <w:trPr>
          <w:trHeight w:val="485"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21"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99"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0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35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62"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26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708"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12"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260"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adjustRightInd w:val="0"/>
        <w:snapToGrid w:val="0"/>
        <w:spacing w:line="500" w:lineRule="exact"/>
        <w:ind w:left="900" w:right="103"/>
        <w:rPr>
          <w:rFonts w:ascii="宋体" w:hAnsi="宋体"/>
          <w:b/>
          <w:color w:val="auto"/>
          <w:sz w:val="28"/>
          <w:szCs w:val="28"/>
        </w:rPr>
      </w:pPr>
    </w:p>
    <w:p>
      <w:pPr>
        <w:ind w:firstLine="420"/>
        <w:jc w:val="center"/>
        <w:rPr>
          <w:rFonts w:ascii="宋体" w:hAnsi="宋体"/>
          <w:b/>
          <w:color w:val="auto"/>
          <w:sz w:val="36"/>
          <w:szCs w:val="36"/>
        </w:rPr>
      </w:pPr>
    </w:p>
    <w:p>
      <w:pPr>
        <w:ind w:firstLine="420"/>
        <w:jc w:val="center"/>
        <w:rPr>
          <w:rFonts w:ascii="宋体" w:hAnsi="宋体"/>
          <w:b/>
          <w:color w:val="auto"/>
          <w:sz w:val="28"/>
          <w:szCs w:val="28"/>
        </w:rPr>
      </w:pPr>
      <w:r>
        <w:rPr>
          <w:rFonts w:hint="eastAsia" w:ascii="宋体" w:hAnsi="宋体"/>
          <w:b/>
          <w:color w:val="auto"/>
          <w:sz w:val="28"/>
          <w:szCs w:val="28"/>
        </w:rPr>
        <w:t>工程分组费率表</w:t>
      </w:r>
    </w:p>
    <w:p>
      <w:pPr>
        <w:widowControl/>
        <w:spacing w:line="360" w:lineRule="auto"/>
        <w:jc w:val="left"/>
        <w:rPr>
          <w:rFonts w:ascii="宋体" w:hAnsi="宋体"/>
          <w:b/>
          <w:color w:val="auto"/>
          <w:sz w:val="28"/>
          <w:szCs w:val="28"/>
        </w:rPr>
      </w:pPr>
      <w:r>
        <w:rPr>
          <w:rFonts w:hint="eastAsia"/>
          <w:color w:val="auto"/>
          <w:szCs w:val="21"/>
        </w:rPr>
        <w:t>项目名称:________________标段:________________</w:t>
      </w:r>
    </w:p>
    <w:tbl>
      <w:tblPr>
        <w:tblStyle w:val="39"/>
        <w:tblW w:w="9060" w:type="dxa"/>
        <w:jc w:val="center"/>
        <w:tblInd w:w="0" w:type="dxa"/>
        <w:tblLayout w:type="fixed"/>
        <w:tblCellMar>
          <w:top w:w="0" w:type="dxa"/>
          <w:left w:w="108" w:type="dxa"/>
          <w:bottom w:w="0" w:type="dxa"/>
          <w:right w:w="108" w:type="dxa"/>
        </w:tblCellMar>
      </w:tblPr>
      <w:tblGrid>
        <w:gridCol w:w="550"/>
        <w:gridCol w:w="2426"/>
        <w:gridCol w:w="1015"/>
        <w:gridCol w:w="1015"/>
        <w:gridCol w:w="1015"/>
        <w:gridCol w:w="1015"/>
        <w:gridCol w:w="1015"/>
        <w:gridCol w:w="1009"/>
      </w:tblGrid>
      <w:tr>
        <w:tblPrEx>
          <w:tblLayout w:type="fixed"/>
          <w:tblCellMar>
            <w:top w:w="0" w:type="dxa"/>
            <w:left w:w="108" w:type="dxa"/>
            <w:bottom w:w="0" w:type="dxa"/>
            <w:right w:w="108" w:type="dxa"/>
          </w:tblCellMar>
        </w:tblPrEx>
        <w:trPr>
          <w:trHeight w:val="635"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序号</w:t>
            </w:r>
          </w:p>
        </w:tc>
        <w:tc>
          <w:tcPr>
            <w:tcW w:w="2426"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费用名称</w:t>
            </w:r>
          </w:p>
        </w:tc>
        <w:tc>
          <w:tcPr>
            <w:tcW w:w="101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土方开挖工程</w:t>
            </w:r>
          </w:p>
        </w:tc>
        <w:tc>
          <w:tcPr>
            <w:tcW w:w="101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石方开挖工程</w:t>
            </w:r>
          </w:p>
        </w:tc>
        <w:tc>
          <w:tcPr>
            <w:tcW w:w="101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土石填筑工程</w:t>
            </w:r>
          </w:p>
        </w:tc>
        <w:tc>
          <w:tcPr>
            <w:tcW w:w="101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模板工程</w:t>
            </w:r>
          </w:p>
        </w:tc>
        <w:tc>
          <w:tcPr>
            <w:tcW w:w="1015"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混凝土浇筑工程</w:t>
            </w:r>
          </w:p>
        </w:tc>
        <w:tc>
          <w:tcPr>
            <w:tcW w:w="1009"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w:t>
            </w: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p>
        </w:tc>
        <w:tc>
          <w:tcPr>
            <w:tcW w:w="2426"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1</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2</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3</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4</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5</w:t>
            </w: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w:t>
            </w: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1</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措施费</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2</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间接费</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rFonts w:hint="eastAsia"/>
                <w:color w:val="auto"/>
                <w:szCs w:val="21"/>
              </w:rPr>
              <w:t>3</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利润</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color w:val="auto"/>
                <w:szCs w:val="21"/>
              </w:rPr>
              <w:t>4</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税金</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color w:val="auto"/>
                <w:szCs w:val="21"/>
              </w:rPr>
              <w:t>5</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临时工程摊销费</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r>
        <w:tblPrEx>
          <w:tblLayout w:type="fixed"/>
          <w:tblCellMar>
            <w:top w:w="0" w:type="dxa"/>
            <w:left w:w="108" w:type="dxa"/>
            <w:bottom w:w="0" w:type="dxa"/>
            <w:right w:w="108" w:type="dxa"/>
          </w:tblCellMar>
        </w:tblPrEx>
        <w:trPr>
          <w:trHeight w:val="443" w:hRule="atLeast"/>
          <w:jc w:val="center"/>
        </w:trPr>
        <w:tc>
          <w:tcPr>
            <w:tcW w:w="550" w:type="dxa"/>
            <w:tcBorders>
              <w:top w:val="nil"/>
              <w:left w:val="single" w:color="auto" w:sz="4" w:space="0"/>
              <w:bottom w:val="single" w:color="auto" w:sz="4" w:space="0"/>
              <w:right w:val="single" w:color="auto" w:sz="4" w:space="0"/>
            </w:tcBorders>
            <w:vAlign w:val="center"/>
          </w:tcPr>
          <w:p>
            <w:pPr>
              <w:widowControl/>
              <w:spacing w:line="360" w:lineRule="auto"/>
              <w:jc w:val="center"/>
              <w:rPr>
                <w:color w:val="auto"/>
                <w:szCs w:val="21"/>
              </w:rPr>
            </w:pPr>
            <w:r>
              <w:rPr>
                <w:color w:val="auto"/>
                <w:szCs w:val="21"/>
              </w:rPr>
              <w:t>6</w:t>
            </w:r>
          </w:p>
        </w:tc>
        <w:tc>
          <w:tcPr>
            <w:tcW w:w="2426" w:type="dxa"/>
            <w:tcBorders>
              <w:top w:val="nil"/>
              <w:left w:val="nil"/>
              <w:bottom w:val="single" w:color="auto" w:sz="4" w:space="0"/>
              <w:right w:val="single" w:color="auto" w:sz="4" w:space="0"/>
            </w:tcBorders>
            <w:vAlign w:val="center"/>
          </w:tcPr>
          <w:p>
            <w:pPr>
              <w:widowControl/>
              <w:spacing w:line="360" w:lineRule="auto"/>
              <w:rPr>
                <w:color w:val="auto"/>
                <w:szCs w:val="21"/>
              </w:rPr>
            </w:pPr>
            <w:r>
              <w:rPr>
                <w:rFonts w:hint="eastAsia"/>
                <w:color w:val="auto"/>
                <w:szCs w:val="21"/>
              </w:rPr>
              <w:t>其他费用摊销</w:t>
            </w: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c>
          <w:tcPr>
            <w:tcW w:w="1009" w:type="dxa"/>
            <w:tcBorders>
              <w:top w:val="nil"/>
              <w:left w:val="nil"/>
              <w:bottom w:val="single" w:color="auto" w:sz="4" w:space="0"/>
              <w:right w:val="single" w:color="auto" w:sz="4" w:space="0"/>
            </w:tcBorders>
            <w:vAlign w:val="center"/>
          </w:tcPr>
          <w:p>
            <w:pPr>
              <w:widowControl/>
              <w:spacing w:line="360" w:lineRule="auto"/>
              <w:jc w:val="center"/>
              <w:rPr>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spacing w:before="0" w:after="0" w:line="520" w:lineRule="exact"/>
        <w:jc w:val="center"/>
        <w:rPr>
          <w:rFonts w:asciiTheme="majorEastAsia" w:hAnsiTheme="majorEastAsia" w:eastAsiaTheme="majorEastAsia"/>
          <w:color w:val="auto"/>
          <w:sz w:val="36"/>
          <w:szCs w:val="36"/>
        </w:rPr>
      </w:pPr>
      <w:bookmarkStart w:id="1247" w:name="_Toc516816412"/>
      <w:bookmarkStart w:id="1248" w:name="_Toc511636081"/>
      <w:bookmarkStart w:id="1249" w:name="_Toc515441220"/>
      <w:bookmarkStart w:id="1250" w:name="_Toc516816223"/>
      <w:r>
        <w:rPr>
          <w:rFonts w:hint="eastAsia" w:asciiTheme="majorEastAsia" w:hAnsiTheme="majorEastAsia" w:eastAsiaTheme="majorEastAsia"/>
          <w:color w:val="auto"/>
          <w:sz w:val="36"/>
          <w:szCs w:val="36"/>
        </w:rPr>
        <w:t>第三节 施工组织设计格式（如有）</w:t>
      </w:r>
      <w:bookmarkEnd w:id="1247"/>
      <w:bookmarkEnd w:id="1248"/>
      <w:bookmarkEnd w:id="1249"/>
      <w:bookmarkEnd w:id="1250"/>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jc w:val="left"/>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4"/>
        <w:rPr>
          <w:color w:val="auto"/>
        </w:rPr>
      </w:pPr>
      <w:bookmarkStart w:id="1251" w:name="_Toc516816413"/>
      <w:bookmarkStart w:id="1252" w:name="_Toc515441221"/>
      <w:bookmarkStart w:id="1253" w:name="_Toc516816224"/>
      <w:r>
        <w:rPr>
          <w:color w:val="auto"/>
        </w:rPr>
        <w:t>投标文件</w:t>
      </w:r>
      <w:r>
        <w:rPr>
          <w:rFonts w:hint="eastAsia"/>
          <w:color w:val="auto"/>
        </w:rPr>
        <w:t>（三）（格式）</w:t>
      </w:r>
      <w:bookmarkEnd w:id="1251"/>
      <w:bookmarkEnd w:id="1252"/>
      <w:bookmarkEnd w:id="1253"/>
    </w:p>
    <w:p>
      <w:pPr>
        <w:rPr>
          <w:color w:val="auto"/>
        </w:rPr>
      </w:pPr>
    </w:p>
    <w:p>
      <w:pPr>
        <w:widowControl/>
        <w:shd w:val="clear" w:color="auto" w:fill="FFFFFF"/>
        <w:snapToGrid w:val="0"/>
        <w:ind w:firstLine="720" w:firstLineChars="200"/>
        <w:jc w:val="center"/>
        <w:rPr>
          <w:rFonts w:asciiTheme="minorEastAsia" w:hAnsiTheme="minorEastAsia"/>
          <w:b/>
          <w:color w:val="auto"/>
          <w:sz w:val="36"/>
          <w:szCs w:val="36"/>
        </w:rPr>
      </w:pPr>
      <w:r>
        <w:rPr>
          <w:rFonts w:hint="eastAsia" w:asciiTheme="minorEastAsia" w:hAnsiTheme="minorEastAsia"/>
          <w:color w:val="auto"/>
          <w:sz w:val="36"/>
          <w:szCs w:val="36"/>
        </w:rPr>
        <w:t>________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________</w:t>
      </w:r>
      <w:r>
        <w:rPr>
          <w:rFonts w:hint="eastAsia" w:asciiTheme="minorEastAsia" w:hAnsiTheme="minorEastAsia"/>
          <w:b/>
          <w:color w:val="auto"/>
          <w:sz w:val="36"/>
          <w:szCs w:val="36"/>
        </w:rPr>
        <w:t>（标段名称）施工招标项目</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招标编号：</w:t>
      </w:r>
      <w:r>
        <w:rPr>
          <w:rFonts w:hint="eastAsia" w:asciiTheme="minorEastAsia" w:hAnsiTheme="minorEastAsia"/>
          <w:color w:val="auto"/>
          <w:sz w:val="36"/>
          <w:szCs w:val="36"/>
        </w:rPr>
        <w:t>________</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044" w:firstLineChars="200"/>
        <w:jc w:val="center"/>
        <w:rPr>
          <w:rFonts w:asciiTheme="minorEastAsia" w:hAnsiTheme="minorEastAsia"/>
          <w:b/>
          <w:color w:val="auto"/>
          <w:sz w:val="52"/>
          <w:szCs w:val="52"/>
        </w:rPr>
      </w:pPr>
      <w:r>
        <w:rPr>
          <w:rFonts w:hint="eastAsia" w:asciiTheme="minorEastAsia" w:hAnsiTheme="minorEastAsia"/>
          <w:b/>
          <w:color w:val="auto"/>
          <w:sz w:val="52"/>
          <w:szCs w:val="52"/>
        </w:rPr>
        <w:t>投 标 文 件（三）</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施工组织设计</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left"/>
        <w:rPr>
          <w:rFonts w:asciiTheme="minorEastAsia" w:hAnsiTheme="minorEastAsia"/>
          <w:b/>
          <w:color w:val="auto"/>
          <w:sz w:val="32"/>
          <w:szCs w:val="32"/>
        </w:rPr>
      </w:pPr>
    </w:p>
    <w:p>
      <w:pPr>
        <w:widowControl/>
        <w:shd w:val="clear" w:color="auto" w:fill="FFFFFF"/>
        <w:snapToGrid w:val="0"/>
        <w:ind w:firstLine="420" w:firstLineChars="200"/>
        <w:jc w:val="left"/>
        <w:rPr>
          <w:color w:val="auto"/>
          <w:szCs w:val="21"/>
        </w:rPr>
      </w:pPr>
      <w:r>
        <w:rPr>
          <w:color w:val="auto"/>
          <w:szCs w:val="21"/>
        </w:rPr>
        <w:t>注</w:t>
      </w:r>
      <w:r>
        <w:rPr>
          <w:rFonts w:hint="eastAsia"/>
          <w:color w:val="auto"/>
          <w:szCs w:val="21"/>
        </w:rPr>
        <w:t>：</w:t>
      </w:r>
      <w:r>
        <w:rPr>
          <w:color w:val="auto"/>
          <w:szCs w:val="21"/>
        </w:rPr>
        <w:t>本封面不得提交评审</w:t>
      </w:r>
    </w:p>
    <w:p>
      <w:pPr>
        <w:widowControl/>
        <w:shd w:val="clear" w:color="auto" w:fill="FFFFFF"/>
        <w:snapToGrid w:val="0"/>
        <w:ind w:firstLine="420" w:firstLineChars="200"/>
        <w:jc w:val="left"/>
        <w:rPr>
          <w:color w:val="auto"/>
          <w:szCs w:val="21"/>
        </w:rPr>
      </w:pPr>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宋体" w:hAnsi="宋体"/>
          <w:b/>
          <w:color w:val="auto"/>
          <w:sz w:val="36"/>
          <w:szCs w:val="36"/>
        </w:rPr>
        <w:t>施工组织设计</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投标人应针对本招标工程项目的性质、规模、工作内容具体情况编制施工组织设计，施工组织设计包括下列章节内容：</w:t>
      </w:r>
      <w:r>
        <w:rPr>
          <w:rFonts w:asciiTheme="minorEastAsia" w:hAnsiTheme="minorEastAsia"/>
          <w:color w:val="auto"/>
          <w:szCs w:val="21"/>
        </w:rPr>
        <w:t xml:space="preserve"> </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w:t>
      </w:r>
      <w:r>
        <w:rPr>
          <w:rFonts w:hint="eastAsia"/>
          <w:color w:val="auto"/>
          <w:szCs w:val="21"/>
        </w:rPr>
        <w:t>施工总平面布置及使用说明（</w:t>
      </w:r>
      <w:r>
        <w:rPr>
          <w:rFonts w:hint="eastAsia" w:ascii="宋体" w:hAnsi="宋体"/>
          <w:color w:val="auto"/>
          <w:szCs w:val="21"/>
        </w:rPr>
        <w:t>附件1：</w:t>
      </w:r>
      <w:r>
        <w:rPr>
          <w:rFonts w:ascii="宋体" w:hAnsi="宋体"/>
          <w:color w:val="auto"/>
          <w:szCs w:val="21"/>
        </w:rPr>
        <w:t>施工总平面图</w:t>
      </w:r>
      <w:r>
        <w:rPr>
          <w:rFonts w:hint="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w:t>
      </w:r>
      <w:r>
        <w:rPr>
          <w:rFonts w:hint="eastAsia"/>
          <w:color w:val="auto"/>
          <w:szCs w:val="21"/>
        </w:rPr>
        <w:t>施工机构设置和岗位职责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三、</w:t>
      </w:r>
      <w:r>
        <w:rPr>
          <w:rFonts w:hint="eastAsia"/>
          <w:color w:val="auto"/>
          <w:szCs w:val="21"/>
        </w:rPr>
        <w:t>主要施工程序、方法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四、</w:t>
      </w:r>
      <w:r>
        <w:rPr>
          <w:rFonts w:hint="eastAsia"/>
          <w:color w:val="auto"/>
          <w:szCs w:val="21"/>
        </w:rPr>
        <w:t>施工质量、安全、文明、环保保障措施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五、</w:t>
      </w:r>
      <w:r>
        <w:rPr>
          <w:rFonts w:hint="eastAsia"/>
          <w:color w:val="auto"/>
          <w:szCs w:val="21"/>
        </w:rPr>
        <w:t>施工进度计划及保障措施（</w:t>
      </w:r>
      <w:r>
        <w:rPr>
          <w:rFonts w:hint="eastAsia" w:ascii="宋体" w:hAnsi="宋体"/>
          <w:color w:val="auto"/>
          <w:szCs w:val="21"/>
        </w:rPr>
        <w:t>附件2：计划开工、完工日期和施工进度图或进度表</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asciiTheme="minorEastAsia" w:hAnsiTheme="minorEastAsia"/>
          <w:color w:val="auto"/>
          <w:szCs w:val="21"/>
        </w:rPr>
        <w:t>六、</w:t>
      </w:r>
      <w:r>
        <w:rPr>
          <w:rFonts w:hint="eastAsia"/>
          <w:color w:val="auto"/>
          <w:szCs w:val="21"/>
        </w:rPr>
        <w:t>拟投入的主要施工机械设备及劳动力安排（</w:t>
      </w:r>
      <w:r>
        <w:rPr>
          <w:rFonts w:hint="eastAsia" w:ascii="宋体" w:hAnsi="宋体"/>
          <w:color w:val="auto"/>
          <w:kern w:val="0"/>
          <w:szCs w:val="21"/>
        </w:rPr>
        <w:t>附件3：</w:t>
      </w:r>
      <w:r>
        <w:rPr>
          <w:rFonts w:hint="eastAsia" w:ascii="宋体" w:hAnsi="宋体"/>
          <w:color w:val="auto"/>
          <w:szCs w:val="21"/>
        </w:rPr>
        <w:t>拟投入本标段的主要施工设备表；附件4：拟投入本标段的劳动力计划表</w:t>
      </w:r>
      <w:r>
        <w:rPr>
          <w:rFonts w:hint="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七、施工工作重点、难点和对策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八、</w:t>
      </w:r>
      <w:r>
        <w:rPr>
          <w:rFonts w:hint="eastAsia"/>
          <w:color w:val="auto"/>
          <w:szCs w:val="21"/>
        </w:rPr>
        <w:t>合理化建议</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注</w:t>
      </w:r>
      <w:r>
        <w:rPr>
          <w:rFonts w:hint="eastAsia" w:asciiTheme="minorEastAsia" w:hAnsiTheme="minorEastAsia"/>
          <w:color w:val="auto"/>
          <w:szCs w:val="21"/>
        </w:rPr>
        <w:t>：施工组织设计采用暗标评审。投标人应按第三章“评标方法（综合评估法）”第</w:t>
      </w:r>
      <w:r>
        <w:rPr>
          <w:rFonts w:asciiTheme="minorEastAsia" w:hAnsiTheme="minorEastAsia"/>
          <w:color w:val="auto"/>
          <w:szCs w:val="21"/>
        </w:rPr>
        <w:t>2.2.4</w:t>
      </w:r>
      <w:r>
        <w:rPr>
          <w:rFonts w:hint="eastAsia" w:asciiTheme="minorEastAsia" w:hAnsiTheme="minorEastAsia"/>
          <w:color w:val="auto"/>
          <w:szCs w:val="21"/>
        </w:rPr>
        <w:t>（2）目规定进行编制，并按电子招标投标交易平台的要求提交施工组织设计，提交的施工组织设计除在封面签字、盖章外，不得有再有其他任何有关投标人的暗示。电子招标投标交易平台应对施工组织设计进行章节乱序排列后，提交评标委员会评审。</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b/>
          <w:color w:val="auto"/>
          <w:sz w:val="28"/>
          <w:szCs w:val="28"/>
        </w:rPr>
      </w:pPr>
      <w:r>
        <w:rPr>
          <w:rFonts w:hint="eastAsia" w:asciiTheme="minorEastAsia" w:hAnsiTheme="minorEastAsia"/>
          <w:b/>
          <w:color w:val="auto"/>
          <w:sz w:val="28"/>
          <w:szCs w:val="28"/>
        </w:rPr>
        <w:t>附件1：施工总平面图</w:t>
      </w:r>
    </w:p>
    <w:p>
      <w:pPr>
        <w:ind w:firstLine="424" w:firstLineChars="202"/>
        <w:rPr>
          <w:rFonts w:ascii="宋体" w:hAnsi="宋体"/>
          <w:color w:val="auto"/>
        </w:rPr>
      </w:pPr>
      <w:r>
        <w:rPr>
          <w:rFonts w:hint="eastAsia" w:ascii="宋体" w:hAnsi="宋体"/>
          <w:color w:val="auto"/>
        </w:rPr>
        <w:t>投标人应递交一份施工总平面图，绘出现场临时设施布置图及表并附文字说明，说明临时设施、加工车间、现场办公、设备及仓储、供电、供水、卫生、生活、道路、消防等设施的情况和布置。</w:t>
      </w:r>
    </w:p>
    <w:p>
      <w:pPr>
        <w:tabs>
          <w:tab w:val="left" w:pos="1650"/>
        </w:tabs>
        <w:autoSpaceDE w:val="0"/>
        <w:autoSpaceDN w:val="0"/>
        <w:adjustRightInd w:val="0"/>
        <w:rPr>
          <w:rFonts w:ascii="宋体" w:hAnsi="宋体"/>
          <w:b/>
          <w:color w:val="auto"/>
          <w:sz w:val="24"/>
        </w:rPr>
      </w:pPr>
    </w:p>
    <w:p>
      <w:pPr>
        <w:widowControl/>
        <w:shd w:val="clear" w:color="auto" w:fill="FFFFFF"/>
        <w:snapToGrid w:val="0"/>
        <w:jc w:val="left"/>
        <w:rPr>
          <w:rFonts w:asciiTheme="minorEastAsia" w:hAnsiTheme="minorEastAsia"/>
          <w:b/>
          <w:color w:val="auto"/>
          <w:sz w:val="28"/>
          <w:szCs w:val="28"/>
        </w:rPr>
      </w:pPr>
      <w:r>
        <w:rPr>
          <w:rFonts w:hint="eastAsia" w:asciiTheme="minorEastAsia" w:hAnsiTheme="minorEastAsia"/>
          <w:b/>
          <w:color w:val="auto"/>
          <w:sz w:val="28"/>
          <w:szCs w:val="28"/>
        </w:rPr>
        <w:t>附件2：计划开工日期、完工日期和施工进度网络图</w:t>
      </w:r>
    </w:p>
    <w:p>
      <w:pPr>
        <w:ind w:firstLine="424" w:firstLineChars="202"/>
        <w:rPr>
          <w:rFonts w:ascii="宋体" w:hAnsi="宋体"/>
          <w:color w:val="auto"/>
        </w:rPr>
      </w:pPr>
      <w:r>
        <w:rPr>
          <w:rFonts w:hint="eastAsia" w:ascii="宋体" w:hAnsi="宋体"/>
          <w:color w:val="auto"/>
        </w:rPr>
        <w:t>投标人应递交施工进度网络图或施工进度表，说明按招标文件要求的计划工期进行施工的各个关键日期。</w:t>
      </w:r>
    </w:p>
    <w:p>
      <w:pPr>
        <w:ind w:firstLine="424" w:firstLineChars="202"/>
        <w:rPr>
          <w:rFonts w:ascii="宋体" w:hAnsi="宋体"/>
          <w:color w:val="auto"/>
        </w:rPr>
      </w:pPr>
    </w:p>
    <w:p>
      <w:pPr>
        <w:widowControl/>
        <w:shd w:val="clear" w:color="auto" w:fill="FFFFFF"/>
        <w:snapToGrid w:val="0"/>
        <w:jc w:val="left"/>
        <w:rPr>
          <w:rFonts w:asciiTheme="minorEastAsia" w:hAnsiTheme="minorEastAsia"/>
          <w:b/>
          <w:color w:val="auto"/>
          <w:sz w:val="28"/>
          <w:szCs w:val="28"/>
        </w:rPr>
      </w:pPr>
      <w:r>
        <w:rPr>
          <w:rFonts w:hint="eastAsia" w:asciiTheme="minorEastAsia" w:hAnsiTheme="minorEastAsia"/>
          <w:b/>
          <w:color w:val="auto"/>
          <w:sz w:val="28"/>
          <w:szCs w:val="28"/>
        </w:rPr>
        <w:t>附件3：拟投入本标段的主要施工设备表</w:t>
      </w:r>
    </w:p>
    <w:tbl>
      <w:tblPr>
        <w:tblStyle w:val="39"/>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843"/>
        <w:gridCol w:w="781"/>
        <w:gridCol w:w="937"/>
        <w:gridCol w:w="781"/>
        <w:gridCol w:w="781"/>
        <w:gridCol w:w="1261"/>
        <w:gridCol w:w="922"/>
        <w:gridCol w:w="1259"/>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jc w:val="center"/>
        </w:trPr>
        <w:tc>
          <w:tcPr>
            <w:tcW w:w="718" w:type="dxa"/>
            <w:vAlign w:val="center"/>
          </w:tcPr>
          <w:p>
            <w:pPr>
              <w:jc w:val="center"/>
              <w:rPr>
                <w:rFonts w:ascii="宋体" w:hAnsi="宋体"/>
                <w:color w:val="auto"/>
              </w:rPr>
            </w:pPr>
            <w:r>
              <w:rPr>
                <w:rFonts w:hint="eastAsia" w:ascii="宋体" w:hAnsi="宋体"/>
                <w:color w:val="auto"/>
              </w:rPr>
              <w:t>序号</w:t>
            </w:r>
          </w:p>
        </w:tc>
        <w:tc>
          <w:tcPr>
            <w:tcW w:w="843" w:type="dxa"/>
            <w:vAlign w:val="center"/>
          </w:tcPr>
          <w:p>
            <w:pPr>
              <w:jc w:val="center"/>
              <w:rPr>
                <w:rFonts w:ascii="宋体" w:hAnsi="宋体"/>
                <w:color w:val="auto"/>
              </w:rPr>
            </w:pPr>
            <w:r>
              <w:rPr>
                <w:rFonts w:hint="eastAsia" w:ascii="宋体" w:hAnsi="宋体"/>
                <w:color w:val="auto"/>
              </w:rPr>
              <w:t>设备名称</w:t>
            </w:r>
          </w:p>
        </w:tc>
        <w:tc>
          <w:tcPr>
            <w:tcW w:w="781" w:type="dxa"/>
            <w:vAlign w:val="center"/>
          </w:tcPr>
          <w:p>
            <w:pPr>
              <w:jc w:val="center"/>
              <w:rPr>
                <w:rFonts w:ascii="宋体" w:hAnsi="宋体"/>
                <w:color w:val="auto"/>
              </w:rPr>
            </w:pPr>
            <w:r>
              <w:rPr>
                <w:rFonts w:hint="eastAsia" w:ascii="宋体" w:hAnsi="宋体"/>
                <w:color w:val="auto"/>
              </w:rPr>
              <w:t>型号规格</w:t>
            </w:r>
          </w:p>
        </w:tc>
        <w:tc>
          <w:tcPr>
            <w:tcW w:w="937" w:type="dxa"/>
            <w:vAlign w:val="center"/>
          </w:tcPr>
          <w:p>
            <w:pPr>
              <w:jc w:val="center"/>
              <w:rPr>
                <w:rFonts w:ascii="宋体" w:hAnsi="宋体"/>
                <w:color w:val="auto"/>
              </w:rPr>
            </w:pPr>
            <w:r>
              <w:rPr>
                <w:rFonts w:hint="eastAsia" w:ascii="宋体" w:hAnsi="宋体"/>
                <w:color w:val="auto"/>
              </w:rPr>
              <w:t>数量</w:t>
            </w:r>
          </w:p>
        </w:tc>
        <w:tc>
          <w:tcPr>
            <w:tcW w:w="781" w:type="dxa"/>
            <w:vAlign w:val="center"/>
          </w:tcPr>
          <w:p>
            <w:pPr>
              <w:jc w:val="center"/>
              <w:rPr>
                <w:rFonts w:ascii="宋体" w:hAnsi="宋体"/>
                <w:color w:val="auto"/>
              </w:rPr>
            </w:pPr>
            <w:r>
              <w:rPr>
                <w:rFonts w:hint="eastAsia" w:ascii="宋体" w:hAnsi="宋体"/>
                <w:color w:val="auto"/>
              </w:rPr>
              <w:t>国别产地</w:t>
            </w:r>
          </w:p>
        </w:tc>
        <w:tc>
          <w:tcPr>
            <w:tcW w:w="781" w:type="dxa"/>
            <w:vAlign w:val="center"/>
          </w:tcPr>
          <w:p>
            <w:pPr>
              <w:jc w:val="center"/>
              <w:rPr>
                <w:rFonts w:ascii="宋体" w:hAnsi="宋体"/>
                <w:color w:val="auto"/>
              </w:rPr>
            </w:pPr>
            <w:r>
              <w:rPr>
                <w:rFonts w:hint="eastAsia" w:ascii="宋体" w:hAnsi="宋体"/>
                <w:color w:val="auto"/>
              </w:rPr>
              <w:t>制造年份</w:t>
            </w:r>
          </w:p>
        </w:tc>
        <w:tc>
          <w:tcPr>
            <w:tcW w:w="1261" w:type="dxa"/>
            <w:vAlign w:val="center"/>
          </w:tcPr>
          <w:p>
            <w:pPr>
              <w:jc w:val="center"/>
              <w:rPr>
                <w:rFonts w:ascii="宋体" w:hAnsi="宋体"/>
                <w:color w:val="auto"/>
              </w:rPr>
            </w:pPr>
            <w:r>
              <w:rPr>
                <w:rFonts w:hint="eastAsia" w:ascii="宋体" w:hAnsi="宋体"/>
                <w:color w:val="auto"/>
              </w:rPr>
              <w:t>额定功率(kW)</w:t>
            </w:r>
          </w:p>
        </w:tc>
        <w:tc>
          <w:tcPr>
            <w:tcW w:w="922" w:type="dxa"/>
            <w:vAlign w:val="center"/>
          </w:tcPr>
          <w:p>
            <w:pPr>
              <w:jc w:val="center"/>
              <w:rPr>
                <w:rFonts w:ascii="宋体" w:hAnsi="宋体"/>
                <w:color w:val="auto"/>
              </w:rPr>
            </w:pPr>
            <w:r>
              <w:rPr>
                <w:rFonts w:hint="eastAsia" w:ascii="宋体" w:hAnsi="宋体"/>
                <w:color w:val="auto"/>
              </w:rPr>
              <w:t>生产能力</w:t>
            </w:r>
          </w:p>
        </w:tc>
        <w:tc>
          <w:tcPr>
            <w:tcW w:w="1259" w:type="dxa"/>
            <w:vAlign w:val="center"/>
          </w:tcPr>
          <w:p>
            <w:pPr>
              <w:jc w:val="center"/>
              <w:rPr>
                <w:rFonts w:ascii="宋体" w:hAnsi="宋体"/>
                <w:color w:val="auto"/>
              </w:rPr>
            </w:pPr>
            <w:r>
              <w:rPr>
                <w:rFonts w:hint="eastAsia" w:ascii="宋体" w:hAnsi="宋体"/>
                <w:color w:val="auto"/>
              </w:rPr>
              <w:t>用于施工部位</w:t>
            </w:r>
          </w:p>
        </w:tc>
        <w:tc>
          <w:tcPr>
            <w:tcW w:w="777" w:type="dxa"/>
            <w:vAlign w:val="center"/>
          </w:tcPr>
          <w:p>
            <w:pPr>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718" w:type="dxa"/>
            <w:vAlign w:val="center"/>
          </w:tcPr>
          <w:p>
            <w:pPr>
              <w:jc w:val="center"/>
              <w:rPr>
                <w:rFonts w:ascii="宋体" w:hAnsi="宋体"/>
                <w:color w:val="auto"/>
              </w:rPr>
            </w:pPr>
          </w:p>
        </w:tc>
        <w:tc>
          <w:tcPr>
            <w:tcW w:w="843"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937"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1261" w:type="dxa"/>
            <w:vAlign w:val="center"/>
          </w:tcPr>
          <w:p>
            <w:pPr>
              <w:jc w:val="center"/>
              <w:rPr>
                <w:rFonts w:ascii="宋体" w:hAnsi="宋体"/>
                <w:color w:val="auto"/>
              </w:rPr>
            </w:pPr>
          </w:p>
        </w:tc>
        <w:tc>
          <w:tcPr>
            <w:tcW w:w="922" w:type="dxa"/>
            <w:vAlign w:val="center"/>
          </w:tcPr>
          <w:p>
            <w:pPr>
              <w:jc w:val="center"/>
              <w:rPr>
                <w:rFonts w:ascii="宋体" w:hAnsi="宋体"/>
                <w:color w:val="auto"/>
              </w:rPr>
            </w:pPr>
          </w:p>
        </w:tc>
        <w:tc>
          <w:tcPr>
            <w:tcW w:w="1259" w:type="dxa"/>
            <w:vAlign w:val="center"/>
          </w:tcPr>
          <w:p>
            <w:pPr>
              <w:jc w:val="center"/>
              <w:rPr>
                <w:rFonts w:ascii="宋体" w:hAnsi="宋体"/>
                <w:color w:val="auto"/>
              </w:rPr>
            </w:pPr>
          </w:p>
        </w:tc>
        <w:tc>
          <w:tcPr>
            <w:tcW w:w="777" w:type="dxa"/>
            <w:vAlign w:val="center"/>
          </w:tcPr>
          <w:p>
            <w:pPr>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jc w:val="center"/>
        </w:trPr>
        <w:tc>
          <w:tcPr>
            <w:tcW w:w="718" w:type="dxa"/>
            <w:vAlign w:val="center"/>
          </w:tcPr>
          <w:p>
            <w:pPr>
              <w:jc w:val="center"/>
              <w:rPr>
                <w:rFonts w:ascii="宋体" w:hAnsi="宋体"/>
                <w:color w:val="auto"/>
              </w:rPr>
            </w:pPr>
          </w:p>
        </w:tc>
        <w:tc>
          <w:tcPr>
            <w:tcW w:w="843"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937"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1261" w:type="dxa"/>
            <w:vAlign w:val="center"/>
          </w:tcPr>
          <w:p>
            <w:pPr>
              <w:jc w:val="center"/>
              <w:rPr>
                <w:rFonts w:ascii="宋体" w:hAnsi="宋体"/>
                <w:color w:val="auto"/>
              </w:rPr>
            </w:pPr>
          </w:p>
        </w:tc>
        <w:tc>
          <w:tcPr>
            <w:tcW w:w="922" w:type="dxa"/>
            <w:vAlign w:val="center"/>
          </w:tcPr>
          <w:p>
            <w:pPr>
              <w:jc w:val="center"/>
              <w:rPr>
                <w:rFonts w:ascii="宋体" w:hAnsi="宋体"/>
                <w:color w:val="auto"/>
              </w:rPr>
            </w:pPr>
          </w:p>
        </w:tc>
        <w:tc>
          <w:tcPr>
            <w:tcW w:w="1259" w:type="dxa"/>
            <w:vAlign w:val="center"/>
          </w:tcPr>
          <w:p>
            <w:pPr>
              <w:jc w:val="center"/>
              <w:rPr>
                <w:rFonts w:ascii="宋体" w:hAnsi="宋体"/>
                <w:color w:val="auto"/>
              </w:rPr>
            </w:pPr>
          </w:p>
        </w:tc>
        <w:tc>
          <w:tcPr>
            <w:tcW w:w="777" w:type="dxa"/>
            <w:vAlign w:val="center"/>
          </w:tcPr>
          <w:p>
            <w:pPr>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jc w:val="center"/>
        </w:trPr>
        <w:tc>
          <w:tcPr>
            <w:tcW w:w="718" w:type="dxa"/>
            <w:vAlign w:val="center"/>
          </w:tcPr>
          <w:p>
            <w:pPr>
              <w:jc w:val="center"/>
              <w:rPr>
                <w:rFonts w:ascii="宋体" w:hAnsi="宋体"/>
                <w:color w:val="auto"/>
              </w:rPr>
            </w:pPr>
          </w:p>
        </w:tc>
        <w:tc>
          <w:tcPr>
            <w:tcW w:w="843"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937"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781" w:type="dxa"/>
            <w:vAlign w:val="center"/>
          </w:tcPr>
          <w:p>
            <w:pPr>
              <w:jc w:val="center"/>
              <w:rPr>
                <w:rFonts w:ascii="宋体" w:hAnsi="宋体"/>
                <w:color w:val="auto"/>
              </w:rPr>
            </w:pPr>
          </w:p>
        </w:tc>
        <w:tc>
          <w:tcPr>
            <w:tcW w:w="1261" w:type="dxa"/>
            <w:vAlign w:val="center"/>
          </w:tcPr>
          <w:p>
            <w:pPr>
              <w:jc w:val="center"/>
              <w:rPr>
                <w:rFonts w:ascii="宋体" w:hAnsi="宋体"/>
                <w:color w:val="auto"/>
              </w:rPr>
            </w:pPr>
          </w:p>
        </w:tc>
        <w:tc>
          <w:tcPr>
            <w:tcW w:w="922" w:type="dxa"/>
            <w:vAlign w:val="center"/>
          </w:tcPr>
          <w:p>
            <w:pPr>
              <w:jc w:val="center"/>
              <w:rPr>
                <w:rFonts w:ascii="宋体" w:hAnsi="宋体"/>
                <w:color w:val="auto"/>
              </w:rPr>
            </w:pPr>
          </w:p>
        </w:tc>
        <w:tc>
          <w:tcPr>
            <w:tcW w:w="1259" w:type="dxa"/>
            <w:vAlign w:val="center"/>
          </w:tcPr>
          <w:p>
            <w:pPr>
              <w:jc w:val="center"/>
              <w:rPr>
                <w:rFonts w:ascii="宋体" w:hAnsi="宋体"/>
                <w:color w:val="auto"/>
              </w:rPr>
            </w:pPr>
          </w:p>
        </w:tc>
        <w:tc>
          <w:tcPr>
            <w:tcW w:w="777" w:type="dxa"/>
            <w:vAlign w:val="center"/>
          </w:tcPr>
          <w:p>
            <w:pPr>
              <w:jc w:val="center"/>
              <w:rPr>
                <w:rFonts w:ascii="宋体" w:hAnsi="宋体"/>
                <w:color w:val="auto"/>
              </w:rPr>
            </w:pPr>
          </w:p>
        </w:tc>
      </w:tr>
    </w:tbl>
    <w:p>
      <w:pPr>
        <w:tabs>
          <w:tab w:val="left" w:pos="1650"/>
        </w:tabs>
        <w:autoSpaceDE w:val="0"/>
        <w:autoSpaceDN w:val="0"/>
        <w:adjustRightInd w:val="0"/>
        <w:rPr>
          <w:rFonts w:ascii="宋体" w:hAnsi="宋体"/>
          <w:b/>
          <w:color w:val="auto"/>
          <w:sz w:val="24"/>
        </w:rPr>
      </w:pPr>
    </w:p>
    <w:p>
      <w:pPr>
        <w:widowControl/>
        <w:shd w:val="clear" w:color="auto" w:fill="FFFFFF"/>
        <w:snapToGrid w:val="0"/>
        <w:jc w:val="left"/>
        <w:rPr>
          <w:rFonts w:asciiTheme="minorEastAsia" w:hAnsiTheme="minorEastAsia"/>
          <w:b/>
          <w:color w:val="auto"/>
          <w:sz w:val="28"/>
          <w:szCs w:val="28"/>
        </w:rPr>
      </w:pPr>
      <w:r>
        <w:rPr>
          <w:rFonts w:hint="eastAsia" w:asciiTheme="minorEastAsia" w:hAnsiTheme="minorEastAsia"/>
          <w:b/>
          <w:color w:val="auto"/>
          <w:sz w:val="28"/>
          <w:szCs w:val="28"/>
        </w:rPr>
        <w:t>附件4：拟投入本标段的劳动力计划表（格式）</w:t>
      </w:r>
    </w:p>
    <w:p>
      <w:pPr>
        <w:ind w:right="420"/>
        <w:jc w:val="right"/>
        <w:rPr>
          <w:rFonts w:ascii="宋体" w:hAnsi="宋体"/>
          <w:color w:val="auto"/>
        </w:rPr>
      </w:pPr>
      <w:r>
        <w:rPr>
          <w:rFonts w:hint="eastAsia" w:ascii="宋体" w:hAnsi="宋体"/>
          <w:color w:val="auto"/>
        </w:rPr>
        <w:t>单位：人</w:t>
      </w:r>
    </w:p>
    <w:tbl>
      <w:tblPr>
        <w:tblStyle w:val="39"/>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9"/>
        <w:gridCol w:w="1164"/>
        <w:gridCol w:w="1163"/>
        <w:gridCol w:w="1163"/>
        <w:gridCol w:w="1163"/>
        <w:gridCol w:w="1163"/>
        <w:gridCol w:w="1163"/>
        <w:gridCol w:w="1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079" w:type="dxa"/>
            <w:vAlign w:val="center"/>
          </w:tcPr>
          <w:p>
            <w:pPr>
              <w:jc w:val="center"/>
              <w:rPr>
                <w:rFonts w:ascii="宋体" w:hAnsi="宋体"/>
                <w:color w:val="auto"/>
              </w:rPr>
            </w:pPr>
            <w:r>
              <w:rPr>
                <w:rFonts w:hint="eastAsia" w:ascii="宋体" w:hAnsi="宋体"/>
                <w:color w:val="auto"/>
              </w:rPr>
              <w:t>工种</w:t>
            </w:r>
          </w:p>
        </w:tc>
        <w:tc>
          <w:tcPr>
            <w:tcW w:w="7981" w:type="dxa"/>
            <w:gridSpan w:val="7"/>
            <w:vAlign w:val="center"/>
          </w:tcPr>
          <w:p>
            <w:pPr>
              <w:jc w:val="center"/>
              <w:rPr>
                <w:rFonts w:ascii="宋体" w:hAnsi="宋体"/>
                <w:color w:val="auto"/>
              </w:rPr>
            </w:pPr>
            <w:r>
              <w:rPr>
                <w:rFonts w:hint="eastAsia" w:ascii="宋体" w:hAnsi="宋体"/>
                <w:color w:val="auto"/>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079" w:type="dxa"/>
            <w:vAlign w:val="center"/>
          </w:tcPr>
          <w:p>
            <w:pPr>
              <w:jc w:val="center"/>
              <w:rPr>
                <w:rFonts w:ascii="宋体" w:hAnsi="宋体"/>
                <w:color w:val="auto"/>
              </w:rPr>
            </w:pPr>
          </w:p>
        </w:tc>
        <w:tc>
          <w:tcPr>
            <w:tcW w:w="1164"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002" w:type="dxa"/>
            <w:vAlign w:val="center"/>
          </w:tcPr>
          <w:p>
            <w:pPr>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jc w:val="center"/>
        </w:trPr>
        <w:tc>
          <w:tcPr>
            <w:tcW w:w="1079" w:type="dxa"/>
            <w:vAlign w:val="center"/>
          </w:tcPr>
          <w:p>
            <w:pPr>
              <w:jc w:val="center"/>
              <w:rPr>
                <w:rFonts w:ascii="宋体" w:hAnsi="宋体"/>
                <w:color w:val="auto"/>
              </w:rPr>
            </w:pPr>
          </w:p>
        </w:tc>
        <w:tc>
          <w:tcPr>
            <w:tcW w:w="1164"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002" w:type="dxa"/>
            <w:vAlign w:val="center"/>
          </w:tcPr>
          <w:p>
            <w:pPr>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079" w:type="dxa"/>
            <w:vAlign w:val="center"/>
          </w:tcPr>
          <w:p>
            <w:pPr>
              <w:jc w:val="center"/>
              <w:rPr>
                <w:rFonts w:ascii="宋体" w:hAnsi="宋体"/>
                <w:color w:val="auto"/>
              </w:rPr>
            </w:pPr>
          </w:p>
        </w:tc>
        <w:tc>
          <w:tcPr>
            <w:tcW w:w="1164"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163" w:type="dxa"/>
            <w:vAlign w:val="center"/>
          </w:tcPr>
          <w:p>
            <w:pPr>
              <w:jc w:val="center"/>
              <w:rPr>
                <w:rFonts w:ascii="宋体" w:hAnsi="宋体"/>
                <w:color w:val="auto"/>
              </w:rPr>
            </w:pPr>
          </w:p>
        </w:tc>
        <w:tc>
          <w:tcPr>
            <w:tcW w:w="1002" w:type="dxa"/>
            <w:vAlign w:val="center"/>
          </w:tcPr>
          <w:p>
            <w:pPr>
              <w:jc w:val="center"/>
              <w:rPr>
                <w:rFonts w:ascii="宋体" w:hAnsi="宋体"/>
                <w:color w:val="auto"/>
              </w:rPr>
            </w:pPr>
          </w:p>
        </w:tc>
      </w:tr>
    </w:tbl>
    <w:p>
      <w:pPr>
        <w:widowControl/>
        <w:shd w:val="clear" w:color="auto" w:fill="FFFFFF"/>
        <w:snapToGrid w:val="0"/>
        <w:jc w:val="left"/>
        <w:rPr>
          <w:rFonts w:asciiTheme="minorEastAsia" w:hAnsiTheme="minorEastAsia"/>
          <w:b/>
          <w:color w:val="auto"/>
          <w:sz w:val="28"/>
          <w:szCs w:val="28"/>
        </w:rPr>
      </w:pPr>
    </w:p>
    <w:bookmarkEnd w:id="1254"/>
    <w:sectPr>
      <w:footerReference r:id="rId4"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8252"/>
    </w:sdtPr>
    <w:sdtContent>
      <w:p>
        <w:pPr>
          <w:pStyle w:val="23"/>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2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1643"/>
    <w:rsid w:val="000022D5"/>
    <w:rsid w:val="00004696"/>
    <w:rsid w:val="000046A0"/>
    <w:rsid w:val="00005530"/>
    <w:rsid w:val="000057A7"/>
    <w:rsid w:val="000067B3"/>
    <w:rsid w:val="000067E9"/>
    <w:rsid w:val="00006DAC"/>
    <w:rsid w:val="00006DBB"/>
    <w:rsid w:val="000103D2"/>
    <w:rsid w:val="00010CE1"/>
    <w:rsid w:val="0001120E"/>
    <w:rsid w:val="000137E7"/>
    <w:rsid w:val="00013C86"/>
    <w:rsid w:val="0001485B"/>
    <w:rsid w:val="00014C55"/>
    <w:rsid w:val="000151CC"/>
    <w:rsid w:val="0001623E"/>
    <w:rsid w:val="00016278"/>
    <w:rsid w:val="000165DE"/>
    <w:rsid w:val="000171A0"/>
    <w:rsid w:val="00017CBE"/>
    <w:rsid w:val="00017E1F"/>
    <w:rsid w:val="00020EA5"/>
    <w:rsid w:val="00022098"/>
    <w:rsid w:val="00022617"/>
    <w:rsid w:val="000227B0"/>
    <w:rsid w:val="00022A95"/>
    <w:rsid w:val="0002457F"/>
    <w:rsid w:val="0002529E"/>
    <w:rsid w:val="00025666"/>
    <w:rsid w:val="00026467"/>
    <w:rsid w:val="000268A4"/>
    <w:rsid w:val="0002770D"/>
    <w:rsid w:val="0002774C"/>
    <w:rsid w:val="000278F1"/>
    <w:rsid w:val="00033B13"/>
    <w:rsid w:val="00033B9E"/>
    <w:rsid w:val="00033C5A"/>
    <w:rsid w:val="0003460B"/>
    <w:rsid w:val="000346EE"/>
    <w:rsid w:val="00034B60"/>
    <w:rsid w:val="0003543D"/>
    <w:rsid w:val="00035C2F"/>
    <w:rsid w:val="00040727"/>
    <w:rsid w:val="00040E4F"/>
    <w:rsid w:val="0004253C"/>
    <w:rsid w:val="00042EA3"/>
    <w:rsid w:val="00043DF2"/>
    <w:rsid w:val="0004418A"/>
    <w:rsid w:val="000444C0"/>
    <w:rsid w:val="00044725"/>
    <w:rsid w:val="000452A2"/>
    <w:rsid w:val="000452F8"/>
    <w:rsid w:val="000456AD"/>
    <w:rsid w:val="00050005"/>
    <w:rsid w:val="0005026A"/>
    <w:rsid w:val="00050C05"/>
    <w:rsid w:val="00051548"/>
    <w:rsid w:val="000519E3"/>
    <w:rsid w:val="00052AFB"/>
    <w:rsid w:val="00052D61"/>
    <w:rsid w:val="00053189"/>
    <w:rsid w:val="0005455E"/>
    <w:rsid w:val="000553EB"/>
    <w:rsid w:val="00055F93"/>
    <w:rsid w:val="00055FA7"/>
    <w:rsid w:val="000569BE"/>
    <w:rsid w:val="00062380"/>
    <w:rsid w:val="00063D54"/>
    <w:rsid w:val="00064E9B"/>
    <w:rsid w:val="00065BDD"/>
    <w:rsid w:val="00065F6B"/>
    <w:rsid w:val="00066E52"/>
    <w:rsid w:val="0006799E"/>
    <w:rsid w:val="00070566"/>
    <w:rsid w:val="00070ACA"/>
    <w:rsid w:val="000728F7"/>
    <w:rsid w:val="00072928"/>
    <w:rsid w:val="00073A8B"/>
    <w:rsid w:val="00073FCE"/>
    <w:rsid w:val="000740C2"/>
    <w:rsid w:val="0007591F"/>
    <w:rsid w:val="00075C43"/>
    <w:rsid w:val="000762C0"/>
    <w:rsid w:val="00076990"/>
    <w:rsid w:val="00080C74"/>
    <w:rsid w:val="000824AA"/>
    <w:rsid w:val="000875DF"/>
    <w:rsid w:val="00087EAE"/>
    <w:rsid w:val="00090958"/>
    <w:rsid w:val="000918F1"/>
    <w:rsid w:val="00091EAC"/>
    <w:rsid w:val="00091EE0"/>
    <w:rsid w:val="000927AE"/>
    <w:rsid w:val="00092F4F"/>
    <w:rsid w:val="000948BA"/>
    <w:rsid w:val="00096CA5"/>
    <w:rsid w:val="00097224"/>
    <w:rsid w:val="00097A2C"/>
    <w:rsid w:val="00097C2D"/>
    <w:rsid w:val="000A016F"/>
    <w:rsid w:val="000A03EF"/>
    <w:rsid w:val="000A0723"/>
    <w:rsid w:val="000A138B"/>
    <w:rsid w:val="000A13B5"/>
    <w:rsid w:val="000A17D4"/>
    <w:rsid w:val="000A210B"/>
    <w:rsid w:val="000A2DD6"/>
    <w:rsid w:val="000A3208"/>
    <w:rsid w:val="000A5BDB"/>
    <w:rsid w:val="000A6101"/>
    <w:rsid w:val="000A68D8"/>
    <w:rsid w:val="000B0323"/>
    <w:rsid w:val="000B1E38"/>
    <w:rsid w:val="000B304F"/>
    <w:rsid w:val="000B339A"/>
    <w:rsid w:val="000B3B57"/>
    <w:rsid w:val="000B5F9D"/>
    <w:rsid w:val="000B7102"/>
    <w:rsid w:val="000B7F1D"/>
    <w:rsid w:val="000C0A6C"/>
    <w:rsid w:val="000C2389"/>
    <w:rsid w:val="000C4650"/>
    <w:rsid w:val="000C48B1"/>
    <w:rsid w:val="000C4967"/>
    <w:rsid w:val="000C49F3"/>
    <w:rsid w:val="000C64D8"/>
    <w:rsid w:val="000C6EDA"/>
    <w:rsid w:val="000C7229"/>
    <w:rsid w:val="000D1665"/>
    <w:rsid w:val="000D3A36"/>
    <w:rsid w:val="000D3E02"/>
    <w:rsid w:val="000D56F8"/>
    <w:rsid w:val="000D5776"/>
    <w:rsid w:val="000D5801"/>
    <w:rsid w:val="000D76B8"/>
    <w:rsid w:val="000D7A72"/>
    <w:rsid w:val="000E02D2"/>
    <w:rsid w:val="000E1872"/>
    <w:rsid w:val="000E1EAC"/>
    <w:rsid w:val="000E1F0E"/>
    <w:rsid w:val="000E2B83"/>
    <w:rsid w:val="000E2FA7"/>
    <w:rsid w:val="000E3CCB"/>
    <w:rsid w:val="000E3CD9"/>
    <w:rsid w:val="000E43BB"/>
    <w:rsid w:val="000E498B"/>
    <w:rsid w:val="000E5490"/>
    <w:rsid w:val="000E794D"/>
    <w:rsid w:val="000F01C0"/>
    <w:rsid w:val="000F3A9A"/>
    <w:rsid w:val="000F3FCE"/>
    <w:rsid w:val="000F4FC6"/>
    <w:rsid w:val="000F50DD"/>
    <w:rsid w:val="000F5E96"/>
    <w:rsid w:val="000F5F70"/>
    <w:rsid w:val="000F6792"/>
    <w:rsid w:val="000F67E0"/>
    <w:rsid w:val="000F7EC8"/>
    <w:rsid w:val="001004FD"/>
    <w:rsid w:val="00103A29"/>
    <w:rsid w:val="00103B72"/>
    <w:rsid w:val="0010461D"/>
    <w:rsid w:val="0010625B"/>
    <w:rsid w:val="00106E63"/>
    <w:rsid w:val="00106FCB"/>
    <w:rsid w:val="00110613"/>
    <w:rsid w:val="00110B74"/>
    <w:rsid w:val="00112CF0"/>
    <w:rsid w:val="00112FAC"/>
    <w:rsid w:val="0011317E"/>
    <w:rsid w:val="00113AA6"/>
    <w:rsid w:val="001151F9"/>
    <w:rsid w:val="001168A6"/>
    <w:rsid w:val="00116A0F"/>
    <w:rsid w:val="0011790E"/>
    <w:rsid w:val="00117AE4"/>
    <w:rsid w:val="00117BD8"/>
    <w:rsid w:val="00121945"/>
    <w:rsid w:val="0012266F"/>
    <w:rsid w:val="00122DFB"/>
    <w:rsid w:val="00123724"/>
    <w:rsid w:val="00123F9A"/>
    <w:rsid w:val="00126C2C"/>
    <w:rsid w:val="00126D90"/>
    <w:rsid w:val="001274C9"/>
    <w:rsid w:val="00127E5B"/>
    <w:rsid w:val="0013001F"/>
    <w:rsid w:val="00132B8A"/>
    <w:rsid w:val="00132FA3"/>
    <w:rsid w:val="001349F3"/>
    <w:rsid w:val="00134A42"/>
    <w:rsid w:val="001352CF"/>
    <w:rsid w:val="0013568C"/>
    <w:rsid w:val="00136429"/>
    <w:rsid w:val="00137E3E"/>
    <w:rsid w:val="00140358"/>
    <w:rsid w:val="001428CA"/>
    <w:rsid w:val="00146823"/>
    <w:rsid w:val="001471C6"/>
    <w:rsid w:val="0015089D"/>
    <w:rsid w:val="00154339"/>
    <w:rsid w:val="00154EA7"/>
    <w:rsid w:val="001610E5"/>
    <w:rsid w:val="00161A8C"/>
    <w:rsid w:val="00161C40"/>
    <w:rsid w:val="00163F32"/>
    <w:rsid w:val="00164660"/>
    <w:rsid w:val="001653D9"/>
    <w:rsid w:val="001675BF"/>
    <w:rsid w:val="00171C04"/>
    <w:rsid w:val="00172845"/>
    <w:rsid w:val="00173D57"/>
    <w:rsid w:val="00174067"/>
    <w:rsid w:val="00174A6D"/>
    <w:rsid w:val="001751C2"/>
    <w:rsid w:val="00175B1A"/>
    <w:rsid w:val="0017667D"/>
    <w:rsid w:val="00176ADF"/>
    <w:rsid w:val="00176E75"/>
    <w:rsid w:val="001808EF"/>
    <w:rsid w:val="00180CD7"/>
    <w:rsid w:val="00181C69"/>
    <w:rsid w:val="00183078"/>
    <w:rsid w:val="001838CD"/>
    <w:rsid w:val="001843DB"/>
    <w:rsid w:val="00184701"/>
    <w:rsid w:val="00184AD3"/>
    <w:rsid w:val="001851BC"/>
    <w:rsid w:val="00185D59"/>
    <w:rsid w:val="0018678F"/>
    <w:rsid w:val="0018710A"/>
    <w:rsid w:val="00190272"/>
    <w:rsid w:val="00191072"/>
    <w:rsid w:val="001910C9"/>
    <w:rsid w:val="00193C8E"/>
    <w:rsid w:val="00193FDC"/>
    <w:rsid w:val="001963D6"/>
    <w:rsid w:val="001969E5"/>
    <w:rsid w:val="00197D86"/>
    <w:rsid w:val="001A073F"/>
    <w:rsid w:val="001A0FE0"/>
    <w:rsid w:val="001A1A9B"/>
    <w:rsid w:val="001A1E8A"/>
    <w:rsid w:val="001A21BA"/>
    <w:rsid w:val="001A25B7"/>
    <w:rsid w:val="001A4429"/>
    <w:rsid w:val="001A4642"/>
    <w:rsid w:val="001A4E0D"/>
    <w:rsid w:val="001A5183"/>
    <w:rsid w:val="001A564E"/>
    <w:rsid w:val="001A5755"/>
    <w:rsid w:val="001A5B0B"/>
    <w:rsid w:val="001A67E2"/>
    <w:rsid w:val="001A7122"/>
    <w:rsid w:val="001A753D"/>
    <w:rsid w:val="001B07B2"/>
    <w:rsid w:val="001B10F8"/>
    <w:rsid w:val="001B244B"/>
    <w:rsid w:val="001B2BCF"/>
    <w:rsid w:val="001B2E94"/>
    <w:rsid w:val="001B3A5D"/>
    <w:rsid w:val="001B3D76"/>
    <w:rsid w:val="001B459F"/>
    <w:rsid w:val="001B4625"/>
    <w:rsid w:val="001B7A82"/>
    <w:rsid w:val="001B7F80"/>
    <w:rsid w:val="001C1425"/>
    <w:rsid w:val="001C323C"/>
    <w:rsid w:val="001C341A"/>
    <w:rsid w:val="001C3E5C"/>
    <w:rsid w:val="001C4560"/>
    <w:rsid w:val="001C4E0D"/>
    <w:rsid w:val="001D0707"/>
    <w:rsid w:val="001D08D7"/>
    <w:rsid w:val="001D0CDD"/>
    <w:rsid w:val="001D0D0F"/>
    <w:rsid w:val="001D23D1"/>
    <w:rsid w:val="001D2473"/>
    <w:rsid w:val="001D4073"/>
    <w:rsid w:val="001D57DC"/>
    <w:rsid w:val="001D5AA9"/>
    <w:rsid w:val="001D5E9F"/>
    <w:rsid w:val="001D6AEB"/>
    <w:rsid w:val="001E34F6"/>
    <w:rsid w:val="001E4CD2"/>
    <w:rsid w:val="001E5414"/>
    <w:rsid w:val="001E5A0A"/>
    <w:rsid w:val="001E77E9"/>
    <w:rsid w:val="001F0D55"/>
    <w:rsid w:val="001F134D"/>
    <w:rsid w:val="001F2301"/>
    <w:rsid w:val="001F32F6"/>
    <w:rsid w:val="001F3FEA"/>
    <w:rsid w:val="001F5E5C"/>
    <w:rsid w:val="001F6208"/>
    <w:rsid w:val="001F67FB"/>
    <w:rsid w:val="001F72E6"/>
    <w:rsid w:val="00200B73"/>
    <w:rsid w:val="00200EB8"/>
    <w:rsid w:val="00202045"/>
    <w:rsid w:val="00202884"/>
    <w:rsid w:val="0020425A"/>
    <w:rsid w:val="0020498A"/>
    <w:rsid w:val="00204E59"/>
    <w:rsid w:val="00205BDC"/>
    <w:rsid w:val="00207B4E"/>
    <w:rsid w:val="00207D86"/>
    <w:rsid w:val="00212757"/>
    <w:rsid w:val="00213FB9"/>
    <w:rsid w:val="00214438"/>
    <w:rsid w:val="00214A6D"/>
    <w:rsid w:val="00214D06"/>
    <w:rsid w:val="00214EA6"/>
    <w:rsid w:val="00216240"/>
    <w:rsid w:val="0021644C"/>
    <w:rsid w:val="00216E13"/>
    <w:rsid w:val="00217DBA"/>
    <w:rsid w:val="00220485"/>
    <w:rsid w:val="00222FF4"/>
    <w:rsid w:val="0022350C"/>
    <w:rsid w:val="002235CB"/>
    <w:rsid w:val="00223C48"/>
    <w:rsid w:val="00223E13"/>
    <w:rsid w:val="0022464E"/>
    <w:rsid w:val="00224F62"/>
    <w:rsid w:val="00225E93"/>
    <w:rsid w:val="00225FC4"/>
    <w:rsid w:val="002310AB"/>
    <w:rsid w:val="00231B8A"/>
    <w:rsid w:val="00233DC9"/>
    <w:rsid w:val="00234CC9"/>
    <w:rsid w:val="00234E0C"/>
    <w:rsid w:val="002358A0"/>
    <w:rsid w:val="002376E4"/>
    <w:rsid w:val="002421D7"/>
    <w:rsid w:val="00243B58"/>
    <w:rsid w:val="00243C57"/>
    <w:rsid w:val="002443C9"/>
    <w:rsid w:val="002450CB"/>
    <w:rsid w:val="002459A7"/>
    <w:rsid w:val="00246ACB"/>
    <w:rsid w:val="0024740B"/>
    <w:rsid w:val="00247895"/>
    <w:rsid w:val="00247D14"/>
    <w:rsid w:val="00247DDF"/>
    <w:rsid w:val="00250F1F"/>
    <w:rsid w:val="002510E3"/>
    <w:rsid w:val="00252302"/>
    <w:rsid w:val="002523F3"/>
    <w:rsid w:val="00252D50"/>
    <w:rsid w:val="00252F33"/>
    <w:rsid w:val="00252FD3"/>
    <w:rsid w:val="002557DF"/>
    <w:rsid w:val="00256035"/>
    <w:rsid w:val="00256339"/>
    <w:rsid w:val="002576D8"/>
    <w:rsid w:val="002605D7"/>
    <w:rsid w:val="00260DB3"/>
    <w:rsid w:val="002629DD"/>
    <w:rsid w:val="00262BCC"/>
    <w:rsid w:val="002643B7"/>
    <w:rsid w:val="002643C2"/>
    <w:rsid w:val="00264431"/>
    <w:rsid w:val="00264439"/>
    <w:rsid w:val="00264836"/>
    <w:rsid w:val="002651BC"/>
    <w:rsid w:val="00265729"/>
    <w:rsid w:val="00266B0A"/>
    <w:rsid w:val="00270253"/>
    <w:rsid w:val="002704A0"/>
    <w:rsid w:val="0027059F"/>
    <w:rsid w:val="002708C1"/>
    <w:rsid w:val="00272D86"/>
    <w:rsid w:val="0027456F"/>
    <w:rsid w:val="00274A0C"/>
    <w:rsid w:val="0027610E"/>
    <w:rsid w:val="00277026"/>
    <w:rsid w:val="002778B8"/>
    <w:rsid w:val="002778C5"/>
    <w:rsid w:val="00277ABB"/>
    <w:rsid w:val="00280787"/>
    <w:rsid w:val="00280E68"/>
    <w:rsid w:val="0028288B"/>
    <w:rsid w:val="00282E94"/>
    <w:rsid w:val="00283D77"/>
    <w:rsid w:val="00285FC1"/>
    <w:rsid w:val="002878AF"/>
    <w:rsid w:val="00287B27"/>
    <w:rsid w:val="00290054"/>
    <w:rsid w:val="00290995"/>
    <w:rsid w:val="002912BB"/>
    <w:rsid w:val="00291323"/>
    <w:rsid w:val="0029181C"/>
    <w:rsid w:val="00291A12"/>
    <w:rsid w:val="00292037"/>
    <w:rsid w:val="00292677"/>
    <w:rsid w:val="00292A22"/>
    <w:rsid w:val="002931BA"/>
    <w:rsid w:val="0029332A"/>
    <w:rsid w:val="00293431"/>
    <w:rsid w:val="00296D17"/>
    <w:rsid w:val="0029717D"/>
    <w:rsid w:val="002A0440"/>
    <w:rsid w:val="002A1963"/>
    <w:rsid w:val="002A22AF"/>
    <w:rsid w:val="002A27B5"/>
    <w:rsid w:val="002A4A9D"/>
    <w:rsid w:val="002A5A71"/>
    <w:rsid w:val="002A5C3A"/>
    <w:rsid w:val="002A6857"/>
    <w:rsid w:val="002A7339"/>
    <w:rsid w:val="002B0442"/>
    <w:rsid w:val="002B075D"/>
    <w:rsid w:val="002B07BF"/>
    <w:rsid w:val="002B2FE9"/>
    <w:rsid w:val="002B5386"/>
    <w:rsid w:val="002B60DB"/>
    <w:rsid w:val="002C11B0"/>
    <w:rsid w:val="002C1DF8"/>
    <w:rsid w:val="002C33A7"/>
    <w:rsid w:val="002C43B8"/>
    <w:rsid w:val="002C440A"/>
    <w:rsid w:val="002C64E3"/>
    <w:rsid w:val="002D0382"/>
    <w:rsid w:val="002D072E"/>
    <w:rsid w:val="002D1604"/>
    <w:rsid w:val="002D5A49"/>
    <w:rsid w:val="002E0179"/>
    <w:rsid w:val="002E300E"/>
    <w:rsid w:val="002E385F"/>
    <w:rsid w:val="002E47FA"/>
    <w:rsid w:val="002E4CFF"/>
    <w:rsid w:val="002E6D84"/>
    <w:rsid w:val="002E718D"/>
    <w:rsid w:val="002E74AA"/>
    <w:rsid w:val="002E75C9"/>
    <w:rsid w:val="002E7E3E"/>
    <w:rsid w:val="002E7F6A"/>
    <w:rsid w:val="002F1896"/>
    <w:rsid w:val="002F3062"/>
    <w:rsid w:val="002F39B3"/>
    <w:rsid w:val="002F54E7"/>
    <w:rsid w:val="002F66FB"/>
    <w:rsid w:val="00300B95"/>
    <w:rsid w:val="00300F65"/>
    <w:rsid w:val="003029AC"/>
    <w:rsid w:val="00302A98"/>
    <w:rsid w:val="00302FAD"/>
    <w:rsid w:val="0030370D"/>
    <w:rsid w:val="00303B6C"/>
    <w:rsid w:val="00303B70"/>
    <w:rsid w:val="00306615"/>
    <w:rsid w:val="00307791"/>
    <w:rsid w:val="003100AE"/>
    <w:rsid w:val="00310ED6"/>
    <w:rsid w:val="00311BC0"/>
    <w:rsid w:val="00311C30"/>
    <w:rsid w:val="003124D9"/>
    <w:rsid w:val="0031284D"/>
    <w:rsid w:val="00314FAD"/>
    <w:rsid w:val="00315929"/>
    <w:rsid w:val="00315CBC"/>
    <w:rsid w:val="00317E2D"/>
    <w:rsid w:val="00320480"/>
    <w:rsid w:val="00320576"/>
    <w:rsid w:val="003205F8"/>
    <w:rsid w:val="00321070"/>
    <w:rsid w:val="0032283E"/>
    <w:rsid w:val="00322AE3"/>
    <w:rsid w:val="003247C9"/>
    <w:rsid w:val="003250C1"/>
    <w:rsid w:val="00325891"/>
    <w:rsid w:val="00325C67"/>
    <w:rsid w:val="003302DD"/>
    <w:rsid w:val="003303E4"/>
    <w:rsid w:val="00330861"/>
    <w:rsid w:val="003315E2"/>
    <w:rsid w:val="003322C2"/>
    <w:rsid w:val="00333AF5"/>
    <w:rsid w:val="00333C85"/>
    <w:rsid w:val="00334275"/>
    <w:rsid w:val="0033571C"/>
    <w:rsid w:val="00335815"/>
    <w:rsid w:val="00337204"/>
    <w:rsid w:val="003400D6"/>
    <w:rsid w:val="00341307"/>
    <w:rsid w:val="00341BEA"/>
    <w:rsid w:val="00341D7E"/>
    <w:rsid w:val="00344896"/>
    <w:rsid w:val="00344D63"/>
    <w:rsid w:val="00345C7E"/>
    <w:rsid w:val="00347753"/>
    <w:rsid w:val="00347C79"/>
    <w:rsid w:val="00350498"/>
    <w:rsid w:val="003509E9"/>
    <w:rsid w:val="00350A60"/>
    <w:rsid w:val="00351060"/>
    <w:rsid w:val="00351265"/>
    <w:rsid w:val="00352380"/>
    <w:rsid w:val="00352BDC"/>
    <w:rsid w:val="00354004"/>
    <w:rsid w:val="00355217"/>
    <w:rsid w:val="003557AB"/>
    <w:rsid w:val="00355A79"/>
    <w:rsid w:val="00356A8C"/>
    <w:rsid w:val="00360F44"/>
    <w:rsid w:val="00361038"/>
    <w:rsid w:val="003615CD"/>
    <w:rsid w:val="0036514D"/>
    <w:rsid w:val="00365210"/>
    <w:rsid w:val="003665E2"/>
    <w:rsid w:val="00370BCB"/>
    <w:rsid w:val="00370DD2"/>
    <w:rsid w:val="003745CC"/>
    <w:rsid w:val="003756C0"/>
    <w:rsid w:val="00375CE0"/>
    <w:rsid w:val="0037666F"/>
    <w:rsid w:val="003773B1"/>
    <w:rsid w:val="00380C21"/>
    <w:rsid w:val="003841E3"/>
    <w:rsid w:val="0038446D"/>
    <w:rsid w:val="003854E4"/>
    <w:rsid w:val="00385AE0"/>
    <w:rsid w:val="00387A02"/>
    <w:rsid w:val="0039153D"/>
    <w:rsid w:val="0039266A"/>
    <w:rsid w:val="0039348E"/>
    <w:rsid w:val="00393F43"/>
    <w:rsid w:val="00394159"/>
    <w:rsid w:val="003941A5"/>
    <w:rsid w:val="003949DA"/>
    <w:rsid w:val="003950D8"/>
    <w:rsid w:val="0039772E"/>
    <w:rsid w:val="003A1229"/>
    <w:rsid w:val="003A2C07"/>
    <w:rsid w:val="003A35D1"/>
    <w:rsid w:val="003A38B7"/>
    <w:rsid w:val="003A4F8B"/>
    <w:rsid w:val="003A51A7"/>
    <w:rsid w:val="003A733E"/>
    <w:rsid w:val="003B2C9F"/>
    <w:rsid w:val="003B2CDD"/>
    <w:rsid w:val="003B3C32"/>
    <w:rsid w:val="003B489B"/>
    <w:rsid w:val="003B53DF"/>
    <w:rsid w:val="003B7810"/>
    <w:rsid w:val="003C001B"/>
    <w:rsid w:val="003C0AFB"/>
    <w:rsid w:val="003C1C4B"/>
    <w:rsid w:val="003C23EC"/>
    <w:rsid w:val="003C255F"/>
    <w:rsid w:val="003C34D3"/>
    <w:rsid w:val="003C49CD"/>
    <w:rsid w:val="003C4F8F"/>
    <w:rsid w:val="003C5015"/>
    <w:rsid w:val="003C629D"/>
    <w:rsid w:val="003C66C2"/>
    <w:rsid w:val="003C7DBC"/>
    <w:rsid w:val="003D01C2"/>
    <w:rsid w:val="003D34BE"/>
    <w:rsid w:val="003D3C3B"/>
    <w:rsid w:val="003D582A"/>
    <w:rsid w:val="003D64FD"/>
    <w:rsid w:val="003D6625"/>
    <w:rsid w:val="003D7B53"/>
    <w:rsid w:val="003D7F3E"/>
    <w:rsid w:val="003E00B2"/>
    <w:rsid w:val="003E0508"/>
    <w:rsid w:val="003E0537"/>
    <w:rsid w:val="003E1042"/>
    <w:rsid w:val="003E4421"/>
    <w:rsid w:val="003E4DC7"/>
    <w:rsid w:val="003F0391"/>
    <w:rsid w:val="003F22FB"/>
    <w:rsid w:val="003F2B8B"/>
    <w:rsid w:val="003F3DA0"/>
    <w:rsid w:val="003F418F"/>
    <w:rsid w:val="003F42E1"/>
    <w:rsid w:val="003F4C1B"/>
    <w:rsid w:val="003F4D0E"/>
    <w:rsid w:val="003F539B"/>
    <w:rsid w:val="003F5F61"/>
    <w:rsid w:val="00402919"/>
    <w:rsid w:val="00403376"/>
    <w:rsid w:val="00403E77"/>
    <w:rsid w:val="00404857"/>
    <w:rsid w:val="0040493E"/>
    <w:rsid w:val="00405CA5"/>
    <w:rsid w:val="00406528"/>
    <w:rsid w:val="004065B4"/>
    <w:rsid w:val="00407A58"/>
    <w:rsid w:val="00411F35"/>
    <w:rsid w:val="004131B6"/>
    <w:rsid w:val="0041344E"/>
    <w:rsid w:val="004141B8"/>
    <w:rsid w:val="00414F26"/>
    <w:rsid w:val="00416862"/>
    <w:rsid w:val="00416B8A"/>
    <w:rsid w:val="00416D29"/>
    <w:rsid w:val="00417E27"/>
    <w:rsid w:val="00420418"/>
    <w:rsid w:val="00420E05"/>
    <w:rsid w:val="00421725"/>
    <w:rsid w:val="00422A3D"/>
    <w:rsid w:val="004242A8"/>
    <w:rsid w:val="00425A7E"/>
    <w:rsid w:val="00427763"/>
    <w:rsid w:val="00427D46"/>
    <w:rsid w:val="004300CC"/>
    <w:rsid w:val="00430A3F"/>
    <w:rsid w:val="00430E17"/>
    <w:rsid w:val="004311CE"/>
    <w:rsid w:val="00431E44"/>
    <w:rsid w:val="00432861"/>
    <w:rsid w:val="00433481"/>
    <w:rsid w:val="00433F54"/>
    <w:rsid w:val="004353C4"/>
    <w:rsid w:val="00437062"/>
    <w:rsid w:val="0043776A"/>
    <w:rsid w:val="00437A8F"/>
    <w:rsid w:val="00437E22"/>
    <w:rsid w:val="004400B7"/>
    <w:rsid w:val="00440582"/>
    <w:rsid w:val="00441306"/>
    <w:rsid w:val="0044365B"/>
    <w:rsid w:val="00443DE9"/>
    <w:rsid w:val="00444F87"/>
    <w:rsid w:val="00445AE9"/>
    <w:rsid w:val="00450A81"/>
    <w:rsid w:val="00452B46"/>
    <w:rsid w:val="00453DEB"/>
    <w:rsid w:val="00457BCE"/>
    <w:rsid w:val="00457D94"/>
    <w:rsid w:val="00460648"/>
    <w:rsid w:val="0046134E"/>
    <w:rsid w:val="00461376"/>
    <w:rsid w:val="0046213C"/>
    <w:rsid w:val="00462613"/>
    <w:rsid w:val="0046317F"/>
    <w:rsid w:val="00463983"/>
    <w:rsid w:val="00463E10"/>
    <w:rsid w:val="00464FB6"/>
    <w:rsid w:val="0047315F"/>
    <w:rsid w:val="0047422D"/>
    <w:rsid w:val="004743A0"/>
    <w:rsid w:val="00475D54"/>
    <w:rsid w:val="00476655"/>
    <w:rsid w:val="0047668D"/>
    <w:rsid w:val="004773A2"/>
    <w:rsid w:val="00481CB8"/>
    <w:rsid w:val="004841FC"/>
    <w:rsid w:val="004869CF"/>
    <w:rsid w:val="00491950"/>
    <w:rsid w:val="00493E01"/>
    <w:rsid w:val="00493EDB"/>
    <w:rsid w:val="0049440A"/>
    <w:rsid w:val="0049478E"/>
    <w:rsid w:val="00494D71"/>
    <w:rsid w:val="00495A3B"/>
    <w:rsid w:val="004961D7"/>
    <w:rsid w:val="00497153"/>
    <w:rsid w:val="00497714"/>
    <w:rsid w:val="004A014F"/>
    <w:rsid w:val="004A2150"/>
    <w:rsid w:val="004A2876"/>
    <w:rsid w:val="004A4320"/>
    <w:rsid w:val="004A4869"/>
    <w:rsid w:val="004A4ECE"/>
    <w:rsid w:val="004A5FC7"/>
    <w:rsid w:val="004A6936"/>
    <w:rsid w:val="004A6972"/>
    <w:rsid w:val="004B083B"/>
    <w:rsid w:val="004B2148"/>
    <w:rsid w:val="004B2B1D"/>
    <w:rsid w:val="004B3429"/>
    <w:rsid w:val="004B4182"/>
    <w:rsid w:val="004B435C"/>
    <w:rsid w:val="004B474B"/>
    <w:rsid w:val="004B553E"/>
    <w:rsid w:val="004B601C"/>
    <w:rsid w:val="004C071B"/>
    <w:rsid w:val="004C0DA0"/>
    <w:rsid w:val="004C18DF"/>
    <w:rsid w:val="004C29EC"/>
    <w:rsid w:val="004C2C2B"/>
    <w:rsid w:val="004C3803"/>
    <w:rsid w:val="004C6358"/>
    <w:rsid w:val="004C64B9"/>
    <w:rsid w:val="004C6729"/>
    <w:rsid w:val="004C6C76"/>
    <w:rsid w:val="004C7DC3"/>
    <w:rsid w:val="004D3D75"/>
    <w:rsid w:val="004D5050"/>
    <w:rsid w:val="004D7166"/>
    <w:rsid w:val="004E1842"/>
    <w:rsid w:val="004E239F"/>
    <w:rsid w:val="004E2B98"/>
    <w:rsid w:val="004E2D00"/>
    <w:rsid w:val="004E36B7"/>
    <w:rsid w:val="004E4BB3"/>
    <w:rsid w:val="004E4F41"/>
    <w:rsid w:val="004E555F"/>
    <w:rsid w:val="004E6912"/>
    <w:rsid w:val="004E6C4D"/>
    <w:rsid w:val="004F0322"/>
    <w:rsid w:val="004F1DBD"/>
    <w:rsid w:val="004F264C"/>
    <w:rsid w:val="004F73CC"/>
    <w:rsid w:val="004F789C"/>
    <w:rsid w:val="00501756"/>
    <w:rsid w:val="00501AA8"/>
    <w:rsid w:val="00501E99"/>
    <w:rsid w:val="00501EF7"/>
    <w:rsid w:val="005046CE"/>
    <w:rsid w:val="00505AEE"/>
    <w:rsid w:val="005063E4"/>
    <w:rsid w:val="00507859"/>
    <w:rsid w:val="00510CD1"/>
    <w:rsid w:val="00511286"/>
    <w:rsid w:val="0051180D"/>
    <w:rsid w:val="0051262B"/>
    <w:rsid w:val="005141A3"/>
    <w:rsid w:val="0051492B"/>
    <w:rsid w:val="00515369"/>
    <w:rsid w:val="00515647"/>
    <w:rsid w:val="00515C65"/>
    <w:rsid w:val="00515F9F"/>
    <w:rsid w:val="00516485"/>
    <w:rsid w:val="00517137"/>
    <w:rsid w:val="00520686"/>
    <w:rsid w:val="005213C6"/>
    <w:rsid w:val="00521580"/>
    <w:rsid w:val="00522A91"/>
    <w:rsid w:val="00523FEE"/>
    <w:rsid w:val="00524189"/>
    <w:rsid w:val="00524BDA"/>
    <w:rsid w:val="00525767"/>
    <w:rsid w:val="00525981"/>
    <w:rsid w:val="00525E56"/>
    <w:rsid w:val="00530603"/>
    <w:rsid w:val="00531DDF"/>
    <w:rsid w:val="00531E08"/>
    <w:rsid w:val="00532A6A"/>
    <w:rsid w:val="00534915"/>
    <w:rsid w:val="00534BBD"/>
    <w:rsid w:val="00537564"/>
    <w:rsid w:val="00540934"/>
    <w:rsid w:val="005414D7"/>
    <w:rsid w:val="00541B9F"/>
    <w:rsid w:val="00541C8F"/>
    <w:rsid w:val="005420AF"/>
    <w:rsid w:val="00542686"/>
    <w:rsid w:val="00544491"/>
    <w:rsid w:val="00545587"/>
    <w:rsid w:val="005461B4"/>
    <w:rsid w:val="00551DE3"/>
    <w:rsid w:val="00553054"/>
    <w:rsid w:val="005534B5"/>
    <w:rsid w:val="005537AE"/>
    <w:rsid w:val="00553A9E"/>
    <w:rsid w:val="00554E7A"/>
    <w:rsid w:val="005558FC"/>
    <w:rsid w:val="00555DE1"/>
    <w:rsid w:val="00560C49"/>
    <w:rsid w:val="005616F2"/>
    <w:rsid w:val="00562BC1"/>
    <w:rsid w:val="00564851"/>
    <w:rsid w:val="00565772"/>
    <w:rsid w:val="00565FCC"/>
    <w:rsid w:val="00567319"/>
    <w:rsid w:val="00571202"/>
    <w:rsid w:val="00571AF6"/>
    <w:rsid w:val="00572FBD"/>
    <w:rsid w:val="0057327E"/>
    <w:rsid w:val="00573645"/>
    <w:rsid w:val="00573F2E"/>
    <w:rsid w:val="00573F91"/>
    <w:rsid w:val="00575593"/>
    <w:rsid w:val="00575626"/>
    <w:rsid w:val="005762C1"/>
    <w:rsid w:val="00577631"/>
    <w:rsid w:val="00577882"/>
    <w:rsid w:val="00577AEE"/>
    <w:rsid w:val="0058031C"/>
    <w:rsid w:val="00580B70"/>
    <w:rsid w:val="00581852"/>
    <w:rsid w:val="00582972"/>
    <w:rsid w:val="005831B8"/>
    <w:rsid w:val="0058636F"/>
    <w:rsid w:val="005868DD"/>
    <w:rsid w:val="00586CF1"/>
    <w:rsid w:val="00590C3A"/>
    <w:rsid w:val="00592448"/>
    <w:rsid w:val="005925DE"/>
    <w:rsid w:val="005932BA"/>
    <w:rsid w:val="00593B73"/>
    <w:rsid w:val="005940E3"/>
    <w:rsid w:val="00594E9C"/>
    <w:rsid w:val="00597566"/>
    <w:rsid w:val="00597745"/>
    <w:rsid w:val="005A0FF3"/>
    <w:rsid w:val="005A1290"/>
    <w:rsid w:val="005A1B51"/>
    <w:rsid w:val="005A266D"/>
    <w:rsid w:val="005A280A"/>
    <w:rsid w:val="005A3976"/>
    <w:rsid w:val="005A63E7"/>
    <w:rsid w:val="005B06BF"/>
    <w:rsid w:val="005B3710"/>
    <w:rsid w:val="005B3ADA"/>
    <w:rsid w:val="005B3F41"/>
    <w:rsid w:val="005B400F"/>
    <w:rsid w:val="005B4DA9"/>
    <w:rsid w:val="005B562A"/>
    <w:rsid w:val="005B5936"/>
    <w:rsid w:val="005B5E6F"/>
    <w:rsid w:val="005B5FC5"/>
    <w:rsid w:val="005C0516"/>
    <w:rsid w:val="005C08DD"/>
    <w:rsid w:val="005C12BF"/>
    <w:rsid w:val="005C3694"/>
    <w:rsid w:val="005C38DA"/>
    <w:rsid w:val="005C3BF4"/>
    <w:rsid w:val="005C51D7"/>
    <w:rsid w:val="005C51DD"/>
    <w:rsid w:val="005C596F"/>
    <w:rsid w:val="005C607A"/>
    <w:rsid w:val="005C6DF0"/>
    <w:rsid w:val="005D0E4E"/>
    <w:rsid w:val="005D4BF5"/>
    <w:rsid w:val="005D6BCE"/>
    <w:rsid w:val="005E0407"/>
    <w:rsid w:val="005E10CD"/>
    <w:rsid w:val="005E1758"/>
    <w:rsid w:val="005E17E0"/>
    <w:rsid w:val="005E1E02"/>
    <w:rsid w:val="005E229F"/>
    <w:rsid w:val="005E3B97"/>
    <w:rsid w:val="005E489F"/>
    <w:rsid w:val="005E70D8"/>
    <w:rsid w:val="005E713C"/>
    <w:rsid w:val="005E7852"/>
    <w:rsid w:val="005F094D"/>
    <w:rsid w:val="005F0E1A"/>
    <w:rsid w:val="005F3391"/>
    <w:rsid w:val="005F3996"/>
    <w:rsid w:val="005F451F"/>
    <w:rsid w:val="005F4618"/>
    <w:rsid w:val="005F4C44"/>
    <w:rsid w:val="005F6DCD"/>
    <w:rsid w:val="005F748C"/>
    <w:rsid w:val="00600289"/>
    <w:rsid w:val="006033A3"/>
    <w:rsid w:val="006039BA"/>
    <w:rsid w:val="00604969"/>
    <w:rsid w:val="006057B4"/>
    <w:rsid w:val="00606E12"/>
    <w:rsid w:val="00606E34"/>
    <w:rsid w:val="00607104"/>
    <w:rsid w:val="00607165"/>
    <w:rsid w:val="006140F7"/>
    <w:rsid w:val="00614995"/>
    <w:rsid w:val="006162A1"/>
    <w:rsid w:val="00616856"/>
    <w:rsid w:val="00617019"/>
    <w:rsid w:val="0062001D"/>
    <w:rsid w:val="006219AC"/>
    <w:rsid w:val="006220CF"/>
    <w:rsid w:val="006232E8"/>
    <w:rsid w:val="00623432"/>
    <w:rsid w:val="0062353B"/>
    <w:rsid w:val="00623BEC"/>
    <w:rsid w:val="00624906"/>
    <w:rsid w:val="00624AE8"/>
    <w:rsid w:val="0062590F"/>
    <w:rsid w:val="00627355"/>
    <w:rsid w:val="00631A8E"/>
    <w:rsid w:val="006338AA"/>
    <w:rsid w:val="006347F5"/>
    <w:rsid w:val="00635610"/>
    <w:rsid w:val="00635993"/>
    <w:rsid w:val="00635ED4"/>
    <w:rsid w:val="006366EA"/>
    <w:rsid w:val="00636703"/>
    <w:rsid w:val="00637101"/>
    <w:rsid w:val="006405DE"/>
    <w:rsid w:val="00642203"/>
    <w:rsid w:val="006422DB"/>
    <w:rsid w:val="006423CA"/>
    <w:rsid w:val="00642646"/>
    <w:rsid w:val="006427E9"/>
    <w:rsid w:val="006452D3"/>
    <w:rsid w:val="0064582B"/>
    <w:rsid w:val="006511C8"/>
    <w:rsid w:val="00651C54"/>
    <w:rsid w:val="006524D6"/>
    <w:rsid w:val="00652BC4"/>
    <w:rsid w:val="006537B0"/>
    <w:rsid w:val="00654190"/>
    <w:rsid w:val="00654591"/>
    <w:rsid w:val="00654F0B"/>
    <w:rsid w:val="00655560"/>
    <w:rsid w:val="006563ED"/>
    <w:rsid w:val="006573E1"/>
    <w:rsid w:val="0065770E"/>
    <w:rsid w:val="00660EB4"/>
    <w:rsid w:val="00662810"/>
    <w:rsid w:val="00662A53"/>
    <w:rsid w:val="00662E2C"/>
    <w:rsid w:val="0066311A"/>
    <w:rsid w:val="0066344A"/>
    <w:rsid w:val="00664009"/>
    <w:rsid w:val="00665D41"/>
    <w:rsid w:val="00666439"/>
    <w:rsid w:val="0066758E"/>
    <w:rsid w:val="00670B4E"/>
    <w:rsid w:val="00670F68"/>
    <w:rsid w:val="00672C2F"/>
    <w:rsid w:val="00672F58"/>
    <w:rsid w:val="006745B7"/>
    <w:rsid w:val="00675769"/>
    <w:rsid w:val="006761FF"/>
    <w:rsid w:val="006810F1"/>
    <w:rsid w:val="006814D9"/>
    <w:rsid w:val="00681703"/>
    <w:rsid w:val="00681D8B"/>
    <w:rsid w:val="00684FFC"/>
    <w:rsid w:val="006853B0"/>
    <w:rsid w:val="00685B37"/>
    <w:rsid w:val="00686395"/>
    <w:rsid w:val="0069040C"/>
    <w:rsid w:val="00690CD3"/>
    <w:rsid w:val="00695594"/>
    <w:rsid w:val="0069654B"/>
    <w:rsid w:val="00696897"/>
    <w:rsid w:val="00696A6F"/>
    <w:rsid w:val="00696D51"/>
    <w:rsid w:val="006A21BE"/>
    <w:rsid w:val="006A26FD"/>
    <w:rsid w:val="006A46DF"/>
    <w:rsid w:val="006A646E"/>
    <w:rsid w:val="006A7262"/>
    <w:rsid w:val="006A7F2F"/>
    <w:rsid w:val="006A7FA8"/>
    <w:rsid w:val="006B0C7B"/>
    <w:rsid w:val="006B394D"/>
    <w:rsid w:val="006B4724"/>
    <w:rsid w:val="006B5F69"/>
    <w:rsid w:val="006C0D5A"/>
    <w:rsid w:val="006C0EFE"/>
    <w:rsid w:val="006C152F"/>
    <w:rsid w:val="006C18BA"/>
    <w:rsid w:val="006C3750"/>
    <w:rsid w:val="006C4A8D"/>
    <w:rsid w:val="006C4F4C"/>
    <w:rsid w:val="006C52B1"/>
    <w:rsid w:val="006C7D02"/>
    <w:rsid w:val="006D0108"/>
    <w:rsid w:val="006D10C5"/>
    <w:rsid w:val="006D1DF4"/>
    <w:rsid w:val="006D1E2D"/>
    <w:rsid w:val="006D1E88"/>
    <w:rsid w:val="006D386D"/>
    <w:rsid w:val="006D4997"/>
    <w:rsid w:val="006D7FFA"/>
    <w:rsid w:val="006E07F5"/>
    <w:rsid w:val="006E16B5"/>
    <w:rsid w:val="006E3601"/>
    <w:rsid w:val="006E374A"/>
    <w:rsid w:val="006E43D9"/>
    <w:rsid w:val="006E4C78"/>
    <w:rsid w:val="006E5665"/>
    <w:rsid w:val="006E7DCD"/>
    <w:rsid w:val="006F00BB"/>
    <w:rsid w:val="006F0783"/>
    <w:rsid w:val="006F0C6A"/>
    <w:rsid w:val="006F0EDC"/>
    <w:rsid w:val="006F22B5"/>
    <w:rsid w:val="006F2B84"/>
    <w:rsid w:val="006F3884"/>
    <w:rsid w:val="006F466A"/>
    <w:rsid w:val="006F5AE1"/>
    <w:rsid w:val="006F6A00"/>
    <w:rsid w:val="006F78B9"/>
    <w:rsid w:val="006F79D0"/>
    <w:rsid w:val="006F7EED"/>
    <w:rsid w:val="00700CCE"/>
    <w:rsid w:val="00701666"/>
    <w:rsid w:val="007035D8"/>
    <w:rsid w:val="0070377D"/>
    <w:rsid w:val="00703B0D"/>
    <w:rsid w:val="007040B8"/>
    <w:rsid w:val="00704A7F"/>
    <w:rsid w:val="00704D59"/>
    <w:rsid w:val="00705029"/>
    <w:rsid w:val="00710466"/>
    <w:rsid w:val="00710521"/>
    <w:rsid w:val="0071148A"/>
    <w:rsid w:val="00711D80"/>
    <w:rsid w:val="00712415"/>
    <w:rsid w:val="00714DA9"/>
    <w:rsid w:val="007153A9"/>
    <w:rsid w:val="00716030"/>
    <w:rsid w:val="00717E62"/>
    <w:rsid w:val="00722B30"/>
    <w:rsid w:val="0072336E"/>
    <w:rsid w:val="00725D7B"/>
    <w:rsid w:val="00727ADF"/>
    <w:rsid w:val="007305DE"/>
    <w:rsid w:val="00730C98"/>
    <w:rsid w:val="007310C7"/>
    <w:rsid w:val="0073151E"/>
    <w:rsid w:val="0073162E"/>
    <w:rsid w:val="00733A0D"/>
    <w:rsid w:val="00733E54"/>
    <w:rsid w:val="007340BE"/>
    <w:rsid w:val="00734A5F"/>
    <w:rsid w:val="00735940"/>
    <w:rsid w:val="00736936"/>
    <w:rsid w:val="00737F94"/>
    <w:rsid w:val="00740841"/>
    <w:rsid w:val="00740AA7"/>
    <w:rsid w:val="00741276"/>
    <w:rsid w:val="0074219E"/>
    <w:rsid w:val="007423BA"/>
    <w:rsid w:val="00742F88"/>
    <w:rsid w:val="007450C6"/>
    <w:rsid w:val="00745B4F"/>
    <w:rsid w:val="007464DA"/>
    <w:rsid w:val="0075173D"/>
    <w:rsid w:val="00752004"/>
    <w:rsid w:val="00753E0F"/>
    <w:rsid w:val="00753FC5"/>
    <w:rsid w:val="00754618"/>
    <w:rsid w:val="00756A2A"/>
    <w:rsid w:val="007575C9"/>
    <w:rsid w:val="007615D0"/>
    <w:rsid w:val="00762106"/>
    <w:rsid w:val="0076288D"/>
    <w:rsid w:val="00762F35"/>
    <w:rsid w:val="00763266"/>
    <w:rsid w:val="007639D2"/>
    <w:rsid w:val="00763CC8"/>
    <w:rsid w:val="00766380"/>
    <w:rsid w:val="00766D27"/>
    <w:rsid w:val="0076792A"/>
    <w:rsid w:val="007700C9"/>
    <w:rsid w:val="00770703"/>
    <w:rsid w:val="00770B47"/>
    <w:rsid w:val="00770D12"/>
    <w:rsid w:val="007712F6"/>
    <w:rsid w:val="00772D4D"/>
    <w:rsid w:val="0077365D"/>
    <w:rsid w:val="0077427E"/>
    <w:rsid w:val="00774486"/>
    <w:rsid w:val="00776237"/>
    <w:rsid w:val="00777631"/>
    <w:rsid w:val="00781C4F"/>
    <w:rsid w:val="00785593"/>
    <w:rsid w:val="00785B13"/>
    <w:rsid w:val="0078640E"/>
    <w:rsid w:val="00786FC2"/>
    <w:rsid w:val="00787865"/>
    <w:rsid w:val="007879D1"/>
    <w:rsid w:val="007900EC"/>
    <w:rsid w:val="00791286"/>
    <w:rsid w:val="007913C4"/>
    <w:rsid w:val="00791E91"/>
    <w:rsid w:val="00793BD3"/>
    <w:rsid w:val="00794453"/>
    <w:rsid w:val="00794630"/>
    <w:rsid w:val="007949D1"/>
    <w:rsid w:val="00795EF5"/>
    <w:rsid w:val="007974FB"/>
    <w:rsid w:val="0079769D"/>
    <w:rsid w:val="007A1709"/>
    <w:rsid w:val="007A1CA8"/>
    <w:rsid w:val="007A2573"/>
    <w:rsid w:val="007A25DA"/>
    <w:rsid w:val="007A28DC"/>
    <w:rsid w:val="007A2C76"/>
    <w:rsid w:val="007A2E74"/>
    <w:rsid w:val="007A33F7"/>
    <w:rsid w:val="007A4411"/>
    <w:rsid w:val="007A4641"/>
    <w:rsid w:val="007A5264"/>
    <w:rsid w:val="007A5C86"/>
    <w:rsid w:val="007A62C0"/>
    <w:rsid w:val="007A6AE3"/>
    <w:rsid w:val="007A7910"/>
    <w:rsid w:val="007B0BA0"/>
    <w:rsid w:val="007B1688"/>
    <w:rsid w:val="007B1DA6"/>
    <w:rsid w:val="007B22E9"/>
    <w:rsid w:val="007B2430"/>
    <w:rsid w:val="007B2718"/>
    <w:rsid w:val="007B2EBA"/>
    <w:rsid w:val="007B35AB"/>
    <w:rsid w:val="007B52FD"/>
    <w:rsid w:val="007B5B30"/>
    <w:rsid w:val="007B5FEF"/>
    <w:rsid w:val="007B6595"/>
    <w:rsid w:val="007B7432"/>
    <w:rsid w:val="007C0A0B"/>
    <w:rsid w:val="007C3DE8"/>
    <w:rsid w:val="007C42A5"/>
    <w:rsid w:val="007C471F"/>
    <w:rsid w:val="007C56C2"/>
    <w:rsid w:val="007C596E"/>
    <w:rsid w:val="007D0C0F"/>
    <w:rsid w:val="007D207B"/>
    <w:rsid w:val="007D2154"/>
    <w:rsid w:val="007D27F8"/>
    <w:rsid w:val="007D2E97"/>
    <w:rsid w:val="007D3CF3"/>
    <w:rsid w:val="007D4824"/>
    <w:rsid w:val="007D506C"/>
    <w:rsid w:val="007D627C"/>
    <w:rsid w:val="007D6F9E"/>
    <w:rsid w:val="007D7296"/>
    <w:rsid w:val="007D74E4"/>
    <w:rsid w:val="007D7975"/>
    <w:rsid w:val="007D7D5F"/>
    <w:rsid w:val="007E2B91"/>
    <w:rsid w:val="007E37D5"/>
    <w:rsid w:val="007E4D02"/>
    <w:rsid w:val="007E733E"/>
    <w:rsid w:val="007E7F53"/>
    <w:rsid w:val="007F0BE1"/>
    <w:rsid w:val="007F0F27"/>
    <w:rsid w:val="007F2C98"/>
    <w:rsid w:val="007F2DBE"/>
    <w:rsid w:val="007F300D"/>
    <w:rsid w:val="007F31C7"/>
    <w:rsid w:val="007F3BA6"/>
    <w:rsid w:val="007F3BAD"/>
    <w:rsid w:val="007F3E4D"/>
    <w:rsid w:val="007F48F1"/>
    <w:rsid w:val="007F4AAD"/>
    <w:rsid w:val="007F5492"/>
    <w:rsid w:val="007F5782"/>
    <w:rsid w:val="007F5F93"/>
    <w:rsid w:val="007F671E"/>
    <w:rsid w:val="007F6FAD"/>
    <w:rsid w:val="007F7211"/>
    <w:rsid w:val="007F7ACB"/>
    <w:rsid w:val="007F7F8D"/>
    <w:rsid w:val="008003C6"/>
    <w:rsid w:val="00801F8B"/>
    <w:rsid w:val="008021F0"/>
    <w:rsid w:val="0080296C"/>
    <w:rsid w:val="00803518"/>
    <w:rsid w:val="00804411"/>
    <w:rsid w:val="00806D8A"/>
    <w:rsid w:val="008079F5"/>
    <w:rsid w:val="008105EC"/>
    <w:rsid w:val="008117D1"/>
    <w:rsid w:val="00811FEE"/>
    <w:rsid w:val="00812910"/>
    <w:rsid w:val="00812AC2"/>
    <w:rsid w:val="00814222"/>
    <w:rsid w:val="008155BC"/>
    <w:rsid w:val="00816E3C"/>
    <w:rsid w:val="008177E3"/>
    <w:rsid w:val="00817E5F"/>
    <w:rsid w:val="00820968"/>
    <w:rsid w:val="00822FCF"/>
    <w:rsid w:val="008235EC"/>
    <w:rsid w:val="00824C87"/>
    <w:rsid w:val="00826CD7"/>
    <w:rsid w:val="00826D7A"/>
    <w:rsid w:val="0082768E"/>
    <w:rsid w:val="0082770C"/>
    <w:rsid w:val="00827831"/>
    <w:rsid w:val="008321D1"/>
    <w:rsid w:val="00832461"/>
    <w:rsid w:val="008326FE"/>
    <w:rsid w:val="00834527"/>
    <w:rsid w:val="00835BCD"/>
    <w:rsid w:val="00840DA2"/>
    <w:rsid w:val="0084107D"/>
    <w:rsid w:val="00842173"/>
    <w:rsid w:val="00842344"/>
    <w:rsid w:val="0084349D"/>
    <w:rsid w:val="00843918"/>
    <w:rsid w:val="0084586B"/>
    <w:rsid w:val="00845A96"/>
    <w:rsid w:val="00846204"/>
    <w:rsid w:val="00850ABF"/>
    <w:rsid w:val="008513F4"/>
    <w:rsid w:val="00851837"/>
    <w:rsid w:val="008519D4"/>
    <w:rsid w:val="008521BB"/>
    <w:rsid w:val="008543AA"/>
    <w:rsid w:val="00854430"/>
    <w:rsid w:val="008548E9"/>
    <w:rsid w:val="00855837"/>
    <w:rsid w:val="0085715B"/>
    <w:rsid w:val="00861683"/>
    <w:rsid w:val="00861980"/>
    <w:rsid w:val="008619C9"/>
    <w:rsid w:val="00861B66"/>
    <w:rsid w:val="0086279E"/>
    <w:rsid w:val="00862FD3"/>
    <w:rsid w:val="008646CC"/>
    <w:rsid w:val="00866901"/>
    <w:rsid w:val="00867AFC"/>
    <w:rsid w:val="0087082A"/>
    <w:rsid w:val="00871309"/>
    <w:rsid w:val="00871677"/>
    <w:rsid w:val="0087356C"/>
    <w:rsid w:val="00873CCF"/>
    <w:rsid w:val="008773FB"/>
    <w:rsid w:val="00877E53"/>
    <w:rsid w:val="00881537"/>
    <w:rsid w:val="0088197A"/>
    <w:rsid w:val="00881B07"/>
    <w:rsid w:val="008825C9"/>
    <w:rsid w:val="008826D6"/>
    <w:rsid w:val="00884A3C"/>
    <w:rsid w:val="00885435"/>
    <w:rsid w:val="0088554C"/>
    <w:rsid w:val="008862EA"/>
    <w:rsid w:val="0088687A"/>
    <w:rsid w:val="00886CDB"/>
    <w:rsid w:val="008876EB"/>
    <w:rsid w:val="00887FB1"/>
    <w:rsid w:val="008907CD"/>
    <w:rsid w:val="00894A66"/>
    <w:rsid w:val="00895A5F"/>
    <w:rsid w:val="00896D1F"/>
    <w:rsid w:val="008977CA"/>
    <w:rsid w:val="008A1A4E"/>
    <w:rsid w:val="008A1D2F"/>
    <w:rsid w:val="008A27B1"/>
    <w:rsid w:val="008A4B34"/>
    <w:rsid w:val="008A4E94"/>
    <w:rsid w:val="008A6FA3"/>
    <w:rsid w:val="008A7BE1"/>
    <w:rsid w:val="008B016A"/>
    <w:rsid w:val="008B0888"/>
    <w:rsid w:val="008B0A1D"/>
    <w:rsid w:val="008B3ADF"/>
    <w:rsid w:val="008B49EC"/>
    <w:rsid w:val="008B5B08"/>
    <w:rsid w:val="008B6048"/>
    <w:rsid w:val="008B63D4"/>
    <w:rsid w:val="008B6CB4"/>
    <w:rsid w:val="008B71A2"/>
    <w:rsid w:val="008C0C48"/>
    <w:rsid w:val="008C167C"/>
    <w:rsid w:val="008C1890"/>
    <w:rsid w:val="008C1F5F"/>
    <w:rsid w:val="008C2D18"/>
    <w:rsid w:val="008C33CE"/>
    <w:rsid w:val="008C4311"/>
    <w:rsid w:val="008C614F"/>
    <w:rsid w:val="008C63CD"/>
    <w:rsid w:val="008C654B"/>
    <w:rsid w:val="008C6620"/>
    <w:rsid w:val="008C6E20"/>
    <w:rsid w:val="008C7F1C"/>
    <w:rsid w:val="008D0409"/>
    <w:rsid w:val="008D1DAB"/>
    <w:rsid w:val="008D2325"/>
    <w:rsid w:val="008D7E04"/>
    <w:rsid w:val="008E00A7"/>
    <w:rsid w:val="008E100E"/>
    <w:rsid w:val="008E1034"/>
    <w:rsid w:val="008E17A8"/>
    <w:rsid w:val="008E1D70"/>
    <w:rsid w:val="008E2567"/>
    <w:rsid w:val="008E2DD3"/>
    <w:rsid w:val="008E3B67"/>
    <w:rsid w:val="008E762F"/>
    <w:rsid w:val="008F1015"/>
    <w:rsid w:val="008F1285"/>
    <w:rsid w:val="008F16C0"/>
    <w:rsid w:val="008F1CD7"/>
    <w:rsid w:val="008F3337"/>
    <w:rsid w:val="008F4418"/>
    <w:rsid w:val="008F4436"/>
    <w:rsid w:val="008F45FD"/>
    <w:rsid w:val="008F67A1"/>
    <w:rsid w:val="008F6AC8"/>
    <w:rsid w:val="00900A31"/>
    <w:rsid w:val="0090135F"/>
    <w:rsid w:val="009034D6"/>
    <w:rsid w:val="00906D58"/>
    <w:rsid w:val="00906F9A"/>
    <w:rsid w:val="00907F04"/>
    <w:rsid w:val="00911C52"/>
    <w:rsid w:val="009145AD"/>
    <w:rsid w:val="00914AA5"/>
    <w:rsid w:val="00914C18"/>
    <w:rsid w:val="00915A26"/>
    <w:rsid w:val="009178DB"/>
    <w:rsid w:val="00920572"/>
    <w:rsid w:val="009218A5"/>
    <w:rsid w:val="00921D9A"/>
    <w:rsid w:val="0092209D"/>
    <w:rsid w:val="009224CF"/>
    <w:rsid w:val="00923295"/>
    <w:rsid w:val="00924168"/>
    <w:rsid w:val="0092468D"/>
    <w:rsid w:val="0092528B"/>
    <w:rsid w:val="00925353"/>
    <w:rsid w:val="0092546E"/>
    <w:rsid w:val="00925E28"/>
    <w:rsid w:val="00927042"/>
    <w:rsid w:val="009275A6"/>
    <w:rsid w:val="00933FC2"/>
    <w:rsid w:val="0093464A"/>
    <w:rsid w:val="00934757"/>
    <w:rsid w:val="009372A0"/>
    <w:rsid w:val="00937331"/>
    <w:rsid w:val="009373AE"/>
    <w:rsid w:val="009378C4"/>
    <w:rsid w:val="00940151"/>
    <w:rsid w:val="009409FB"/>
    <w:rsid w:val="00940A51"/>
    <w:rsid w:val="00940BBA"/>
    <w:rsid w:val="00940F87"/>
    <w:rsid w:val="00941BC0"/>
    <w:rsid w:val="009425E5"/>
    <w:rsid w:val="00942B28"/>
    <w:rsid w:val="00944ED6"/>
    <w:rsid w:val="009455AF"/>
    <w:rsid w:val="00945652"/>
    <w:rsid w:val="009467FA"/>
    <w:rsid w:val="00946E6D"/>
    <w:rsid w:val="00947BA4"/>
    <w:rsid w:val="00947EBC"/>
    <w:rsid w:val="009503E7"/>
    <w:rsid w:val="00950BCA"/>
    <w:rsid w:val="00951786"/>
    <w:rsid w:val="009535A8"/>
    <w:rsid w:val="00953ABA"/>
    <w:rsid w:val="00954CEF"/>
    <w:rsid w:val="0095549B"/>
    <w:rsid w:val="009570AA"/>
    <w:rsid w:val="009602F3"/>
    <w:rsid w:val="00962E1C"/>
    <w:rsid w:val="00963414"/>
    <w:rsid w:val="00964E57"/>
    <w:rsid w:val="00965537"/>
    <w:rsid w:val="00965DF3"/>
    <w:rsid w:val="00967E4C"/>
    <w:rsid w:val="00970C50"/>
    <w:rsid w:val="009713C4"/>
    <w:rsid w:val="00972269"/>
    <w:rsid w:val="009729CA"/>
    <w:rsid w:val="00973001"/>
    <w:rsid w:val="00974686"/>
    <w:rsid w:val="009751C7"/>
    <w:rsid w:val="009756B7"/>
    <w:rsid w:val="00975B32"/>
    <w:rsid w:val="009760CC"/>
    <w:rsid w:val="0097615B"/>
    <w:rsid w:val="0097708D"/>
    <w:rsid w:val="00977DE5"/>
    <w:rsid w:val="00983D92"/>
    <w:rsid w:val="00983F82"/>
    <w:rsid w:val="00985900"/>
    <w:rsid w:val="0098690B"/>
    <w:rsid w:val="009876F3"/>
    <w:rsid w:val="00991336"/>
    <w:rsid w:val="00992B3D"/>
    <w:rsid w:val="009953D3"/>
    <w:rsid w:val="009954A1"/>
    <w:rsid w:val="00995AB7"/>
    <w:rsid w:val="00995C8F"/>
    <w:rsid w:val="00996C20"/>
    <w:rsid w:val="009977DB"/>
    <w:rsid w:val="009A0085"/>
    <w:rsid w:val="009A04F5"/>
    <w:rsid w:val="009A1395"/>
    <w:rsid w:val="009A31DB"/>
    <w:rsid w:val="009A561A"/>
    <w:rsid w:val="009A5C16"/>
    <w:rsid w:val="009A5F0B"/>
    <w:rsid w:val="009A64BD"/>
    <w:rsid w:val="009A67C8"/>
    <w:rsid w:val="009A699E"/>
    <w:rsid w:val="009A6BBE"/>
    <w:rsid w:val="009A7E3F"/>
    <w:rsid w:val="009B2243"/>
    <w:rsid w:val="009B235F"/>
    <w:rsid w:val="009B2862"/>
    <w:rsid w:val="009B2F62"/>
    <w:rsid w:val="009B3F78"/>
    <w:rsid w:val="009B4CDB"/>
    <w:rsid w:val="009B56E7"/>
    <w:rsid w:val="009B58B2"/>
    <w:rsid w:val="009B6ADE"/>
    <w:rsid w:val="009B7C6E"/>
    <w:rsid w:val="009C017C"/>
    <w:rsid w:val="009C139D"/>
    <w:rsid w:val="009C2E25"/>
    <w:rsid w:val="009C4019"/>
    <w:rsid w:val="009C4FC9"/>
    <w:rsid w:val="009C6260"/>
    <w:rsid w:val="009C71D4"/>
    <w:rsid w:val="009D17C7"/>
    <w:rsid w:val="009D1E3E"/>
    <w:rsid w:val="009D21AC"/>
    <w:rsid w:val="009D24E7"/>
    <w:rsid w:val="009D271D"/>
    <w:rsid w:val="009D2B48"/>
    <w:rsid w:val="009D2FCC"/>
    <w:rsid w:val="009D4E72"/>
    <w:rsid w:val="009D5348"/>
    <w:rsid w:val="009D6492"/>
    <w:rsid w:val="009D6B7B"/>
    <w:rsid w:val="009D77B8"/>
    <w:rsid w:val="009E1654"/>
    <w:rsid w:val="009E1A54"/>
    <w:rsid w:val="009E4401"/>
    <w:rsid w:val="009E5C86"/>
    <w:rsid w:val="009F2F43"/>
    <w:rsid w:val="009F7162"/>
    <w:rsid w:val="009F7389"/>
    <w:rsid w:val="009F7F67"/>
    <w:rsid w:val="00A01248"/>
    <w:rsid w:val="00A01D37"/>
    <w:rsid w:val="00A0204F"/>
    <w:rsid w:val="00A0224F"/>
    <w:rsid w:val="00A02D11"/>
    <w:rsid w:val="00A02E06"/>
    <w:rsid w:val="00A04492"/>
    <w:rsid w:val="00A04B15"/>
    <w:rsid w:val="00A05C21"/>
    <w:rsid w:val="00A06F34"/>
    <w:rsid w:val="00A10059"/>
    <w:rsid w:val="00A10BD6"/>
    <w:rsid w:val="00A11011"/>
    <w:rsid w:val="00A1109F"/>
    <w:rsid w:val="00A12257"/>
    <w:rsid w:val="00A1391F"/>
    <w:rsid w:val="00A13F62"/>
    <w:rsid w:val="00A1443F"/>
    <w:rsid w:val="00A14A4B"/>
    <w:rsid w:val="00A1672F"/>
    <w:rsid w:val="00A1730B"/>
    <w:rsid w:val="00A17899"/>
    <w:rsid w:val="00A21030"/>
    <w:rsid w:val="00A229EF"/>
    <w:rsid w:val="00A22D88"/>
    <w:rsid w:val="00A2344A"/>
    <w:rsid w:val="00A23452"/>
    <w:rsid w:val="00A2490B"/>
    <w:rsid w:val="00A25701"/>
    <w:rsid w:val="00A2584C"/>
    <w:rsid w:val="00A25AFE"/>
    <w:rsid w:val="00A313F0"/>
    <w:rsid w:val="00A31C10"/>
    <w:rsid w:val="00A32FBA"/>
    <w:rsid w:val="00A337E0"/>
    <w:rsid w:val="00A33DFE"/>
    <w:rsid w:val="00A35264"/>
    <w:rsid w:val="00A35730"/>
    <w:rsid w:val="00A35752"/>
    <w:rsid w:val="00A374F9"/>
    <w:rsid w:val="00A42027"/>
    <w:rsid w:val="00A42406"/>
    <w:rsid w:val="00A42938"/>
    <w:rsid w:val="00A42AA1"/>
    <w:rsid w:val="00A42E96"/>
    <w:rsid w:val="00A43D9B"/>
    <w:rsid w:val="00A4451A"/>
    <w:rsid w:val="00A44B66"/>
    <w:rsid w:val="00A4519E"/>
    <w:rsid w:val="00A45231"/>
    <w:rsid w:val="00A452BC"/>
    <w:rsid w:val="00A4562A"/>
    <w:rsid w:val="00A465B2"/>
    <w:rsid w:val="00A47234"/>
    <w:rsid w:val="00A47259"/>
    <w:rsid w:val="00A47309"/>
    <w:rsid w:val="00A50399"/>
    <w:rsid w:val="00A50584"/>
    <w:rsid w:val="00A54260"/>
    <w:rsid w:val="00A542BC"/>
    <w:rsid w:val="00A54CAF"/>
    <w:rsid w:val="00A56328"/>
    <w:rsid w:val="00A56A7A"/>
    <w:rsid w:val="00A57A9E"/>
    <w:rsid w:val="00A60B3E"/>
    <w:rsid w:val="00A6176D"/>
    <w:rsid w:val="00A6450E"/>
    <w:rsid w:val="00A64EF4"/>
    <w:rsid w:val="00A659BC"/>
    <w:rsid w:val="00A715A2"/>
    <w:rsid w:val="00A71B43"/>
    <w:rsid w:val="00A72659"/>
    <w:rsid w:val="00A733DB"/>
    <w:rsid w:val="00A740C5"/>
    <w:rsid w:val="00A74C18"/>
    <w:rsid w:val="00A75561"/>
    <w:rsid w:val="00A76D88"/>
    <w:rsid w:val="00A775C0"/>
    <w:rsid w:val="00A8030D"/>
    <w:rsid w:val="00A80A12"/>
    <w:rsid w:val="00A80CC1"/>
    <w:rsid w:val="00A81DC4"/>
    <w:rsid w:val="00A81DC5"/>
    <w:rsid w:val="00A83012"/>
    <w:rsid w:val="00A834A7"/>
    <w:rsid w:val="00A83CE5"/>
    <w:rsid w:val="00A840BE"/>
    <w:rsid w:val="00A854E2"/>
    <w:rsid w:val="00A85AE2"/>
    <w:rsid w:val="00A85D43"/>
    <w:rsid w:val="00A86B2A"/>
    <w:rsid w:val="00A90802"/>
    <w:rsid w:val="00A923EB"/>
    <w:rsid w:val="00A935D6"/>
    <w:rsid w:val="00A9398F"/>
    <w:rsid w:val="00A9517D"/>
    <w:rsid w:val="00A95777"/>
    <w:rsid w:val="00A96468"/>
    <w:rsid w:val="00A96664"/>
    <w:rsid w:val="00A966AF"/>
    <w:rsid w:val="00A97C82"/>
    <w:rsid w:val="00AA2062"/>
    <w:rsid w:val="00AA224D"/>
    <w:rsid w:val="00AA2546"/>
    <w:rsid w:val="00AA3628"/>
    <w:rsid w:val="00AA3FC7"/>
    <w:rsid w:val="00AA67F5"/>
    <w:rsid w:val="00AB14EA"/>
    <w:rsid w:val="00AB363D"/>
    <w:rsid w:val="00AB38FB"/>
    <w:rsid w:val="00AB4640"/>
    <w:rsid w:val="00AB577E"/>
    <w:rsid w:val="00AB5CAC"/>
    <w:rsid w:val="00AB6572"/>
    <w:rsid w:val="00AB7208"/>
    <w:rsid w:val="00AB7DAD"/>
    <w:rsid w:val="00AC0AE8"/>
    <w:rsid w:val="00AC27DE"/>
    <w:rsid w:val="00AC385D"/>
    <w:rsid w:val="00AC4F0E"/>
    <w:rsid w:val="00AC5203"/>
    <w:rsid w:val="00AC79BB"/>
    <w:rsid w:val="00AC7E1D"/>
    <w:rsid w:val="00AD0431"/>
    <w:rsid w:val="00AD0C23"/>
    <w:rsid w:val="00AD108F"/>
    <w:rsid w:val="00AD7808"/>
    <w:rsid w:val="00AD7D88"/>
    <w:rsid w:val="00AE052A"/>
    <w:rsid w:val="00AE0825"/>
    <w:rsid w:val="00AE169C"/>
    <w:rsid w:val="00AE1C1F"/>
    <w:rsid w:val="00AE228A"/>
    <w:rsid w:val="00AE2603"/>
    <w:rsid w:val="00AF2D4B"/>
    <w:rsid w:val="00AF3903"/>
    <w:rsid w:val="00AF46E5"/>
    <w:rsid w:val="00AF58CB"/>
    <w:rsid w:val="00AF7028"/>
    <w:rsid w:val="00AF78B9"/>
    <w:rsid w:val="00B00B93"/>
    <w:rsid w:val="00B02DFB"/>
    <w:rsid w:val="00B032FC"/>
    <w:rsid w:val="00B03CB6"/>
    <w:rsid w:val="00B03D9B"/>
    <w:rsid w:val="00B03F4A"/>
    <w:rsid w:val="00B04B20"/>
    <w:rsid w:val="00B05004"/>
    <w:rsid w:val="00B05028"/>
    <w:rsid w:val="00B051C7"/>
    <w:rsid w:val="00B0588C"/>
    <w:rsid w:val="00B0722E"/>
    <w:rsid w:val="00B072C2"/>
    <w:rsid w:val="00B10C78"/>
    <w:rsid w:val="00B147F8"/>
    <w:rsid w:val="00B16414"/>
    <w:rsid w:val="00B16698"/>
    <w:rsid w:val="00B20966"/>
    <w:rsid w:val="00B20AD2"/>
    <w:rsid w:val="00B21B93"/>
    <w:rsid w:val="00B2202D"/>
    <w:rsid w:val="00B22AFF"/>
    <w:rsid w:val="00B23C55"/>
    <w:rsid w:val="00B243F0"/>
    <w:rsid w:val="00B2467D"/>
    <w:rsid w:val="00B25F4B"/>
    <w:rsid w:val="00B2647A"/>
    <w:rsid w:val="00B2670F"/>
    <w:rsid w:val="00B26F20"/>
    <w:rsid w:val="00B2730A"/>
    <w:rsid w:val="00B3019D"/>
    <w:rsid w:val="00B30A20"/>
    <w:rsid w:val="00B313F8"/>
    <w:rsid w:val="00B314CE"/>
    <w:rsid w:val="00B317C6"/>
    <w:rsid w:val="00B31C5F"/>
    <w:rsid w:val="00B32AB0"/>
    <w:rsid w:val="00B34886"/>
    <w:rsid w:val="00B36143"/>
    <w:rsid w:val="00B36AB4"/>
    <w:rsid w:val="00B405B9"/>
    <w:rsid w:val="00B40D15"/>
    <w:rsid w:val="00B40F09"/>
    <w:rsid w:val="00B4101D"/>
    <w:rsid w:val="00B42737"/>
    <w:rsid w:val="00B43427"/>
    <w:rsid w:val="00B43953"/>
    <w:rsid w:val="00B43CD8"/>
    <w:rsid w:val="00B4505A"/>
    <w:rsid w:val="00B46437"/>
    <w:rsid w:val="00B47A74"/>
    <w:rsid w:val="00B47AB9"/>
    <w:rsid w:val="00B47E6A"/>
    <w:rsid w:val="00B50238"/>
    <w:rsid w:val="00B5042E"/>
    <w:rsid w:val="00B50565"/>
    <w:rsid w:val="00B50C5B"/>
    <w:rsid w:val="00B51083"/>
    <w:rsid w:val="00B51790"/>
    <w:rsid w:val="00B53328"/>
    <w:rsid w:val="00B544B3"/>
    <w:rsid w:val="00B54D63"/>
    <w:rsid w:val="00B55F1A"/>
    <w:rsid w:val="00B56F87"/>
    <w:rsid w:val="00B57FA2"/>
    <w:rsid w:val="00B62D7E"/>
    <w:rsid w:val="00B63563"/>
    <w:rsid w:val="00B63EF4"/>
    <w:rsid w:val="00B647D2"/>
    <w:rsid w:val="00B64824"/>
    <w:rsid w:val="00B6799C"/>
    <w:rsid w:val="00B702BA"/>
    <w:rsid w:val="00B706D3"/>
    <w:rsid w:val="00B70FEA"/>
    <w:rsid w:val="00B71017"/>
    <w:rsid w:val="00B71390"/>
    <w:rsid w:val="00B71799"/>
    <w:rsid w:val="00B7282F"/>
    <w:rsid w:val="00B73C91"/>
    <w:rsid w:val="00B73E33"/>
    <w:rsid w:val="00B741E8"/>
    <w:rsid w:val="00B748BF"/>
    <w:rsid w:val="00B7694B"/>
    <w:rsid w:val="00B80D66"/>
    <w:rsid w:val="00B81C1B"/>
    <w:rsid w:val="00B82066"/>
    <w:rsid w:val="00B82A49"/>
    <w:rsid w:val="00B8328A"/>
    <w:rsid w:val="00B848AA"/>
    <w:rsid w:val="00B8554E"/>
    <w:rsid w:val="00B85FB6"/>
    <w:rsid w:val="00B909B6"/>
    <w:rsid w:val="00B9148D"/>
    <w:rsid w:val="00B9156A"/>
    <w:rsid w:val="00B91EFB"/>
    <w:rsid w:val="00B92257"/>
    <w:rsid w:val="00B9303C"/>
    <w:rsid w:val="00B93107"/>
    <w:rsid w:val="00B93AAB"/>
    <w:rsid w:val="00B950DE"/>
    <w:rsid w:val="00B96953"/>
    <w:rsid w:val="00B96C42"/>
    <w:rsid w:val="00B96E4A"/>
    <w:rsid w:val="00B977DD"/>
    <w:rsid w:val="00BA11E3"/>
    <w:rsid w:val="00BA20F3"/>
    <w:rsid w:val="00BA255E"/>
    <w:rsid w:val="00BA2B6F"/>
    <w:rsid w:val="00BA4459"/>
    <w:rsid w:val="00BA55DB"/>
    <w:rsid w:val="00BA599A"/>
    <w:rsid w:val="00BA618C"/>
    <w:rsid w:val="00BA6A92"/>
    <w:rsid w:val="00BA6F35"/>
    <w:rsid w:val="00BA7EB9"/>
    <w:rsid w:val="00BB05F6"/>
    <w:rsid w:val="00BB0A6E"/>
    <w:rsid w:val="00BB133C"/>
    <w:rsid w:val="00BB19A9"/>
    <w:rsid w:val="00BB235B"/>
    <w:rsid w:val="00BB36D8"/>
    <w:rsid w:val="00BB3EB5"/>
    <w:rsid w:val="00BB4667"/>
    <w:rsid w:val="00BB4C52"/>
    <w:rsid w:val="00BB6D20"/>
    <w:rsid w:val="00BB7B29"/>
    <w:rsid w:val="00BC1447"/>
    <w:rsid w:val="00BC1D16"/>
    <w:rsid w:val="00BC2394"/>
    <w:rsid w:val="00BC24C7"/>
    <w:rsid w:val="00BC4ED6"/>
    <w:rsid w:val="00BC5166"/>
    <w:rsid w:val="00BC532A"/>
    <w:rsid w:val="00BC5E49"/>
    <w:rsid w:val="00BC7D76"/>
    <w:rsid w:val="00BD1198"/>
    <w:rsid w:val="00BD156E"/>
    <w:rsid w:val="00BD7C41"/>
    <w:rsid w:val="00BE0B4A"/>
    <w:rsid w:val="00BE0C72"/>
    <w:rsid w:val="00BE0DE8"/>
    <w:rsid w:val="00BE13EA"/>
    <w:rsid w:val="00BE1D74"/>
    <w:rsid w:val="00BE2764"/>
    <w:rsid w:val="00BE29C9"/>
    <w:rsid w:val="00BE2B55"/>
    <w:rsid w:val="00BE2C44"/>
    <w:rsid w:val="00BE4D1E"/>
    <w:rsid w:val="00BE5026"/>
    <w:rsid w:val="00BE63A1"/>
    <w:rsid w:val="00BE7B9B"/>
    <w:rsid w:val="00BF050A"/>
    <w:rsid w:val="00BF195B"/>
    <w:rsid w:val="00BF20EC"/>
    <w:rsid w:val="00BF3E20"/>
    <w:rsid w:val="00BF3E46"/>
    <w:rsid w:val="00BF431F"/>
    <w:rsid w:val="00BF5909"/>
    <w:rsid w:val="00BF59E8"/>
    <w:rsid w:val="00BF7024"/>
    <w:rsid w:val="00BF7292"/>
    <w:rsid w:val="00BF7AF6"/>
    <w:rsid w:val="00C01A0A"/>
    <w:rsid w:val="00C0223C"/>
    <w:rsid w:val="00C025E1"/>
    <w:rsid w:val="00C03E5C"/>
    <w:rsid w:val="00C03F22"/>
    <w:rsid w:val="00C04979"/>
    <w:rsid w:val="00C04B28"/>
    <w:rsid w:val="00C05884"/>
    <w:rsid w:val="00C060D3"/>
    <w:rsid w:val="00C06F9E"/>
    <w:rsid w:val="00C07E76"/>
    <w:rsid w:val="00C11D4B"/>
    <w:rsid w:val="00C12189"/>
    <w:rsid w:val="00C12750"/>
    <w:rsid w:val="00C14082"/>
    <w:rsid w:val="00C147ED"/>
    <w:rsid w:val="00C14E57"/>
    <w:rsid w:val="00C14E96"/>
    <w:rsid w:val="00C14ED5"/>
    <w:rsid w:val="00C14FCA"/>
    <w:rsid w:val="00C15263"/>
    <w:rsid w:val="00C16119"/>
    <w:rsid w:val="00C166BE"/>
    <w:rsid w:val="00C17E42"/>
    <w:rsid w:val="00C21DDF"/>
    <w:rsid w:val="00C21F4A"/>
    <w:rsid w:val="00C2244F"/>
    <w:rsid w:val="00C23822"/>
    <w:rsid w:val="00C257C9"/>
    <w:rsid w:val="00C27F7E"/>
    <w:rsid w:val="00C305BC"/>
    <w:rsid w:val="00C33A44"/>
    <w:rsid w:val="00C33BA2"/>
    <w:rsid w:val="00C34CD1"/>
    <w:rsid w:val="00C35083"/>
    <w:rsid w:val="00C35613"/>
    <w:rsid w:val="00C35DDE"/>
    <w:rsid w:val="00C374D2"/>
    <w:rsid w:val="00C37940"/>
    <w:rsid w:val="00C4177D"/>
    <w:rsid w:val="00C41E86"/>
    <w:rsid w:val="00C43B64"/>
    <w:rsid w:val="00C43EB4"/>
    <w:rsid w:val="00C43F39"/>
    <w:rsid w:val="00C445B9"/>
    <w:rsid w:val="00C449B0"/>
    <w:rsid w:val="00C466F9"/>
    <w:rsid w:val="00C472D6"/>
    <w:rsid w:val="00C479FA"/>
    <w:rsid w:val="00C47DCE"/>
    <w:rsid w:val="00C50C06"/>
    <w:rsid w:val="00C50DD2"/>
    <w:rsid w:val="00C50EB9"/>
    <w:rsid w:val="00C52E42"/>
    <w:rsid w:val="00C54B86"/>
    <w:rsid w:val="00C55F64"/>
    <w:rsid w:val="00C562A2"/>
    <w:rsid w:val="00C57255"/>
    <w:rsid w:val="00C57CCE"/>
    <w:rsid w:val="00C57E68"/>
    <w:rsid w:val="00C605FB"/>
    <w:rsid w:val="00C60E35"/>
    <w:rsid w:val="00C617BD"/>
    <w:rsid w:val="00C63761"/>
    <w:rsid w:val="00C64173"/>
    <w:rsid w:val="00C64544"/>
    <w:rsid w:val="00C648B7"/>
    <w:rsid w:val="00C653BE"/>
    <w:rsid w:val="00C65E88"/>
    <w:rsid w:val="00C66CA7"/>
    <w:rsid w:val="00C7104A"/>
    <w:rsid w:val="00C719F3"/>
    <w:rsid w:val="00C72AC7"/>
    <w:rsid w:val="00C738A3"/>
    <w:rsid w:val="00C7396A"/>
    <w:rsid w:val="00C74334"/>
    <w:rsid w:val="00C77099"/>
    <w:rsid w:val="00C8115F"/>
    <w:rsid w:val="00C81D93"/>
    <w:rsid w:val="00C840A2"/>
    <w:rsid w:val="00C865AE"/>
    <w:rsid w:val="00C86B2C"/>
    <w:rsid w:val="00C86EC1"/>
    <w:rsid w:val="00C87F14"/>
    <w:rsid w:val="00C906B8"/>
    <w:rsid w:val="00C90C12"/>
    <w:rsid w:val="00C91183"/>
    <w:rsid w:val="00C91423"/>
    <w:rsid w:val="00C91817"/>
    <w:rsid w:val="00C92885"/>
    <w:rsid w:val="00C931E7"/>
    <w:rsid w:val="00C94F9E"/>
    <w:rsid w:val="00C952C2"/>
    <w:rsid w:val="00C95437"/>
    <w:rsid w:val="00C95F18"/>
    <w:rsid w:val="00C9709E"/>
    <w:rsid w:val="00C97340"/>
    <w:rsid w:val="00C97F4E"/>
    <w:rsid w:val="00CA0A0D"/>
    <w:rsid w:val="00CA1994"/>
    <w:rsid w:val="00CA2D2D"/>
    <w:rsid w:val="00CA2FA9"/>
    <w:rsid w:val="00CA405B"/>
    <w:rsid w:val="00CA4E03"/>
    <w:rsid w:val="00CA701E"/>
    <w:rsid w:val="00CA7570"/>
    <w:rsid w:val="00CB0D4D"/>
    <w:rsid w:val="00CB207D"/>
    <w:rsid w:val="00CB245B"/>
    <w:rsid w:val="00CB2CAB"/>
    <w:rsid w:val="00CB3D13"/>
    <w:rsid w:val="00CB3E18"/>
    <w:rsid w:val="00CB41B9"/>
    <w:rsid w:val="00CB48F2"/>
    <w:rsid w:val="00CB7BF0"/>
    <w:rsid w:val="00CC0975"/>
    <w:rsid w:val="00CC3D33"/>
    <w:rsid w:val="00CC4DB1"/>
    <w:rsid w:val="00CC4EA4"/>
    <w:rsid w:val="00CC5948"/>
    <w:rsid w:val="00CD0857"/>
    <w:rsid w:val="00CD12C4"/>
    <w:rsid w:val="00CD373C"/>
    <w:rsid w:val="00CD458E"/>
    <w:rsid w:val="00CE0DBD"/>
    <w:rsid w:val="00CE3214"/>
    <w:rsid w:val="00CE3F3B"/>
    <w:rsid w:val="00CE67C0"/>
    <w:rsid w:val="00CE6B04"/>
    <w:rsid w:val="00CE6E2E"/>
    <w:rsid w:val="00CE7956"/>
    <w:rsid w:val="00CF0C4F"/>
    <w:rsid w:val="00CF1571"/>
    <w:rsid w:val="00CF2C09"/>
    <w:rsid w:val="00CF2E69"/>
    <w:rsid w:val="00CF322F"/>
    <w:rsid w:val="00CF54EF"/>
    <w:rsid w:val="00CF629D"/>
    <w:rsid w:val="00CF65B1"/>
    <w:rsid w:val="00CF744D"/>
    <w:rsid w:val="00CF792B"/>
    <w:rsid w:val="00D0024B"/>
    <w:rsid w:val="00D007B1"/>
    <w:rsid w:val="00D009B3"/>
    <w:rsid w:val="00D00E4C"/>
    <w:rsid w:val="00D00FDD"/>
    <w:rsid w:val="00D01447"/>
    <w:rsid w:val="00D02DA7"/>
    <w:rsid w:val="00D10464"/>
    <w:rsid w:val="00D11414"/>
    <w:rsid w:val="00D118A7"/>
    <w:rsid w:val="00D124E7"/>
    <w:rsid w:val="00D125B7"/>
    <w:rsid w:val="00D153DC"/>
    <w:rsid w:val="00D15F23"/>
    <w:rsid w:val="00D166A7"/>
    <w:rsid w:val="00D22285"/>
    <w:rsid w:val="00D227DA"/>
    <w:rsid w:val="00D24975"/>
    <w:rsid w:val="00D24C14"/>
    <w:rsid w:val="00D26817"/>
    <w:rsid w:val="00D26F82"/>
    <w:rsid w:val="00D273AC"/>
    <w:rsid w:val="00D27999"/>
    <w:rsid w:val="00D30602"/>
    <w:rsid w:val="00D312FE"/>
    <w:rsid w:val="00D31584"/>
    <w:rsid w:val="00D31CBD"/>
    <w:rsid w:val="00D320F4"/>
    <w:rsid w:val="00D327A9"/>
    <w:rsid w:val="00D346F5"/>
    <w:rsid w:val="00D3507D"/>
    <w:rsid w:val="00D35A4B"/>
    <w:rsid w:val="00D36569"/>
    <w:rsid w:val="00D370D3"/>
    <w:rsid w:val="00D37BE3"/>
    <w:rsid w:val="00D41626"/>
    <w:rsid w:val="00D419D8"/>
    <w:rsid w:val="00D419EB"/>
    <w:rsid w:val="00D41DF7"/>
    <w:rsid w:val="00D420C7"/>
    <w:rsid w:val="00D4290A"/>
    <w:rsid w:val="00D42E8B"/>
    <w:rsid w:val="00D44E21"/>
    <w:rsid w:val="00D45084"/>
    <w:rsid w:val="00D4647C"/>
    <w:rsid w:val="00D46A25"/>
    <w:rsid w:val="00D47B99"/>
    <w:rsid w:val="00D500B4"/>
    <w:rsid w:val="00D5085A"/>
    <w:rsid w:val="00D50869"/>
    <w:rsid w:val="00D50959"/>
    <w:rsid w:val="00D512A5"/>
    <w:rsid w:val="00D512B8"/>
    <w:rsid w:val="00D514E3"/>
    <w:rsid w:val="00D51ABA"/>
    <w:rsid w:val="00D52A8E"/>
    <w:rsid w:val="00D53286"/>
    <w:rsid w:val="00D551C9"/>
    <w:rsid w:val="00D55FE7"/>
    <w:rsid w:val="00D564D3"/>
    <w:rsid w:val="00D573B5"/>
    <w:rsid w:val="00D57799"/>
    <w:rsid w:val="00D6048C"/>
    <w:rsid w:val="00D63C18"/>
    <w:rsid w:val="00D6445D"/>
    <w:rsid w:val="00D6649D"/>
    <w:rsid w:val="00D677E4"/>
    <w:rsid w:val="00D67B1D"/>
    <w:rsid w:val="00D73424"/>
    <w:rsid w:val="00D75AE7"/>
    <w:rsid w:val="00D75BC4"/>
    <w:rsid w:val="00D823BC"/>
    <w:rsid w:val="00D824D2"/>
    <w:rsid w:val="00D82602"/>
    <w:rsid w:val="00D8265B"/>
    <w:rsid w:val="00D83899"/>
    <w:rsid w:val="00D84D60"/>
    <w:rsid w:val="00D85DC8"/>
    <w:rsid w:val="00D8639B"/>
    <w:rsid w:val="00D87043"/>
    <w:rsid w:val="00D873A8"/>
    <w:rsid w:val="00D9065C"/>
    <w:rsid w:val="00D909FD"/>
    <w:rsid w:val="00D924C4"/>
    <w:rsid w:val="00D92FC0"/>
    <w:rsid w:val="00D94A49"/>
    <w:rsid w:val="00D95100"/>
    <w:rsid w:val="00D95FFB"/>
    <w:rsid w:val="00D97734"/>
    <w:rsid w:val="00DA0143"/>
    <w:rsid w:val="00DA4293"/>
    <w:rsid w:val="00DA5DC9"/>
    <w:rsid w:val="00DA7333"/>
    <w:rsid w:val="00DA772C"/>
    <w:rsid w:val="00DB012D"/>
    <w:rsid w:val="00DB16DC"/>
    <w:rsid w:val="00DB1CFB"/>
    <w:rsid w:val="00DB4728"/>
    <w:rsid w:val="00DB4DBE"/>
    <w:rsid w:val="00DB5D2E"/>
    <w:rsid w:val="00DB6814"/>
    <w:rsid w:val="00DB783B"/>
    <w:rsid w:val="00DC076F"/>
    <w:rsid w:val="00DC0D76"/>
    <w:rsid w:val="00DC12A0"/>
    <w:rsid w:val="00DC1AB3"/>
    <w:rsid w:val="00DC22BF"/>
    <w:rsid w:val="00DC2EF6"/>
    <w:rsid w:val="00DC5D9D"/>
    <w:rsid w:val="00DC7720"/>
    <w:rsid w:val="00DC7902"/>
    <w:rsid w:val="00DD0193"/>
    <w:rsid w:val="00DD0FE3"/>
    <w:rsid w:val="00DD1875"/>
    <w:rsid w:val="00DD3D1E"/>
    <w:rsid w:val="00DD3FF2"/>
    <w:rsid w:val="00DD5D22"/>
    <w:rsid w:val="00DE0529"/>
    <w:rsid w:val="00DE094F"/>
    <w:rsid w:val="00DE2095"/>
    <w:rsid w:val="00DE27D0"/>
    <w:rsid w:val="00DE3536"/>
    <w:rsid w:val="00DE5DF5"/>
    <w:rsid w:val="00DE5E64"/>
    <w:rsid w:val="00DE6A9A"/>
    <w:rsid w:val="00DE6EC1"/>
    <w:rsid w:val="00DF002A"/>
    <w:rsid w:val="00DF0385"/>
    <w:rsid w:val="00DF174C"/>
    <w:rsid w:val="00DF1795"/>
    <w:rsid w:val="00DF1967"/>
    <w:rsid w:val="00DF222E"/>
    <w:rsid w:val="00DF32DB"/>
    <w:rsid w:val="00DF3BA4"/>
    <w:rsid w:val="00DF4133"/>
    <w:rsid w:val="00DF41F6"/>
    <w:rsid w:val="00DF44D2"/>
    <w:rsid w:val="00DF59CB"/>
    <w:rsid w:val="00DF5AB5"/>
    <w:rsid w:val="00DF5D01"/>
    <w:rsid w:val="00E039DF"/>
    <w:rsid w:val="00E0421D"/>
    <w:rsid w:val="00E0427E"/>
    <w:rsid w:val="00E05D07"/>
    <w:rsid w:val="00E066DD"/>
    <w:rsid w:val="00E12467"/>
    <w:rsid w:val="00E13DBF"/>
    <w:rsid w:val="00E14F3D"/>
    <w:rsid w:val="00E208B9"/>
    <w:rsid w:val="00E20BE1"/>
    <w:rsid w:val="00E211CE"/>
    <w:rsid w:val="00E21587"/>
    <w:rsid w:val="00E254DD"/>
    <w:rsid w:val="00E2550E"/>
    <w:rsid w:val="00E27103"/>
    <w:rsid w:val="00E30C7B"/>
    <w:rsid w:val="00E31442"/>
    <w:rsid w:val="00E3226A"/>
    <w:rsid w:val="00E32FA3"/>
    <w:rsid w:val="00E337AA"/>
    <w:rsid w:val="00E363E1"/>
    <w:rsid w:val="00E37496"/>
    <w:rsid w:val="00E40713"/>
    <w:rsid w:val="00E40D19"/>
    <w:rsid w:val="00E439F7"/>
    <w:rsid w:val="00E456CA"/>
    <w:rsid w:val="00E5234E"/>
    <w:rsid w:val="00E52649"/>
    <w:rsid w:val="00E52E45"/>
    <w:rsid w:val="00E52E7F"/>
    <w:rsid w:val="00E53C0E"/>
    <w:rsid w:val="00E546C0"/>
    <w:rsid w:val="00E56C1C"/>
    <w:rsid w:val="00E56DD3"/>
    <w:rsid w:val="00E60405"/>
    <w:rsid w:val="00E6203D"/>
    <w:rsid w:val="00E62566"/>
    <w:rsid w:val="00E628A1"/>
    <w:rsid w:val="00E62CE0"/>
    <w:rsid w:val="00E630BE"/>
    <w:rsid w:val="00E64237"/>
    <w:rsid w:val="00E6450A"/>
    <w:rsid w:val="00E64922"/>
    <w:rsid w:val="00E70625"/>
    <w:rsid w:val="00E7070D"/>
    <w:rsid w:val="00E7074F"/>
    <w:rsid w:val="00E76CF7"/>
    <w:rsid w:val="00E7792B"/>
    <w:rsid w:val="00E77F64"/>
    <w:rsid w:val="00E827D4"/>
    <w:rsid w:val="00E82F26"/>
    <w:rsid w:val="00E843E0"/>
    <w:rsid w:val="00E8498D"/>
    <w:rsid w:val="00E85603"/>
    <w:rsid w:val="00E8620C"/>
    <w:rsid w:val="00E90049"/>
    <w:rsid w:val="00E908F7"/>
    <w:rsid w:val="00E90983"/>
    <w:rsid w:val="00E90DBE"/>
    <w:rsid w:val="00E91163"/>
    <w:rsid w:val="00E917ED"/>
    <w:rsid w:val="00E9466D"/>
    <w:rsid w:val="00E95296"/>
    <w:rsid w:val="00E96427"/>
    <w:rsid w:val="00E96EE8"/>
    <w:rsid w:val="00E97185"/>
    <w:rsid w:val="00EA1271"/>
    <w:rsid w:val="00EA1743"/>
    <w:rsid w:val="00EA2F3B"/>
    <w:rsid w:val="00EA57AE"/>
    <w:rsid w:val="00EA5D84"/>
    <w:rsid w:val="00EA73EE"/>
    <w:rsid w:val="00EA7F16"/>
    <w:rsid w:val="00EB17A3"/>
    <w:rsid w:val="00EB2F43"/>
    <w:rsid w:val="00EB5DA6"/>
    <w:rsid w:val="00EB5DB0"/>
    <w:rsid w:val="00EB5F24"/>
    <w:rsid w:val="00EB65F8"/>
    <w:rsid w:val="00EC2D0A"/>
    <w:rsid w:val="00EC31EE"/>
    <w:rsid w:val="00EC3295"/>
    <w:rsid w:val="00EC34FA"/>
    <w:rsid w:val="00EC3A14"/>
    <w:rsid w:val="00EC3E71"/>
    <w:rsid w:val="00EC5611"/>
    <w:rsid w:val="00EC5982"/>
    <w:rsid w:val="00EC5985"/>
    <w:rsid w:val="00EC7EEB"/>
    <w:rsid w:val="00ED0591"/>
    <w:rsid w:val="00ED1F89"/>
    <w:rsid w:val="00ED21DB"/>
    <w:rsid w:val="00ED3E8D"/>
    <w:rsid w:val="00ED6586"/>
    <w:rsid w:val="00ED6DC9"/>
    <w:rsid w:val="00ED7157"/>
    <w:rsid w:val="00ED715C"/>
    <w:rsid w:val="00ED7EC6"/>
    <w:rsid w:val="00EE1D38"/>
    <w:rsid w:val="00EE1E20"/>
    <w:rsid w:val="00EE26F1"/>
    <w:rsid w:val="00EE31DA"/>
    <w:rsid w:val="00EE3ED7"/>
    <w:rsid w:val="00EE60FE"/>
    <w:rsid w:val="00EE6F6C"/>
    <w:rsid w:val="00EE72DB"/>
    <w:rsid w:val="00EE75C6"/>
    <w:rsid w:val="00EF2039"/>
    <w:rsid w:val="00EF3EFE"/>
    <w:rsid w:val="00EF4960"/>
    <w:rsid w:val="00EF5111"/>
    <w:rsid w:val="00EF575F"/>
    <w:rsid w:val="00EF60DD"/>
    <w:rsid w:val="00EF6846"/>
    <w:rsid w:val="00EF7107"/>
    <w:rsid w:val="00F001D7"/>
    <w:rsid w:val="00F00502"/>
    <w:rsid w:val="00F0155A"/>
    <w:rsid w:val="00F01F7D"/>
    <w:rsid w:val="00F01FB6"/>
    <w:rsid w:val="00F04584"/>
    <w:rsid w:val="00F060C6"/>
    <w:rsid w:val="00F06A10"/>
    <w:rsid w:val="00F06E5B"/>
    <w:rsid w:val="00F10081"/>
    <w:rsid w:val="00F11596"/>
    <w:rsid w:val="00F11EA5"/>
    <w:rsid w:val="00F126CB"/>
    <w:rsid w:val="00F1469C"/>
    <w:rsid w:val="00F147B3"/>
    <w:rsid w:val="00F1561A"/>
    <w:rsid w:val="00F17FB2"/>
    <w:rsid w:val="00F226BC"/>
    <w:rsid w:val="00F22E7B"/>
    <w:rsid w:val="00F25FA8"/>
    <w:rsid w:val="00F2621B"/>
    <w:rsid w:val="00F304C6"/>
    <w:rsid w:val="00F30534"/>
    <w:rsid w:val="00F30A9A"/>
    <w:rsid w:val="00F33BC5"/>
    <w:rsid w:val="00F34E39"/>
    <w:rsid w:val="00F36376"/>
    <w:rsid w:val="00F40580"/>
    <w:rsid w:val="00F418CB"/>
    <w:rsid w:val="00F43310"/>
    <w:rsid w:val="00F4589F"/>
    <w:rsid w:val="00F46C64"/>
    <w:rsid w:val="00F470DC"/>
    <w:rsid w:val="00F472B4"/>
    <w:rsid w:val="00F50235"/>
    <w:rsid w:val="00F50606"/>
    <w:rsid w:val="00F5149A"/>
    <w:rsid w:val="00F52BA4"/>
    <w:rsid w:val="00F540BB"/>
    <w:rsid w:val="00F562EA"/>
    <w:rsid w:val="00F576D1"/>
    <w:rsid w:val="00F57DDB"/>
    <w:rsid w:val="00F57F5B"/>
    <w:rsid w:val="00F6036E"/>
    <w:rsid w:val="00F6069E"/>
    <w:rsid w:val="00F60DAE"/>
    <w:rsid w:val="00F60E3B"/>
    <w:rsid w:val="00F62E9B"/>
    <w:rsid w:val="00F660B8"/>
    <w:rsid w:val="00F67392"/>
    <w:rsid w:val="00F67573"/>
    <w:rsid w:val="00F67766"/>
    <w:rsid w:val="00F71453"/>
    <w:rsid w:val="00F715E1"/>
    <w:rsid w:val="00F729FD"/>
    <w:rsid w:val="00F72A51"/>
    <w:rsid w:val="00F76158"/>
    <w:rsid w:val="00F806C7"/>
    <w:rsid w:val="00F81D56"/>
    <w:rsid w:val="00F81F1D"/>
    <w:rsid w:val="00F81FED"/>
    <w:rsid w:val="00F8357C"/>
    <w:rsid w:val="00F854CB"/>
    <w:rsid w:val="00F85FF4"/>
    <w:rsid w:val="00F87F8B"/>
    <w:rsid w:val="00F92B97"/>
    <w:rsid w:val="00F92E80"/>
    <w:rsid w:val="00F92ECF"/>
    <w:rsid w:val="00F9301B"/>
    <w:rsid w:val="00F93066"/>
    <w:rsid w:val="00F93446"/>
    <w:rsid w:val="00F93796"/>
    <w:rsid w:val="00F93805"/>
    <w:rsid w:val="00F938AE"/>
    <w:rsid w:val="00F93FAC"/>
    <w:rsid w:val="00F94477"/>
    <w:rsid w:val="00F946F3"/>
    <w:rsid w:val="00F951F3"/>
    <w:rsid w:val="00F96783"/>
    <w:rsid w:val="00FA16A9"/>
    <w:rsid w:val="00FA2983"/>
    <w:rsid w:val="00FA3721"/>
    <w:rsid w:val="00FA3DDA"/>
    <w:rsid w:val="00FA427A"/>
    <w:rsid w:val="00FA47F4"/>
    <w:rsid w:val="00FA495C"/>
    <w:rsid w:val="00FA5CB5"/>
    <w:rsid w:val="00FA67D2"/>
    <w:rsid w:val="00FA70FC"/>
    <w:rsid w:val="00FA72FB"/>
    <w:rsid w:val="00FA7D32"/>
    <w:rsid w:val="00FB1A46"/>
    <w:rsid w:val="00FB1C8D"/>
    <w:rsid w:val="00FB3632"/>
    <w:rsid w:val="00FB5E00"/>
    <w:rsid w:val="00FB6230"/>
    <w:rsid w:val="00FB68A7"/>
    <w:rsid w:val="00FB77FC"/>
    <w:rsid w:val="00FC0285"/>
    <w:rsid w:val="00FC19CB"/>
    <w:rsid w:val="00FC370B"/>
    <w:rsid w:val="00FC3C95"/>
    <w:rsid w:val="00FC4711"/>
    <w:rsid w:val="00FC642B"/>
    <w:rsid w:val="00FC690A"/>
    <w:rsid w:val="00FD10BE"/>
    <w:rsid w:val="00FD1ACB"/>
    <w:rsid w:val="00FD227B"/>
    <w:rsid w:val="00FD2AB3"/>
    <w:rsid w:val="00FD337C"/>
    <w:rsid w:val="00FD606F"/>
    <w:rsid w:val="00FD63B8"/>
    <w:rsid w:val="00FD6608"/>
    <w:rsid w:val="00FD74B5"/>
    <w:rsid w:val="00FD7F23"/>
    <w:rsid w:val="00FE0B78"/>
    <w:rsid w:val="00FE10FE"/>
    <w:rsid w:val="00FE177A"/>
    <w:rsid w:val="00FE288B"/>
    <w:rsid w:val="00FE38C1"/>
    <w:rsid w:val="00FE5ADC"/>
    <w:rsid w:val="00FE5D2B"/>
    <w:rsid w:val="00FE6710"/>
    <w:rsid w:val="00FE6D69"/>
    <w:rsid w:val="00FE6EB5"/>
    <w:rsid w:val="00FE7422"/>
    <w:rsid w:val="00FE766B"/>
    <w:rsid w:val="00FF02DB"/>
    <w:rsid w:val="00FF09CA"/>
    <w:rsid w:val="00FF14F5"/>
    <w:rsid w:val="00FF16B1"/>
    <w:rsid w:val="00FF485C"/>
    <w:rsid w:val="00FF62D2"/>
    <w:rsid w:val="0EA312F9"/>
    <w:rsid w:val="0F253110"/>
    <w:rsid w:val="6FFE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8"/>
    <w:qFormat/>
    <w:uiPriority w:val="0"/>
    <w:pPr>
      <w:keepNext/>
      <w:keepLines/>
      <w:adjustRightInd w:val="0"/>
      <w:snapToGrid w:val="0"/>
      <w:jc w:val="left"/>
      <w:outlineLvl w:val="2"/>
    </w:pPr>
    <w:rPr>
      <w:rFonts w:cs="Times New Roman" w:asciiTheme="minorEastAsia" w:hAnsiTheme="minorEastAsia"/>
      <w:b/>
      <w:bCs/>
      <w:sz w:val="28"/>
      <w:szCs w:val="28"/>
    </w:rPr>
  </w:style>
  <w:style w:type="paragraph" w:styleId="5">
    <w:name w:val="heading 4"/>
    <w:basedOn w:val="1"/>
    <w:next w:val="1"/>
    <w:link w:val="4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6"/>
    <w:basedOn w:val="1"/>
    <w:next w:val="1"/>
    <w:link w:val="50"/>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4"/>
    </w:rPr>
  </w:style>
  <w:style w:type="paragraph" w:styleId="7">
    <w:name w:val="heading 7"/>
    <w:basedOn w:val="1"/>
    <w:next w:val="1"/>
    <w:link w:val="51"/>
    <w:qFormat/>
    <w:uiPriority w:val="0"/>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8">
    <w:name w:val="heading 8"/>
    <w:basedOn w:val="1"/>
    <w:next w:val="1"/>
    <w:link w:val="52"/>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4"/>
    </w:rPr>
  </w:style>
  <w:style w:type="paragraph" w:styleId="9">
    <w:name w:val="heading 9"/>
    <w:basedOn w:val="1"/>
    <w:next w:val="1"/>
    <w:link w:val="53"/>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34">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10">
    <w:name w:val="toc 7"/>
    <w:basedOn w:val="1"/>
    <w:next w:val="1"/>
    <w:unhideWhenUsed/>
    <w:qFormat/>
    <w:uiPriority w:val="39"/>
    <w:pPr>
      <w:ind w:left="1260"/>
      <w:jc w:val="left"/>
    </w:pPr>
    <w:rPr>
      <w:rFonts w:cstheme="minorHAnsi"/>
      <w:sz w:val="18"/>
      <w:szCs w:val="18"/>
    </w:rPr>
  </w:style>
  <w:style w:type="paragraph" w:styleId="11">
    <w:name w:val="Normal Indent"/>
    <w:basedOn w:val="1"/>
    <w:link w:val="44"/>
    <w:qFormat/>
    <w:uiPriority w:val="0"/>
    <w:pPr>
      <w:widowControl/>
      <w:spacing w:line="240" w:lineRule="auto"/>
      <w:ind w:firstLine="420" w:firstLineChars="200"/>
      <w:jc w:val="left"/>
    </w:pPr>
    <w:rPr>
      <w:szCs w:val="24"/>
    </w:rPr>
  </w:style>
  <w:style w:type="paragraph" w:styleId="12">
    <w:name w:val="Document Map"/>
    <w:basedOn w:val="1"/>
    <w:link w:val="68"/>
    <w:semiHidden/>
    <w:qFormat/>
    <w:uiPriority w:val="0"/>
    <w:pPr>
      <w:shd w:val="clear" w:color="auto" w:fill="000080"/>
      <w:spacing w:line="240" w:lineRule="auto"/>
    </w:pPr>
    <w:rPr>
      <w:rFonts w:ascii="Times New Roman" w:hAnsi="Times New Roman" w:eastAsia="宋体" w:cs="Times New Roman"/>
      <w:szCs w:val="24"/>
    </w:rPr>
  </w:style>
  <w:style w:type="paragraph" w:styleId="13">
    <w:name w:val="Body Text 3"/>
    <w:basedOn w:val="1"/>
    <w:link w:val="55"/>
    <w:qFormat/>
    <w:uiPriority w:val="0"/>
    <w:pPr>
      <w:spacing w:line="240" w:lineRule="auto"/>
    </w:pPr>
    <w:rPr>
      <w:rFonts w:ascii="宋体" w:hAnsi="Times New Roman" w:eastAsia="宋体" w:cs="Times New Roman"/>
      <w:sz w:val="24"/>
      <w:szCs w:val="20"/>
    </w:rPr>
  </w:style>
  <w:style w:type="paragraph" w:styleId="14">
    <w:name w:val="Body Text"/>
    <w:basedOn w:val="1"/>
    <w:link w:val="64"/>
    <w:qFormat/>
    <w:uiPriority w:val="0"/>
    <w:pPr>
      <w:spacing w:after="120" w:line="240" w:lineRule="auto"/>
    </w:pPr>
    <w:rPr>
      <w:rFonts w:ascii="Times New Roman" w:hAnsi="Times New Roman" w:eastAsia="宋体" w:cs="Times New Roman"/>
      <w:szCs w:val="24"/>
    </w:rPr>
  </w:style>
  <w:style w:type="paragraph" w:styleId="15">
    <w:name w:val="Body Text Indent"/>
    <w:basedOn w:val="1"/>
    <w:link w:val="60"/>
    <w:qFormat/>
    <w:uiPriority w:val="0"/>
    <w:pPr>
      <w:spacing w:after="120" w:line="240" w:lineRule="auto"/>
      <w:ind w:left="420" w:leftChars="200"/>
    </w:pPr>
    <w:rPr>
      <w:rFonts w:ascii="Times New Roman" w:hAnsi="Times New Roman" w:eastAsia="宋体" w:cs="Times New Roman"/>
      <w:szCs w:val="24"/>
    </w:rPr>
  </w:style>
  <w:style w:type="paragraph" w:styleId="16">
    <w:name w:val="toc 5"/>
    <w:basedOn w:val="1"/>
    <w:next w:val="1"/>
    <w:unhideWhenUsed/>
    <w:qFormat/>
    <w:uiPriority w:val="39"/>
    <w:pPr>
      <w:ind w:left="840"/>
      <w:jc w:val="left"/>
    </w:pPr>
    <w:rPr>
      <w:rFonts w:cstheme="minorHAnsi"/>
      <w:sz w:val="18"/>
      <w:szCs w:val="18"/>
    </w:rPr>
  </w:style>
  <w:style w:type="paragraph" w:styleId="17">
    <w:name w:val="toc 3"/>
    <w:basedOn w:val="1"/>
    <w:next w:val="1"/>
    <w:unhideWhenUsed/>
    <w:qFormat/>
    <w:uiPriority w:val="39"/>
    <w:pPr>
      <w:ind w:left="420"/>
      <w:jc w:val="left"/>
    </w:pPr>
    <w:rPr>
      <w:rFonts w:cstheme="minorHAnsi"/>
      <w:i/>
      <w:iCs/>
      <w:sz w:val="20"/>
      <w:szCs w:val="20"/>
    </w:rPr>
  </w:style>
  <w:style w:type="paragraph" w:styleId="18">
    <w:name w:val="Plain Text"/>
    <w:basedOn w:val="1"/>
    <w:link w:val="74"/>
    <w:qFormat/>
    <w:uiPriority w:val="0"/>
    <w:pPr>
      <w:spacing w:line="240" w:lineRule="auto"/>
    </w:pPr>
    <w:rPr>
      <w:rFonts w:ascii="Courier New" w:hAnsi="Courier New" w:eastAsia="宋体" w:cs="Times New Roman"/>
      <w:szCs w:val="20"/>
    </w:rPr>
  </w:style>
  <w:style w:type="paragraph" w:styleId="19">
    <w:name w:val="toc 8"/>
    <w:basedOn w:val="1"/>
    <w:next w:val="1"/>
    <w:unhideWhenUsed/>
    <w:qFormat/>
    <w:uiPriority w:val="39"/>
    <w:pPr>
      <w:ind w:left="1470"/>
      <w:jc w:val="left"/>
    </w:pPr>
    <w:rPr>
      <w:rFonts w:cstheme="minorHAnsi"/>
      <w:sz w:val="18"/>
      <w:szCs w:val="18"/>
    </w:rPr>
  </w:style>
  <w:style w:type="paragraph" w:styleId="20">
    <w:name w:val="Date"/>
    <w:basedOn w:val="1"/>
    <w:next w:val="1"/>
    <w:link w:val="43"/>
    <w:unhideWhenUsed/>
    <w:qFormat/>
    <w:uiPriority w:val="0"/>
    <w:pPr>
      <w:ind w:left="100" w:leftChars="2500"/>
    </w:pPr>
  </w:style>
  <w:style w:type="paragraph" w:styleId="21">
    <w:name w:val="Body Text Indent 2"/>
    <w:basedOn w:val="1"/>
    <w:link w:val="76"/>
    <w:qFormat/>
    <w:uiPriority w:val="0"/>
    <w:pPr>
      <w:spacing w:after="120" w:line="480" w:lineRule="auto"/>
      <w:ind w:left="420" w:leftChars="200"/>
    </w:pPr>
    <w:rPr>
      <w:rFonts w:ascii="Times New Roman" w:hAnsi="Times New Roman" w:eastAsia="宋体" w:cs="Times New Roman"/>
      <w:szCs w:val="24"/>
    </w:rPr>
  </w:style>
  <w:style w:type="paragraph" w:styleId="22">
    <w:name w:val="Balloon Text"/>
    <w:basedOn w:val="1"/>
    <w:link w:val="80"/>
    <w:semiHidden/>
    <w:qFormat/>
    <w:uiPriority w:val="0"/>
    <w:pPr>
      <w:spacing w:line="240" w:lineRule="auto"/>
    </w:pPr>
    <w:rPr>
      <w:rFonts w:ascii="Times New Roman" w:hAnsi="Times New Roman" w:eastAsia="宋体" w:cs="Times New Roman"/>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cstheme="minorHAnsi"/>
      <w:b/>
      <w:bCs/>
      <w:caps/>
      <w:sz w:val="20"/>
      <w:szCs w:val="20"/>
    </w:rPr>
  </w:style>
  <w:style w:type="paragraph" w:styleId="26">
    <w:name w:val="toc 4"/>
    <w:basedOn w:val="1"/>
    <w:next w:val="1"/>
    <w:unhideWhenUsed/>
    <w:qFormat/>
    <w:uiPriority w:val="39"/>
    <w:pPr>
      <w:ind w:left="630"/>
      <w:jc w:val="left"/>
    </w:pPr>
    <w:rPr>
      <w:rFonts w:cstheme="minorHAnsi"/>
      <w:sz w:val="18"/>
      <w:szCs w:val="18"/>
    </w:rPr>
  </w:style>
  <w:style w:type="paragraph" w:styleId="27">
    <w:name w:val="toc 6"/>
    <w:basedOn w:val="1"/>
    <w:next w:val="1"/>
    <w:unhideWhenUsed/>
    <w:qFormat/>
    <w:uiPriority w:val="39"/>
    <w:pPr>
      <w:ind w:left="1050"/>
      <w:jc w:val="left"/>
    </w:pPr>
    <w:rPr>
      <w:rFonts w:cstheme="minorHAnsi"/>
      <w:sz w:val="18"/>
      <w:szCs w:val="18"/>
    </w:rPr>
  </w:style>
  <w:style w:type="paragraph" w:styleId="28">
    <w:name w:val="Body Text Indent 3"/>
    <w:basedOn w:val="1"/>
    <w:link w:val="61"/>
    <w:qFormat/>
    <w:uiPriority w:val="0"/>
    <w:pPr>
      <w:spacing w:after="120" w:line="240" w:lineRule="auto"/>
      <w:ind w:left="420" w:leftChars="200"/>
    </w:pPr>
    <w:rPr>
      <w:rFonts w:ascii="Times New Roman" w:hAnsi="Times New Roman" w:eastAsia="宋体" w:cs="Times New Roman"/>
      <w:sz w:val="16"/>
      <w:szCs w:val="16"/>
    </w:rPr>
  </w:style>
  <w:style w:type="paragraph" w:styleId="29">
    <w:name w:val="toc 2"/>
    <w:basedOn w:val="1"/>
    <w:next w:val="1"/>
    <w:qFormat/>
    <w:uiPriority w:val="39"/>
    <w:pPr>
      <w:ind w:left="210"/>
      <w:jc w:val="left"/>
    </w:pPr>
    <w:rPr>
      <w:rFonts w:cstheme="minorHAnsi"/>
      <w:smallCaps/>
      <w:sz w:val="20"/>
      <w:szCs w:val="20"/>
    </w:rPr>
  </w:style>
  <w:style w:type="paragraph" w:styleId="30">
    <w:name w:val="toc 9"/>
    <w:basedOn w:val="1"/>
    <w:next w:val="1"/>
    <w:unhideWhenUsed/>
    <w:qFormat/>
    <w:uiPriority w:val="39"/>
    <w:pPr>
      <w:ind w:left="1680"/>
      <w:jc w:val="left"/>
    </w:pPr>
    <w:rPr>
      <w:rFonts w:cstheme="minorHAnsi"/>
      <w:sz w:val="18"/>
      <w:szCs w:val="18"/>
    </w:rPr>
  </w:style>
  <w:style w:type="paragraph" w:styleId="31">
    <w:name w:val="Body Text 2"/>
    <w:basedOn w:val="1"/>
    <w:link w:val="77"/>
    <w:qFormat/>
    <w:uiPriority w:val="0"/>
    <w:pPr>
      <w:spacing w:after="120" w:line="480" w:lineRule="auto"/>
    </w:pPr>
    <w:rPr>
      <w:rFonts w:ascii="Times New Roman" w:hAnsi="Times New Roman" w:eastAsia="宋体" w:cs="Times New Roman"/>
      <w:szCs w:val="24"/>
    </w:rPr>
  </w:style>
  <w:style w:type="paragraph" w:styleId="32">
    <w:name w:val="index 1"/>
    <w:basedOn w:val="1"/>
    <w:next w:val="1"/>
    <w:semiHidden/>
    <w:qFormat/>
    <w:uiPriority w:val="0"/>
    <w:pPr>
      <w:spacing w:line="220" w:lineRule="exact"/>
      <w:jc w:val="center"/>
    </w:pPr>
    <w:rPr>
      <w:rFonts w:ascii="仿宋_GB2312" w:hAnsi="Times New Roman" w:eastAsia="仿宋_GB2312" w:cs="Times New Roman"/>
      <w:szCs w:val="21"/>
    </w:rPr>
  </w:style>
  <w:style w:type="paragraph" w:styleId="33">
    <w:name w:val="Title"/>
    <w:basedOn w:val="1"/>
    <w:link w:val="59"/>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character" w:styleId="35">
    <w:name w:val="page number"/>
    <w:basedOn w:val="34"/>
    <w:qFormat/>
    <w:uiPriority w:val="0"/>
    <w:rPr>
      <w:rFonts w:ascii="Arial" w:hAnsi="Arial" w:eastAsia="黑体"/>
      <w:kern w:val="2"/>
      <w:sz w:val="21"/>
      <w:szCs w:val="21"/>
      <w:lang w:val="en-US" w:eastAsia="zh-CN" w:bidi="ar-SA"/>
    </w:rPr>
  </w:style>
  <w:style w:type="character" w:styleId="36">
    <w:name w:val="FollowedHyperlink"/>
    <w:basedOn w:val="34"/>
    <w:qFormat/>
    <w:uiPriority w:val="0"/>
    <w:rPr>
      <w:rFonts w:ascii="Arial" w:hAnsi="Arial" w:eastAsia="黑体"/>
      <w:color w:val="800080"/>
      <w:kern w:val="2"/>
      <w:sz w:val="21"/>
      <w:szCs w:val="21"/>
      <w:u w:val="single"/>
      <w:lang w:val="en-US" w:eastAsia="zh-CN" w:bidi="ar-SA"/>
    </w:rPr>
  </w:style>
  <w:style w:type="character" w:styleId="37">
    <w:name w:val="Emphasis"/>
    <w:basedOn w:val="34"/>
    <w:qFormat/>
    <w:uiPriority w:val="20"/>
    <w:rPr>
      <w:i/>
      <w:iCs/>
    </w:rPr>
  </w:style>
  <w:style w:type="character" w:styleId="38">
    <w:name w:val="Hyperlink"/>
    <w:basedOn w:val="34"/>
    <w:qFormat/>
    <w:uiPriority w:val="99"/>
    <w:rPr>
      <w:rFonts w:ascii="Arial" w:hAnsi="Arial" w:eastAsia="黑体"/>
      <w:color w:val="0000FF"/>
      <w:kern w:val="2"/>
      <w:sz w:val="21"/>
      <w:szCs w:val="21"/>
      <w:u w:val="single"/>
      <w:lang w:val="en-US" w:eastAsia="zh-CN" w:bidi="ar-SA"/>
    </w:rPr>
  </w:style>
  <w:style w:type="table" w:styleId="40">
    <w:name w:val="Table Grid"/>
    <w:basedOn w:val="39"/>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41">
    <w:name w:val="页眉 Char"/>
    <w:basedOn w:val="34"/>
    <w:link w:val="24"/>
    <w:semiHidden/>
    <w:qFormat/>
    <w:uiPriority w:val="99"/>
    <w:rPr>
      <w:sz w:val="18"/>
      <w:szCs w:val="18"/>
    </w:rPr>
  </w:style>
  <w:style w:type="character" w:customStyle="1" w:styleId="42">
    <w:name w:val="页脚 Char"/>
    <w:basedOn w:val="34"/>
    <w:link w:val="23"/>
    <w:qFormat/>
    <w:uiPriority w:val="99"/>
    <w:rPr>
      <w:sz w:val="18"/>
      <w:szCs w:val="18"/>
    </w:rPr>
  </w:style>
  <w:style w:type="character" w:customStyle="1" w:styleId="43">
    <w:name w:val="日期 Char"/>
    <w:basedOn w:val="34"/>
    <w:link w:val="20"/>
    <w:qFormat/>
    <w:uiPriority w:val="0"/>
  </w:style>
  <w:style w:type="character" w:customStyle="1" w:styleId="44">
    <w:name w:val="正文缩进 Char"/>
    <w:link w:val="11"/>
    <w:qFormat/>
    <w:uiPriority w:val="0"/>
    <w:rPr>
      <w:szCs w:val="24"/>
    </w:rPr>
  </w:style>
  <w:style w:type="character" w:customStyle="1" w:styleId="45">
    <w:name w:val="标题 3 Char Char2"/>
    <w:qFormat/>
    <w:uiPriority w:val="0"/>
    <w:rPr>
      <w:rFonts w:eastAsia="华文仿宋"/>
      <w:b/>
      <w:bCs/>
      <w:kern w:val="2"/>
      <w:sz w:val="28"/>
      <w:szCs w:val="32"/>
      <w:lang w:val="en-US" w:eastAsia="zh-CN" w:bidi="ar-SA"/>
    </w:rPr>
  </w:style>
  <w:style w:type="character" w:customStyle="1" w:styleId="46">
    <w:name w:val="标题 1 Char"/>
    <w:basedOn w:val="34"/>
    <w:link w:val="2"/>
    <w:qFormat/>
    <w:uiPriority w:val="0"/>
    <w:rPr>
      <w:rFonts w:ascii="Times New Roman" w:hAnsi="Times New Roman" w:eastAsia="宋体" w:cs="Times New Roman"/>
      <w:b/>
      <w:bCs/>
      <w:kern w:val="44"/>
      <w:sz w:val="44"/>
      <w:szCs w:val="44"/>
    </w:rPr>
  </w:style>
  <w:style w:type="character" w:customStyle="1" w:styleId="47">
    <w:name w:val="标题 2 Char"/>
    <w:basedOn w:val="34"/>
    <w:link w:val="3"/>
    <w:qFormat/>
    <w:uiPriority w:val="0"/>
    <w:rPr>
      <w:rFonts w:ascii="Arial" w:hAnsi="Arial" w:eastAsia="黑体" w:cs="Times New Roman"/>
      <w:b/>
      <w:bCs/>
      <w:sz w:val="32"/>
      <w:szCs w:val="32"/>
    </w:rPr>
  </w:style>
  <w:style w:type="character" w:customStyle="1" w:styleId="48">
    <w:name w:val="标题 3 Char"/>
    <w:basedOn w:val="34"/>
    <w:link w:val="4"/>
    <w:qFormat/>
    <w:uiPriority w:val="0"/>
    <w:rPr>
      <w:rFonts w:cs="Times New Roman" w:asciiTheme="minorEastAsia" w:hAnsiTheme="minorEastAsia"/>
      <w:b/>
      <w:bCs/>
      <w:sz w:val="28"/>
      <w:szCs w:val="28"/>
    </w:rPr>
  </w:style>
  <w:style w:type="character" w:customStyle="1" w:styleId="49">
    <w:name w:val="标题 4 Char"/>
    <w:basedOn w:val="34"/>
    <w:link w:val="5"/>
    <w:qFormat/>
    <w:uiPriority w:val="0"/>
    <w:rPr>
      <w:rFonts w:ascii="Arial" w:hAnsi="Arial" w:eastAsia="黑体" w:cs="Times New Roman"/>
      <w:b/>
      <w:bCs/>
      <w:sz w:val="28"/>
      <w:szCs w:val="28"/>
    </w:rPr>
  </w:style>
  <w:style w:type="character" w:customStyle="1" w:styleId="50">
    <w:name w:val="标题 6 Char"/>
    <w:basedOn w:val="34"/>
    <w:link w:val="6"/>
    <w:qFormat/>
    <w:uiPriority w:val="0"/>
    <w:rPr>
      <w:rFonts w:ascii="Arial" w:hAnsi="Arial" w:eastAsia="黑体" w:cs="Times New Roman"/>
      <w:b/>
      <w:bCs/>
      <w:kern w:val="0"/>
      <w:sz w:val="24"/>
      <w:szCs w:val="24"/>
    </w:rPr>
  </w:style>
  <w:style w:type="character" w:customStyle="1" w:styleId="51">
    <w:name w:val="标题 7 Char"/>
    <w:basedOn w:val="34"/>
    <w:link w:val="7"/>
    <w:qFormat/>
    <w:uiPriority w:val="0"/>
    <w:rPr>
      <w:rFonts w:ascii="Times New Roman" w:hAnsi="Times New Roman" w:eastAsia="宋体" w:cs="Times New Roman"/>
      <w:b/>
      <w:bCs/>
      <w:kern w:val="0"/>
      <w:sz w:val="24"/>
      <w:szCs w:val="24"/>
    </w:rPr>
  </w:style>
  <w:style w:type="character" w:customStyle="1" w:styleId="52">
    <w:name w:val="标题 8 Char"/>
    <w:basedOn w:val="34"/>
    <w:link w:val="8"/>
    <w:qFormat/>
    <w:uiPriority w:val="0"/>
    <w:rPr>
      <w:rFonts w:ascii="Arial" w:hAnsi="Arial" w:eastAsia="黑体" w:cs="Times New Roman"/>
      <w:kern w:val="0"/>
      <w:sz w:val="24"/>
      <w:szCs w:val="24"/>
    </w:rPr>
  </w:style>
  <w:style w:type="character" w:customStyle="1" w:styleId="53">
    <w:name w:val="标题 9 Char"/>
    <w:basedOn w:val="34"/>
    <w:link w:val="9"/>
    <w:qFormat/>
    <w:uiPriority w:val="0"/>
    <w:rPr>
      <w:rFonts w:ascii="Arial" w:hAnsi="Arial" w:eastAsia="黑体" w:cs="Times New Roman"/>
      <w:kern w:val="0"/>
      <w:szCs w:val="21"/>
    </w:rPr>
  </w:style>
  <w:style w:type="paragraph" w:customStyle="1" w:styleId="54">
    <w:name w:val="标题2"/>
    <w:basedOn w:val="3"/>
    <w:next w:val="1"/>
    <w:qFormat/>
    <w:uiPriority w:val="0"/>
    <w:pPr>
      <w:snapToGrid w:val="0"/>
      <w:spacing w:before="120" w:after="120" w:line="240" w:lineRule="auto"/>
      <w:jc w:val="left"/>
    </w:pPr>
    <w:rPr>
      <w:b w:val="0"/>
      <w:bCs w:val="0"/>
      <w:sz w:val="21"/>
      <w:szCs w:val="21"/>
    </w:rPr>
  </w:style>
  <w:style w:type="character" w:customStyle="1" w:styleId="55">
    <w:name w:val="正文文本 3 Char"/>
    <w:basedOn w:val="34"/>
    <w:link w:val="13"/>
    <w:qFormat/>
    <w:uiPriority w:val="0"/>
    <w:rPr>
      <w:rFonts w:ascii="宋体" w:hAnsi="Times New Roman" w:eastAsia="宋体" w:cs="Times New Roman"/>
      <w:sz w:val="24"/>
      <w:szCs w:val="20"/>
    </w:rPr>
  </w:style>
  <w:style w:type="paragraph" w:customStyle="1" w:styleId="56">
    <w:name w:val="样式 标题 3 + (中文) 黑体 小四 非加粗 段前: 7.8 磅 段后: 0 磅 行距: 固定值 20 磅"/>
    <w:basedOn w:val="4"/>
    <w:qFormat/>
    <w:uiPriority w:val="0"/>
    <w:pPr>
      <w:spacing w:line="400" w:lineRule="exact"/>
    </w:pPr>
    <w:rPr>
      <w:rFonts w:eastAsia="黑体" w:cs="宋体"/>
      <w:b w:val="0"/>
      <w:bCs w:val="0"/>
      <w:szCs w:val="20"/>
    </w:rPr>
  </w:style>
  <w:style w:type="paragraph" w:customStyle="1" w:styleId="5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character" w:customStyle="1" w:styleId="59">
    <w:name w:val="标题 Char"/>
    <w:basedOn w:val="34"/>
    <w:link w:val="33"/>
    <w:qFormat/>
    <w:uiPriority w:val="0"/>
    <w:rPr>
      <w:rFonts w:ascii="Arial" w:hAnsi="Arial" w:eastAsia="宋体" w:cs="Times New Roman"/>
      <w:b/>
      <w:kern w:val="0"/>
      <w:sz w:val="32"/>
      <w:szCs w:val="20"/>
    </w:rPr>
  </w:style>
  <w:style w:type="character" w:customStyle="1" w:styleId="60">
    <w:name w:val="正文文本缩进 Char"/>
    <w:basedOn w:val="34"/>
    <w:link w:val="15"/>
    <w:qFormat/>
    <w:uiPriority w:val="0"/>
    <w:rPr>
      <w:rFonts w:ascii="Times New Roman" w:hAnsi="Times New Roman" w:eastAsia="宋体" w:cs="Times New Roman"/>
      <w:szCs w:val="24"/>
    </w:rPr>
  </w:style>
  <w:style w:type="character" w:customStyle="1" w:styleId="61">
    <w:name w:val="正文文本缩进 3 Char"/>
    <w:basedOn w:val="34"/>
    <w:link w:val="28"/>
    <w:qFormat/>
    <w:uiPriority w:val="0"/>
    <w:rPr>
      <w:rFonts w:ascii="Times New Roman" w:hAnsi="Times New Roman" w:eastAsia="宋体" w:cs="Times New Roman"/>
      <w:sz w:val="16"/>
      <w:szCs w:val="16"/>
    </w:rPr>
  </w:style>
  <w:style w:type="paragraph" w:customStyle="1" w:styleId="62">
    <w:name w:val="1"/>
    <w:basedOn w:val="1"/>
    <w:qFormat/>
    <w:uiPriority w:val="0"/>
    <w:pPr>
      <w:spacing w:line="240" w:lineRule="auto"/>
    </w:pPr>
    <w:rPr>
      <w:rFonts w:ascii="Times New Roman" w:hAnsi="Times New Roman" w:eastAsia="宋体" w:cs="Times New Roman"/>
      <w:szCs w:val="24"/>
    </w:rPr>
  </w:style>
  <w:style w:type="character" w:customStyle="1" w:styleId="63">
    <w:name w:val="font161"/>
    <w:basedOn w:val="34"/>
    <w:qFormat/>
    <w:uiPriority w:val="0"/>
    <w:rPr>
      <w:rFonts w:ascii="Arial" w:hAnsi="Arial" w:eastAsia="黑体"/>
      <w:b/>
      <w:bCs/>
      <w:kern w:val="2"/>
      <w:sz w:val="32"/>
      <w:szCs w:val="32"/>
      <w:lang w:val="en-US" w:eastAsia="zh-CN" w:bidi="ar-SA"/>
    </w:rPr>
  </w:style>
  <w:style w:type="character" w:customStyle="1" w:styleId="64">
    <w:name w:val="正文文本 Char"/>
    <w:basedOn w:val="34"/>
    <w:link w:val="14"/>
    <w:qFormat/>
    <w:uiPriority w:val="0"/>
    <w:rPr>
      <w:rFonts w:ascii="Times New Roman" w:hAnsi="Times New Roman" w:eastAsia="宋体" w:cs="Times New Roman"/>
      <w:szCs w:val="24"/>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66">
    <w:name w:val="表格"/>
    <w:basedOn w:val="1"/>
    <w:uiPriority w:val="0"/>
    <w:pPr>
      <w:spacing w:line="240" w:lineRule="auto"/>
      <w:jc w:val="center"/>
      <w:textAlignment w:val="center"/>
    </w:pPr>
    <w:rPr>
      <w:rFonts w:ascii="华文细黑" w:hAnsi="华文细黑" w:eastAsia="宋体" w:cs="Times New Roman"/>
      <w:kern w:val="0"/>
      <w:szCs w:val="20"/>
    </w:rPr>
  </w:style>
  <w:style w:type="paragraph" w:customStyle="1" w:styleId="67">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character" w:customStyle="1" w:styleId="68">
    <w:name w:val="文档结构图 Char"/>
    <w:basedOn w:val="34"/>
    <w:link w:val="12"/>
    <w:semiHidden/>
    <w:qFormat/>
    <w:uiPriority w:val="0"/>
    <w:rPr>
      <w:rFonts w:ascii="Times New Roman" w:hAnsi="Times New Roman" w:eastAsia="宋体" w:cs="Times New Roman"/>
      <w:szCs w:val="24"/>
      <w:shd w:val="clear" w:color="auto" w:fill="000080"/>
    </w:rPr>
  </w:style>
  <w:style w:type="paragraph" w:customStyle="1" w:styleId="69">
    <w:name w:val="xl47"/>
    <w:basedOn w:val="1"/>
    <w:qFormat/>
    <w:uiPriority w:val="0"/>
    <w:pPr>
      <w:widowControl/>
      <w:spacing w:before="100" w:beforeAutospacing="1" w:after="100" w:afterAutospacing="1" w:line="240" w:lineRule="auto"/>
      <w:jc w:val="center"/>
    </w:pPr>
    <w:rPr>
      <w:rFonts w:ascii="宋体" w:hAnsi="宋体" w:eastAsia="宋体" w:cs="Times New Roman"/>
      <w:kern w:val="0"/>
      <w:sz w:val="28"/>
      <w:szCs w:val="28"/>
    </w:rPr>
  </w:style>
  <w:style w:type="paragraph" w:customStyle="1" w:styleId="70">
    <w:name w:val="font5"/>
    <w:basedOn w:val="1"/>
    <w:link w:val="71"/>
    <w:qFormat/>
    <w:uiPriority w:val="0"/>
    <w:pPr>
      <w:widowControl/>
      <w:spacing w:before="100" w:beforeAutospacing="1" w:after="100" w:afterAutospacing="1" w:line="240" w:lineRule="auto"/>
      <w:jc w:val="left"/>
    </w:pPr>
    <w:rPr>
      <w:rFonts w:ascii="宋体" w:hAnsi="宋体" w:eastAsia="宋体" w:cs="Times New Roman"/>
      <w:kern w:val="0"/>
      <w:sz w:val="24"/>
      <w:szCs w:val="24"/>
    </w:rPr>
  </w:style>
  <w:style w:type="character" w:customStyle="1" w:styleId="71">
    <w:name w:val="font5 Char"/>
    <w:basedOn w:val="34"/>
    <w:link w:val="70"/>
    <w:qFormat/>
    <w:uiPriority w:val="0"/>
    <w:rPr>
      <w:rFonts w:ascii="宋体" w:hAnsi="宋体" w:eastAsia="宋体" w:cs="Times New Roman"/>
      <w:kern w:val="0"/>
      <w:sz w:val="24"/>
      <w:szCs w:val="24"/>
    </w:rPr>
  </w:style>
  <w:style w:type="paragraph" w:customStyle="1" w:styleId="72">
    <w:name w:val="font7"/>
    <w:basedOn w:val="1"/>
    <w:qFormat/>
    <w:uiPriority w:val="0"/>
    <w:pPr>
      <w:widowControl/>
      <w:spacing w:before="100" w:beforeAutospacing="1" w:after="100" w:afterAutospacing="1" w:line="240" w:lineRule="auto"/>
      <w:jc w:val="left"/>
    </w:pPr>
    <w:rPr>
      <w:rFonts w:hint="eastAsia" w:ascii="宋体" w:hAnsi="宋体" w:eastAsia="宋体" w:cs="Times New Roman"/>
      <w:kern w:val="0"/>
      <w:sz w:val="28"/>
      <w:szCs w:val="28"/>
    </w:rPr>
  </w:style>
  <w:style w:type="paragraph" w:customStyle="1" w:styleId="73">
    <w:name w:val="xl31"/>
    <w:basedOn w:val="1"/>
    <w:qFormat/>
    <w:uiPriority w:val="0"/>
    <w:pPr>
      <w:widowControl/>
      <w:spacing w:before="100" w:beforeAutospacing="1" w:after="100" w:afterAutospacing="1" w:line="240" w:lineRule="auto"/>
      <w:jc w:val="center"/>
    </w:pPr>
    <w:rPr>
      <w:rFonts w:ascii="宋体" w:hAnsi="宋体" w:eastAsia="宋体" w:cs="Times New Roman"/>
      <w:kern w:val="0"/>
      <w:sz w:val="24"/>
      <w:szCs w:val="24"/>
    </w:rPr>
  </w:style>
  <w:style w:type="character" w:customStyle="1" w:styleId="74">
    <w:name w:val="纯文本 Char"/>
    <w:basedOn w:val="34"/>
    <w:link w:val="18"/>
    <w:qFormat/>
    <w:uiPriority w:val="0"/>
    <w:rPr>
      <w:rFonts w:ascii="Courier New" w:hAnsi="Courier New" w:eastAsia="宋体" w:cs="Times New Roman"/>
      <w:szCs w:val="20"/>
    </w:rPr>
  </w:style>
  <w:style w:type="paragraph" w:customStyle="1" w:styleId="75">
    <w:name w:val="表格2"/>
    <w:basedOn w:val="1"/>
    <w:qFormat/>
    <w:uiPriority w:val="0"/>
    <w:pPr>
      <w:adjustRightInd w:val="0"/>
      <w:spacing w:before="60" w:after="60" w:line="240" w:lineRule="auto"/>
      <w:jc w:val="center"/>
    </w:pPr>
    <w:rPr>
      <w:rFonts w:ascii="宋体" w:hAnsi="Times New Roman" w:eastAsia="宋体" w:cs="Times New Roman"/>
      <w:color w:val="000000"/>
      <w:kern w:val="0"/>
      <w:sz w:val="24"/>
      <w:szCs w:val="20"/>
    </w:rPr>
  </w:style>
  <w:style w:type="character" w:customStyle="1" w:styleId="76">
    <w:name w:val="正文文本缩进 2 Char"/>
    <w:basedOn w:val="34"/>
    <w:link w:val="21"/>
    <w:qFormat/>
    <w:uiPriority w:val="0"/>
    <w:rPr>
      <w:rFonts w:ascii="Times New Roman" w:hAnsi="Times New Roman" w:eastAsia="宋体" w:cs="Times New Roman"/>
      <w:szCs w:val="24"/>
    </w:rPr>
  </w:style>
  <w:style w:type="character" w:customStyle="1" w:styleId="77">
    <w:name w:val="正文文本 2 Char"/>
    <w:basedOn w:val="34"/>
    <w:link w:val="31"/>
    <w:qFormat/>
    <w:uiPriority w:val="0"/>
    <w:rPr>
      <w:rFonts w:ascii="Times New Roman" w:hAnsi="Times New Roman" w:eastAsia="宋体" w:cs="Times New Roman"/>
      <w:szCs w:val="24"/>
    </w:rPr>
  </w:style>
  <w:style w:type="paragraph" w:customStyle="1" w:styleId="78">
    <w:name w:val="xl27"/>
    <w:basedOn w:val="1"/>
    <w:qFormat/>
    <w:uiPriority w:val="0"/>
    <w:pPr>
      <w:widowControl/>
      <w:pBdr>
        <w:bottom w:val="single" w:color="auto" w:sz="4" w:space="0"/>
        <w:right w:val="single" w:color="auto" w:sz="4" w:space="0"/>
      </w:pBdr>
      <w:spacing w:before="100" w:beforeAutospacing="1" w:after="100" w:afterAutospacing="1" w:line="240" w:lineRule="auto"/>
      <w:jc w:val="center"/>
    </w:pPr>
    <w:rPr>
      <w:rFonts w:ascii="Times New Roman" w:hAnsi="Times New Roman" w:eastAsia="宋体" w:cs="Times New Roman"/>
      <w:kern w:val="0"/>
      <w:sz w:val="24"/>
      <w:szCs w:val="24"/>
    </w:rPr>
  </w:style>
  <w:style w:type="paragraph" w:customStyle="1" w:styleId="79">
    <w:name w:val="Char"/>
    <w:basedOn w:val="1"/>
    <w:qFormat/>
    <w:uiPriority w:val="0"/>
    <w:pPr>
      <w:snapToGrid w:val="0"/>
      <w:spacing w:line="360" w:lineRule="auto"/>
      <w:ind w:firstLine="200" w:firstLineChars="200"/>
    </w:pPr>
    <w:rPr>
      <w:rFonts w:ascii="Arial" w:hAnsi="Arial" w:eastAsia="黑体" w:cs="Times New Roman"/>
      <w:szCs w:val="21"/>
    </w:rPr>
  </w:style>
  <w:style w:type="character" w:customStyle="1" w:styleId="80">
    <w:name w:val="批注框文本 Char"/>
    <w:basedOn w:val="34"/>
    <w:link w:val="22"/>
    <w:semiHidden/>
    <w:qFormat/>
    <w:uiPriority w:val="0"/>
    <w:rPr>
      <w:rFonts w:ascii="Times New Roman" w:hAnsi="Times New Roman" w:eastAsia="宋体" w:cs="Times New Roman"/>
      <w:sz w:val="18"/>
      <w:szCs w:val="18"/>
    </w:rPr>
  </w:style>
  <w:style w:type="table" w:customStyle="1" w:styleId="81">
    <w:name w:val="浅色列表1"/>
    <w:basedOn w:val="39"/>
    <w:qFormat/>
    <w:uiPriority w:val="61"/>
    <w:pPr>
      <w:spacing w:line="240" w:lineRule="auto"/>
    </w:pPr>
    <w:rPr>
      <w:rFonts w:ascii="Calibri" w:hAnsi="Calibri" w:eastAsia="宋体" w:cs="Times New Roman"/>
      <w:kern w:val="0"/>
      <w:sz w:val="22"/>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82">
    <w:name w:val="样式 正文缩进正文（首行缩进两字）特点ALT+Z表正文正文非缩进四号段1Normal Indent Char2...4"/>
    <w:basedOn w:val="15"/>
    <w:qFormat/>
    <w:uiPriority w:val="0"/>
    <w:pPr>
      <w:widowControl/>
      <w:tabs>
        <w:tab w:val="left" w:pos="0"/>
        <w:tab w:val="left" w:pos="993"/>
        <w:tab w:val="left" w:pos="1134"/>
      </w:tabs>
      <w:spacing w:after="0" w:line="500" w:lineRule="exact"/>
      <w:ind w:left="0" w:leftChars="0" w:firstLine="2997" w:firstLineChars="995"/>
      <w:jc w:val="left"/>
    </w:pPr>
    <w:rPr>
      <w:rFonts w:ascii="Arial Unicode MS" w:hAnsi="Arial Unicode MS"/>
      <w:b/>
      <w:bCs/>
      <w:color w:val="000000"/>
      <w:kern w:val="0"/>
      <w:sz w:val="30"/>
      <w:szCs w:val="30"/>
    </w:rPr>
  </w:style>
  <w:style w:type="character" w:customStyle="1" w:styleId="83">
    <w:name w:val="Subtle Emphasis"/>
    <w:basedOn w:val="34"/>
    <w:qFormat/>
    <w:uiPriority w:val="19"/>
    <w:rPr>
      <w:i/>
      <w:iCs/>
      <w:color w:val="7F7F7F" w:themeColor="text1" w:themeTint="7F"/>
    </w:rPr>
  </w:style>
  <w:style w:type="paragraph" w:customStyle="1" w:styleId="8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85">
    <w:name w:val="Placeholder Text"/>
    <w:basedOn w:val="3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FA5E2-2B9D-466F-AC92-68169479D314}">
  <ds:schemaRefs/>
</ds:datastoreItem>
</file>

<file path=docProps/app.xml><?xml version="1.0" encoding="utf-8"?>
<Properties xmlns="http://schemas.openxmlformats.org/officeDocument/2006/extended-properties" xmlns:vt="http://schemas.openxmlformats.org/officeDocument/2006/docPropsVTypes">
  <Template>Normal</Template>
  <Pages>185</Pages>
  <Words>16341</Words>
  <Characters>93150</Characters>
  <Lines>776</Lines>
  <Paragraphs>218</Paragraphs>
  <TotalTime>0</TotalTime>
  <ScaleCrop>false</ScaleCrop>
  <LinksUpToDate>false</LinksUpToDate>
  <CharactersWithSpaces>109273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2017-10-13T01:50:00Z</dcterms:created>
  <dc:creator>ms-zb</dc:creator>
  <cp:lastModifiedBy>user</cp:lastModifiedBy>
  <dcterms:modified xsi:type="dcterms:W3CDTF">2018-11-02T00:50:12Z</dcterms:modified>
  <cp:revision>1007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